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Calibri" w:cs="Calibri" w:eastAsia="Calibri" w:hAnsi="Calibri"/>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1" w:lineRule="exact"/>
        <w:rPr>
          <w:sz w:val="24"/>
          <w:szCs w:val="24"/>
          <w:color w:val="auto"/>
        </w:rPr>
      </w:pPr>
    </w:p>
    <w:p>
      <w:pPr>
        <w:jc w:val="center"/>
        <w:spacing w:after="0"/>
        <w:rPr>
          <w:sz w:val="20"/>
          <w:szCs w:val="20"/>
          <w:color w:val="auto"/>
        </w:rPr>
      </w:pPr>
      <w:r>
        <w:rPr>
          <w:rFonts w:ascii="Calibri" w:cs="Calibri" w:eastAsia="Calibri" w:hAnsi="Calibri"/>
          <w:sz w:val="32"/>
          <w:szCs w:val="32"/>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154305</wp:posOffset>
            </wp:positionV>
            <wp:extent cx="1577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Calibri" w:cs="Calibri" w:eastAsia="Calibri" w:hAnsi="Calibri"/>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120650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CURRENT REPORT</w:t>
      </w:r>
    </w:p>
    <w:p>
      <w:pPr>
        <w:spacing w:after="0" w:line="1"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Pursuant to Secton 13 or 15(d)</w:t>
      </w:r>
    </w:p>
    <w:p>
      <w:pPr>
        <w:spacing w:after="0" w:line="3"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of the Securites Exchange Act of 1934</w:t>
      </w:r>
    </w:p>
    <w:p>
      <w:pPr>
        <w:spacing w:after="0" w:line="136"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Date of Report (Date of earliest event reported): March 11,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154305</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Calibri" w:cs="Calibri" w:eastAsia="Calibri" w:hAnsi="Calibri"/>
          <w:sz w:val="43"/>
          <w:szCs w:val="43"/>
          <w:b w:val="1"/>
          <w:bCs w:val="1"/>
          <w:color w:val="auto"/>
        </w:rPr>
        <w:t>COHERUS BIOSCIENCES, INC.</w:t>
      </w:r>
    </w:p>
    <w:p>
      <w:pPr>
        <w:spacing w:after="0" w:line="29" w:lineRule="exact"/>
        <w:rPr>
          <w:sz w:val="24"/>
          <w:szCs w:val="24"/>
          <w:color w:val="auto"/>
        </w:rPr>
      </w:pPr>
    </w:p>
    <w:p>
      <w:pPr>
        <w:jc w:val="center"/>
        <w:spacing w:after="0"/>
        <w:rPr>
          <w:sz w:val="20"/>
          <w:szCs w:val="20"/>
          <w:color w:val="auto"/>
        </w:rPr>
      </w:pPr>
      <w:r>
        <w:rPr>
          <w:rFonts w:ascii="Calibri" w:cs="Calibri" w:eastAsia="Calibri" w:hAnsi="Calibri"/>
          <w:sz w:val="18"/>
          <w:szCs w:val="18"/>
          <w:b w:val="1"/>
          <w:bCs w:val="1"/>
          <w:color w:val="auto"/>
        </w:rPr>
        <w:t>(Exact name of registrant as specifed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100330</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21" w:lineRule="exact"/>
        <w:rPr>
          <w:sz w:val="24"/>
          <w:szCs w:val="24"/>
          <w:color w:val="auto"/>
        </w:rPr>
      </w:pPr>
    </w:p>
    <w:tbl>
      <w:tblPr>
        <w:tblLayout w:type="fixed"/>
        <w:tblInd w:w="900" w:type="dxa"/>
        <w:tblCellMar>
          <w:top w:w="0" w:type="dxa"/>
          <w:left w:w="0" w:type="dxa"/>
          <w:bottom w:w="0" w:type="dxa"/>
          <w:right w:w="0" w:type="dxa"/>
        </w:tblCellMar>
      </w:tblPr>
      <w:tr>
        <w:trPr>
          <w:trHeight w:val="195"/>
        </w:trPr>
        <w:tc>
          <w:tcPr>
            <w:tcW w:w="2680" w:type="dxa"/>
            <w:vAlign w:val="bottom"/>
          </w:tcPr>
          <w:p>
            <w:pPr>
              <w:jc w:val="center"/>
              <w:ind w:right="1025"/>
              <w:spacing w:after="0"/>
              <w:rPr>
                <w:sz w:val="20"/>
                <w:szCs w:val="20"/>
                <w:color w:val="auto"/>
              </w:rPr>
            </w:pPr>
            <w:r>
              <w:rPr>
                <w:rFonts w:ascii="Calibri" w:cs="Calibri" w:eastAsia="Calibri" w:hAnsi="Calibri"/>
                <w:sz w:val="16"/>
                <w:szCs w:val="16"/>
                <w:b w:val="1"/>
                <w:bCs w:val="1"/>
                <w:color w:val="auto"/>
                <w:w w:val="97"/>
              </w:rPr>
              <w:t>Delaware</w:t>
            </w:r>
          </w:p>
        </w:tc>
        <w:tc>
          <w:tcPr>
            <w:tcW w:w="2960" w:type="dxa"/>
            <w:vAlign w:val="bottom"/>
          </w:tcPr>
          <w:p>
            <w:pPr>
              <w:jc w:val="center"/>
              <w:spacing w:after="0"/>
              <w:rPr>
                <w:sz w:val="20"/>
                <w:szCs w:val="20"/>
                <w:color w:val="auto"/>
              </w:rPr>
            </w:pPr>
            <w:r>
              <w:rPr>
                <w:rFonts w:ascii="Calibri" w:cs="Calibri" w:eastAsia="Calibri" w:hAnsi="Calibri"/>
                <w:sz w:val="16"/>
                <w:szCs w:val="16"/>
                <w:b w:val="1"/>
                <w:bCs w:val="1"/>
                <w:color w:val="auto"/>
              </w:rPr>
              <w:t>001-36721</w:t>
            </w:r>
          </w:p>
        </w:tc>
        <w:tc>
          <w:tcPr>
            <w:tcW w:w="2480" w:type="dxa"/>
            <w:vAlign w:val="bottom"/>
          </w:tcPr>
          <w:p>
            <w:pPr>
              <w:jc w:val="center"/>
              <w:ind w:left="1025"/>
              <w:spacing w:after="0"/>
              <w:rPr>
                <w:sz w:val="20"/>
                <w:szCs w:val="20"/>
                <w:color w:val="auto"/>
              </w:rPr>
            </w:pPr>
            <w:r>
              <w:rPr>
                <w:rFonts w:ascii="Calibri" w:cs="Calibri" w:eastAsia="Calibri" w:hAnsi="Calibri"/>
                <w:sz w:val="16"/>
                <w:szCs w:val="16"/>
                <w:b w:val="1"/>
                <w:bCs w:val="1"/>
                <w:color w:val="auto"/>
              </w:rPr>
              <w:t>27-3615821</w:t>
            </w:r>
          </w:p>
        </w:tc>
      </w:tr>
      <w:tr>
        <w:trPr>
          <w:trHeight w:val="183"/>
        </w:trPr>
        <w:tc>
          <w:tcPr>
            <w:tcW w:w="2680" w:type="dxa"/>
            <w:vAlign w:val="bottom"/>
          </w:tcPr>
          <w:p>
            <w:pPr>
              <w:jc w:val="center"/>
              <w:ind w:right="1025"/>
              <w:spacing w:after="0"/>
              <w:rPr>
                <w:sz w:val="20"/>
                <w:szCs w:val="20"/>
                <w:color w:val="auto"/>
              </w:rPr>
            </w:pPr>
            <w:r>
              <w:rPr>
                <w:rFonts w:ascii="Calibri" w:cs="Calibri" w:eastAsia="Calibri" w:hAnsi="Calibri"/>
                <w:sz w:val="14"/>
                <w:szCs w:val="14"/>
                <w:b w:val="1"/>
                <w:bCs w:val="1"/>
                <w:color w:val="auto"/>
              </w:rPr>
              <w:t>(State or other jurisdicton</w:t>
            </w:r>
          </w:p>
        </w:tc>
        <w:tc>
          <w:tcPr>
            <w:tcW w:w="2960" w:type="dxa"/>
            <w:vAlign w:val="bottom"/>
          </w:tcPr>
          <w:p>
            <w:pPr>
              <w:jc w:val="center"/>
              <w:spacing w:after="0"/>
              <w:rPr>
                <w:sz w:val="20"/>
                <w:szCs w:val="20"/>
                <w:color w:val="auto"/>
              </w:rPr>
            </w:pPr>
            <w:r>
              <w:rPr>
                <w:rFonts w:ascii="Calibri" w:cs="Calibri" w:eastAsia="Calibri" w:hAnsi="Calibri"/>
                <w:sz w:val="14"/>
                <w:szCs w:val="14"/>
                <w:b w:val="1"/>
                <w:bCs w:val="1"/>
                <w:color w:val="auto"/>
              </w:rPr>
              <w:t>(Commission</w:t>
            </w:r>
          </w:p>
        </w:tc>
        <w:tc>
          <w:tcPr>
            <w:tcW w:w="2480" w:type="dxa"/>
            <w:vAlign w:val="bottom"/>
          </w:tcPr>
          <w:p>
            <w:pPr>
              <w:jc w:val="center"/>
              <w:ind w:left="1025"/>
              <w:spacing w:after="0"/>
              <w:rPr>
                <w:sz w:val="20"/>
                <w:szCs w:val="20"/>
                <w:color w:val="auto"/>
              </w:rPr>
            </w:pPr>
            <w:r>
              <w:rPr>
                <w:rFonts w:ascii="Calibri" w:cs="Calibri" w:eastAsia="Calibri" w:hAnsi="Calibri"/>
                <w:sz w:val="14"/>
                <w:szCs w:val="14"/>
                <w:b w:val="1"/>
                <w:bCs w:val="1"/>
                <w:color w:val="auto"/>
              </w:rPr>
              <w:t>(IRS Employer</w:t>
            </w:r>
          </w:p>
        </w:tc>
      </w:tr>
      <w:tr>
        <w:trPr>
          <w:trHeight w:val="176"/>
        </w:trPr>
        <w:tc>
          <w:tcPr>
            <w:tcW w:w="2680" w:type="dxa"/>
            <w:vAlign w:val="bottom"/>
          </w:tcPr>
          <w:p>
            <w:pPr>
              <w:jc w:val="center"/>
              <w:ind w:right="1025"/>
              <w:spacing w:after="0"/>
              <w:rPr>
                <w:sz w:val="20"/>
                <w:szCs w:val="20"/>
                <w:color w:val="auto"/>
              </w:rPr>
            </w:pPr>
            <w:r>
              <w:rPr>
                <w:rFonts w:ascii="Calibri" w:cs="Calibri" w:eastAsia="Calibri" w:hAnsi="Calibri"/>
                <w:sz w:val="14"/>
                <w:szCs w:val="14"/>
                <w:b w:val="1"/>
                <w:bCs w:val="1"/>
                <w:color w:val="auto"/>
              </w:rPr>
              <w:t>of incorporaton)</w:t>
            </w:r>
          </w:p>
        </w:tc>
        <w:tc>
          <w:tcPr>
            <w:tcW w:w="2960" w:type="dxa"/>
            <w:vAlign w:val="bottom"/>
          </w:tcPr>
          <w:p>
            <w:pPr>
              <w:jc w:val="center"/>
              <w:spacing w:after="0"/>
              <w:rPr>
                <w:sz w:val="20"/>
                <w:szCs w:val="20"/>
                <w:color w:val="auto"/>
              </w:rPr>
            </w:pPr>
            <w:r>
              <w:rPr>
                <w:rFonts w:ascii="Calibri" w:cs="Calibri" w:eastAsia="Calibri" w:hAnsi="Calibri"/>
                <w:sz w:val="14"/>
                <w:szCs w:val="14"/>
                <w:b w:val="1"/>
                <w:bCs w:val="1"/>
                <w:color w:val="auto"/>
              </w:rPr>
              <w:t>File Number)</w:t>
            </w:r>
          </w:p>
        </w:tc>
        <w:tc>
          <w:tcPr>
            <w:tcW w:w="2480" w:type="dxa"/>
            <w:vAlign w:val="bottom"/>
          </w:tcPr>
          <w:p>
            <w:pPr>
              <w:jc w:val="center"/>
              <w:ind w:left="1045"/>
              <w:spacing w:after="0"/>
              <w:rPr>
                <w:sz w:val="20"/>
                <w:szCs w:val="20"/>
                <w:color w:val="auto"/>
              </w:rPr>
            </w:pPr>
            <w:r>
              <w:rPr>
                <w:rFonts w:ascii="Calibri" w:cs="Calibri" w:eastAsia="Calibri" w:hAnsi="Calibri"/>
                <w:sz w:val="14"/>
                <w:szCs w:val="14"/>
                <w:b w:val="1"/>
                <w:bCs w:val="1"/>
                <w:color w:val="auto"/>
              </w:rPr>
              <w:t>Identfcaton Number)</w:t>
            </w:r>
          </w:p>
        </w:tc>
      </w:tr>
    </w:tbl>
    <w:p>
      <w:pPr>
        <w:spacing w:after="0" w:line="128" w:lineRule="exact"/>
        <w:rPr>
          <w:sz w:val="24"/>
          <w:szCs w:val="24"/>
          <w:color w:val="auto"/>
        </w:rPr>
      </w:pPr>
    </w:p>
    <w:p>
      <w:pPr>
        <w:ind w:left="3740"/>
        <w:spacing w:after="0"/>
        <w:rPr>
          <w:sz w:val="20"/>
          <w:szCs w:val="20"/>
          <w:color w:val="auto"/>
        </w:rPr>
      </w:pPr>
      <w:r>
        <w:rPr>
          <w:rFonts w:ascii="Calibri" w:cs="Calibri" w:eastAsia="Calibri" w:hAnsi="Calibri"/>
          <w:sz w:val="18"/>
          <w:szCs w:val="18"/>
          <w:b w:val="1"/>
          <w:bCs w:val="1"/>
          <w:color w:val="auto"/>
        </w:rPr>
        <w:t>333 Twin Dolphin Drive, Suite 600</w:t>
      </w:r>
    </w:p>
    <w:p>
      <w:pPr>
        <w:ind w:left="4080"/>
        <w:spacing w:after="0" w:line="235" w:lineRule="auto"/>
        <w:rPr>
          <w:sz w:val="20"/>
          <w:szCs w:val="20"/>
          <w:color w:val="auto"/>
        </w:rPr>
      </w:pPr>
      <w:r>
        <w:rPr>
          <w:rFonts w:ascii="Calibri" w:cs="Calibri" w:eastAsia="Calibri" w:hAnsi="Calibri"/>
          <w:sz w:val="18"/>
          <w:szCs w:val="18"/>
          <w:b w:val="1"/>
          <w:bCs w:val="1"/>
          <w:color w:val="auto"/>
        </w:rPr>
        <w:t>Redwood City, CA 94065</w:t>
      </w:r>
    </w:p>
    <w:p>
      <w:pPr>
        <w:spacing w:after="0" w:line="9" w:lineRule="exact"/>
        <w:rPr>
          <w:sz w:val="24"/>
          <w:szCs w:val="24"/>
          <w:color w:val="auto"/>
        </w:rPr>
      </w:pPr>
    </w:p>
    <w:p>
      <w:pPr>
        <w:jc w:val="center"/>
        <w:spacing w:after="0"/>
        <w:rPr>
          <w:sz w:val="20"/>
          <w:szCs w:val="20"/>
          <w:color w:val="auto"/>
        </w:rPr>
      </w:pPr>
      <w:r>
        <w:rPr>
          <w:rFonts w:ascii="Calibri" w:cs="Calibri" w:eastAsia="Calibri" w:hAnsi="Calibri"/>
          <w:sz w:val="14"/>
          <w:szCs w:val="14"/>
          <w:b w:val="1"/>
          <w:bCs w:val="1"/>
          <w:color w:val="auto"/>
        </w:rPr>
        <w:t>(Address of principal executve ofces, including Zip Code)</w:t>
      </w:r>
    </w:p>
    <w:p>
      <w:pPr>
        <w:spacing w:after="0" w:line="128"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b w:val="1"/>
          <w:bCs w:val="1"/>
          <w:color w:val="auto"/>
        </w:rPr>
        <w:t>Registrant’s telephone number, including area code: (650) 649-3530</w:t>
      </w:r>
    </w:p>
    <w:p>
      <w:pPr>
        <w:spacing w:after="0" w:line="212" w:lineRule="exact"/>
        <w:rPr>
          <w:sz w:val="24"/>
          <w:szCs w:val="24"/>
          <w:color w:val="auto"/>
        </w:rPr>
      </w:pPr>
    </w:p>
    <w:p>
      <w:pPr>
        <w:jc w:val="center"/>
        <w:spacing w:after="0"/>
        <w:rPr>
          <w:sz w:val="20"/>
          <w:szCs w:val="20"/>
          <w:color w:val="auto"/>
        </w:rPr>
      </w:pPr>
      <w:r>
        <w:rPr>
          <w:rFonts w:ascii="Calibri" w:cs="Calibri" w:eastAsia="Calibri" w:hAnsi="Calibri"/>
          <w:sz w:val="25"/>
          <w:szCs w:val="25"/>
          <w:b w:val="1"/>
          <w:bCs w:val="1"/>
          <w:color w:val="auto"/>
        </w:rPr>
        <w:t>N/A</w:t>
      </w:r>
    </w:p>
    <w:p>
      <w:pPr>
        <w:spacing w:after="0" w:line="5" w:lineRule="exact"/>
        <w:rPr>
          <w:sz w:val="24"/>
          <w:szCs w:val="24"/>
          <w:color w:val="auto"/>
        </w:rPr>
      </w:pPr>
    </w:p>
    <w:p>
      <w:pPr>
        <w:jc w:val="center"/>
        <w:spacing w:after="0"/>
        <w:rPr>
          <w:sz w:val="20"/>
          <w:szCs w:val="20"/>
          <w:color w:val="auto"/>
        </w:rPr>
      </w:pPr>
      <w:r>
        <w:rPr>
          <w:rFonts w:ascii="Calibri" w:cs="Calibri" w:eastAsia="Calibri" w:hAnsi="Calibri"/>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203200</wp:posOffset>
            </wp:positionV>
            <wp:extent cx="15773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73" w:lineRule="exact"/>
        <w:rPr>
          <w:sz w:val="24"/>
          <w:szCs w:val="24"/>
          <w:color w:val="auto"/>
        </w:rPr>
      </w:pPr>
    </w:p>
    <w:p>
      <w:pPr>
        <w:ind w:right="80"/>
        <w:spacing w:after="0" w:line="235" w:lineRule="auto"/>
        <w:rPr>
          <w:sz w:val="20"/>
          <w:szCs w:val="20"/>
          <w:color w:val="auto"/>
        </w:rPr>
      </w:pPr>
      <w:r>
        <w:rPr>
          <w:rFonts w:ascii="Calibri" w:cs="Calibri" w:eastAsia="Calibri" w:hAnsi="Calibri"/>
          <w:sz w:val="18"/>
          <w:szCs w:val="18"/>
          <w:color w:val="auto"/>
        </w:rPr>
        <w:t>Check the appropriate box below if the Form 8-K fling is intended to simultaneously satsfy the fling obligaton of the registrant under any of the following provisions:</w:t>
      </w:r>
    </w:p>
    <w:p>
      <w:pPr>
        <w:spacing w:after="0" w:line="132" w:lineRule="exact"/>
        <w:rPr>
          <w:sz w:val="24"/>
          <w:szCs w:val="24"/>
          <w:color w:val="auto"/>
        </w:rPr>
      </w:pPr>
    </w:p>
    <w:p>
      <w:pPr>
        <w:ind w:left="500" w:hanging="491"/>
        <w:spacing w:after="0"/>
        <w:tabs>
          <w:tab w:leader="none" w:pos="50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Writen communicatons pursuant to Rule 425 under the Securites Act (17 CFR 230.425)</w:t>
      </w:r>
    </w:p>
    <w:p>
      <w:pPr>
        <w:spacing w:after="0" w:line="131" w:lineRule="exact"/>
        <w:rPr>
          <w:rFonts w:ascii="MS PGothic" w:cs="MS PGothic" w:eastAsia="MS PGothic" w:hAnsi="MS PGothic"/>
          <w:sz w:val="18"/>
          <w:szCs w:val="18"/>
          <w:color w:val="auto"/>
        </w:rPr>
      </w:pPr>
    </w:p>
    <w:p>
      <w:pPr>
        <w:ind w:left="500" w:hanging="491"/>
        <w:spacing w:after="0"/>
        <w:tabs>
          <w:tab w:leader="none" w:pos="50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Solicitng material pursuant to Rule 14a-12 under the Exchange Act (17 CFR 240.14a-12)</w:t>
      </w:r>
    </w:p>
    <w:p>
      <w:pPr>
        <w:spacing w:after="0" w:line="131" w:lineRule="exact"/>
        <w:rPr>
          <w:rFonts w:ascii="MS PGothic" w:cs="MS PGothic" w:eastAsia="MS PGothic" w:hAnsi="MS PGothic"/>
          <w:sz w:val="18"/>
          <w:szCs w:val="18"/>
          <w:color w:val="auto"/>
        </w:rPr>
      </w:pPr>
    </w:p>
    <w:p>
      <w:pPr>
        <w:ind w:left="500" w:hanging="491"/>
        <w:spacing w:after="0"/>
        <w:tabs>
          <w:tab w:leader="none" w:pos="50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14d-2(b) under the Exchange Act (17 CFR 240.14d-2(b))</w:t>
      </w:r>
    </w:p>
    <w:p>
      <w:pPr>
        <w:spacing w:after="0" w:line="136" w:lineRule="exact"/>
        <w:rPr>
          <w:rFonts w:ascii="MS PGothic" w:cs="MS PGothic" w:eastAsia="MS PGothic" w:hAnsi="MS PGothic"/>
          <w:sz w:val="18"/>
          <w:szCs w:val="18"/>
          <w:color w:val="auto"/>
        </w:rPr>
      </w:pPr>
    </w:p>
    <w:p>
      <w:pPr>
        <w:ind w:right="1600" w:firstLine="9"/>
        <w:spacing w:after="0" w:line="378" w:lineRule="auto"/>
        <w:tabs>
          <w:tab w:leader="none" w:pos="501"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13e-4(c) under the Exchange Act (17 CFR 240.13e-4(c)) Securites registered pursuant to Secton 12(b) of the Act: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2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Trading</w:t>
            </w:r>
          </w:p>
        </w:tc>
        <w:tc>
          <w:tcPr>
            <w:tcW w:w="3020" w:type="dxa"/>
            <w:vAlign w:val="bottom"/>
          </w:tcPr>
          <w:p>
            <w:pPr>
              <w:jc w:val="center"/>
              <w:spacing w:after="0"/>
              <w:rPr>
                <w:sz w:val="20"/>
                <w:szCs w:val="20"/>
                <w:color w:val="auto"/>
              </w:rPr>
            </w:pPr>
            <w:r>
              <w:rPr>
                <w:rFonts w:ascii="Calibri" w:cs="Calibri" w:eastAsia="Calibri" w:hAnsi="Calibri"/>
                <w:sz w:val="14"/>
                <w:szCs w:val="14"/>
                <w:b w:val="1"/>
                <w:bCs w:val="1"/>
                <w:color w:val="auto"/>
              </w:rPr>
              <w:t>Name of each exchange</w:t>
            </w:r>
          </w:p>
        </w:tc>
      </w:tr>
      <w:tr>
        <w:trPr>
          <w:trHeight w:val="189"/>
        </w:trPr>
        <w:tc>
          <w:tcPr>
            <w:tcW w:w="368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Title of each class</w:t>
            </w:r>
          </w:p>
        </w:tc>
        <w:tc>
          <w:tcPr>
            <w:tcW w:w="322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Symbol(s)</w:t>
            </w:r>
          </w:p>
        </w:tc>
        <w:tc>
          <w:tcPr>
            <w:tcW w:w="3020" w:type="dxa"/>
            <w:vAlign w:val="bottom"/>
          </w:tcPr>
          <w:p>
            <w:pPr>
              <w:jc w:val="center"/>
              <w:spacing w:after="0"/>
              <w:rPr>
                <w:sz w:val="20"/>
                <w:szCs w:val="20"/>
                <w:color w:val="auto"/>
              </w:rPr>
            </w:pPr>
            <w:r>
              <w:rPr>
                <w:rFonts w:ascii="Calibri" w:cs="Calibri" w:eastAsia="Calibri" w:hAnsi="Calibri"/>
                <w:sz w:val="14"/>
                <w:szCs w:val="14"/>
                <w:b w:val="1"/>
                <w:bCs w:val="1"/>
                <w:color w:val="auto"/>
              </w:rPr>
              <w:t>on which registered</w:t>
            </w:r>
          </w:p>
        </w:tc>
      </w:tr>
      <w:tr>
        <w:trPr>
          <w:trHeight w:val="215"/>
        </w:trPr>
        <w:tc>
          <w:tcPr>
            <w:tcW w:w="3480" w:type="dxa"/>
            <w:vAlign w:val="bottom"/>
            <w:tcBorders>
              <w:top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7"/>
              </w:rPr>
              <w:t>Common Stock, $0.0001 par value per share</w:t>
            </w:r>
          </w:p>
        </w:tc>
        <w:tc>
          <w:tcPr>
            <w:tcW w:w="200" w:type="dxa"/>
            <w:vAlign w:val="bottom"/>
          </w:tcPr>
          <w:p>
            <w:pPr>
              <w:spacing w:after="0"/>
              <w:rPr>
                <w:sz w:val="18"/>
                <w:szCs w:val="18"/>
                <w:color w:val="auto"/>
              </w:rPr>
            </w:pPr>
          </w:p>
        </w:tc>
        <w:tc>
          <w:tcPr>
            <w:tcW w:w="3020" w:type="dxa"/>
            <w:vAlign w:val="bottom"/>
            <w:tcBorders>
              <w:top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6"/>
              </w:rPr>
              <w:t>CHRS</w:t>
            </w:r>
          </w:p>
        </w:tc>
        <w:tc>
          <w:tcPr>
            <w:tcW w:w="200" w:type="dxa"/>
            <w:vAlign w:val="bottom"/>
          </w:tcPr>
          <w:p>
            <w:pPr>
              <w:spacing w:after="0"/>
              <w:rPr>
                <w:sz w:val="18"/>
                <w:szCs w:val="18"/>
                <w:color w:val="auto"/>
              </w:rPr>
            </w:pPr>
          </w:p>
        </w:tc>
        <w:tc>
          <w:tcPr>
            <w:tcW w:w="3020" w:type="dxa"/>
            <w:vAlign w:val="bottom"/>
            <w:tcBorders>
              <w:top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7"/>
              </w:rPr>
              <w:t>The Nasdaq Global Market</w:t>
            </w:r>
          </w:p>
        </w:tc>
      </w:tr>
    </w:tbl>
    <w:p>
      <w:pPr>
        <w:spacing w:after="0" w:line="114" w:lineRule="exact"/>
        <w:rPr>
          <w:sz w:val="24"/>
          <w:szCs w:val="24"/>
          <w:color w:val="auto"/>
        </w:rPr>
      </w:pPr>
    </w:p>
    <w:p>
      <w:pPr>
        <w:ind w:right="660"/>
        <w:spacing w:after="0" w:line="235" w:lineRule="auto"/>
        <w:rPr>
          <w:sz w:val="20"/>
          <w:szCs w:val="20"/>
          <w:color w:val="auto"/>
        </w:rPr>
      </w:pPr>
      <w:r>
        <w:rPr>
          <w:rFonts w:ascii="Calibri" w:cs="Calibri" w:eastAsia="Calibri" w:hAnsi="Calibri"/>
          <w:sz w:val="18"/>
          <w:szCs w:val="18"/>
          <w:color w:val="auto"/>
        </w:rPr>
        <w:t>Indicate by check mark whether the registrant is an emerging growth company as defned in Rule 405 of the Securites Act of 1933 (§230.405 of this chapter) or Rule 12b-2 of the Securites Exchange Act of 1934 (§240.12b-2 of this chapter).</w:t>
      </w:r>
    </w:p>
    <w:p>
      <w:pPr>
        <w:spacing w:after="0" w:line="100" w:lineRule="exact"/>
        <w:rPr>
          <w:sz w:val="24"/>
          <w:szCs w:val="24"/>
          <w:color w:val="auto"/>
        </w:rPr>
      </w:pPr>
    </w:p>
    <w:p>
      <w:pPr>
        <w:spacing w:after="0" w:line="220" w:lineRule="exact"/>
        <w:rPr>
          <w:sz w:val="20"/>
          <w:szCs w:val="20"/>
          <w:color w:val="auto"/>
        </w:rPr>
      </w:pPr>
      <w:r>
        <w:rPr>
          <w:rFonts w:ascii="Calibri" w:cs="Calibri" w:eastAsia="Calibri" w:hAnsi="Calibri"/>
          <w:sz w:val="18"/>
          <w:szCs w:val="18"/>
          <w:color w:val="auto"/>
        </w:rPr>
        <w:t xml:space="preserve">Emerging growth company </w:t>
      </w:r>
      <w:r>
        <w:rPr>
          <w:rFonts w:ascii="MS PGothic" w:cs="MS PGothic" w:eastAsia="MS PGothic" w:hAnsi="MS PGothic"/>
          <w:sz w:val="18"/>
          <w:szCs w:val="18"/>
          <w:color w:val="auto"/>
        </w:rPr>
        <w:t>☐</w:t>
      </w:r>
    </w:p>
    <w:p>
      <w:pPr>
        <w:spacing w:after="0" w:line="181" w:lineRule="exact"/>
        <w:rPr>
          <w:sz w:val="24"/>
          <w:szCs w:val="24"/>
          <w:color w:val="auto"/>
        </w:rPr>
      </w:pPr>
    </w:p>
    <w:p>
      <w:pPr>
        <w:ind w:right="740"/>
        <w:spacing w:after="0" w:line="241" w:lineRule="exact"/>
        <w:rPr>
          <w:sz w:val="20"/>
          <w:szCs w:val="20"/>
          <w:color w:val="auto"/>
        </w:rPr>
      </w:pPr>
      <w:r>
        <w:rPr>
          <w:rFonts w:ascii="Calibri" w:cs="Calibri" w:eastAsia="Calibri" w:hAnsi="Calibri"/>
          <w:sz w:val="17"/>
          <w:szCs w:val="17"/>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488950</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77470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111760</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95" w:right="999" w:bottom="1440" w:gutter="0" w:footer="0" w:header="0"/>
        </w:sectPr>
      </w:pPr>
    </w:p>
    <w:bookmarkStart w:id="1" w:name="page2"/>
    <w:bookmarkEnd w:id="1"/>
    <w:p>
      <w:pPr>
        <w:ind w:left="60"/>
        <w:spacing w:after="0"/>
        <w:rPr>
          <w:sz w:val="20"/>
          <w:szCs w:val="20"/>
          <w:color w:val="auto"/>
        </w:rPr>
      </w:pPr>
      <w:r>
        <w:rPr>
          <w:rFonts w:ascii="Calibri" w:cs="Calibri" w:eastAsia="Calibri" w:hAnsi="Calibri"/>
          <w:sz w:val="18"/>
          <w:szCs w:val="18"/>
          <w:b w:val="1"/>
          <w:bCs w:val="1"/>
          <w:color w:val="auto"/>
        </w:rPr>
        <w:t>Item 5.07 Submission of Maters to a Vote of Security Holders</w:t>
      </w:r>
    </w:p>
    <w:p>
      <w:pPr>
        <w:spacing w:after="0" w:line="200" w:lineRule="exact"/>
        <w:rPr>
          <w:sz w:val="20"/>
          <w:szCs w:val="20"/>
          <w:color w:val="auto"/>
        </w:rPr>
      </w:pPr>
    </w:p>
    <w:p>
      <w:pPr>
        <w:spacing w:after="0" w:line="233" w:lineRule="exact"/>
        <w:rPr>
          <w:sz w:val="20"/>
          <w:szCs w:val="20"/>
          <w:color w:val="auto"/>
        </w:rPr>
      </w:pPr>
    </w:p>
    <w:p>
      <w:pPr>
        <w:ind w:left="60" w:right="279" w:firstLine="648"/>
        <w:spacing w:after="0" w:line="235" w:lineRule="auto"/>
        <w:rPr>
          <w:sz w:val="20"/>
          <w:szCs w:val="20"/>
          <w:color w:val="auto"/>
        </w:rPr>
      </w:pPr>
      <w:r>
        <w:rPr>
          <w:rFonts w:ascii="Calibri" w:cs="Calibri" w:eastAsia="Calibri" w:hAnsi="Calibri"/>
          <w:sz w:val="18"/>
          <w:szCs w:val="18"/>
          <w:color w:val="auto"/>
        </w:rPr>
        <w:t>On December 2, 2024, Coherus BioSciences, Inc., a Delaware corporaton (the “Company”), entered into an Asset Purchase Agreement (the “Asset Purchase Agreement”) by and between the Company and Intas Pharmaceutcals Ltd., a limited company incorporated in India (“Intas”). Pursuant to the terms and subject to the conditons set forth in the Asset Purchase Agreement, the Company has agreed to divest its UDENYCA® (pegflgrastm-cbqv) franchise to Intas (the “Transacton”).</w:t>
      </w:r>
    </w:p>
    <w:p>
      <w:pPr>
        <w:spacing w:after="0" w:line="220" w:lineRule="exact"/>
        <w:rPr>
          <w:sz w:val="20"/>
          <w:szCs w:val="20"/>
          <w:color w:val="auto"/>
        </w:rPr>
      </w:pPr>
    </w:p>
    <w:p>
      <w:pPr>
        <w:ind w:left="60" w:right="99" w:firstLine="648"/>
        <w:spacing w:after="0" w:line="254" w:lineRule="auto"/>
        <w:rPr>
          <w:sz w:val="20"/>
          <w:szCs w:val="20"/>
          <w:color w:val="auto"/>
        </w:rPr>
      </w:pPr>
      <w:r>
        <w:rPr>
          <w:rFonts w:ascii="Calibri" w:cs="Calibri" w:eastAsia="Calibri" w:hAnsi="Calibri"/>
          <w:sz w:val="17"/>
          <w:szCs w:val="17"/>
          <w:color w:val="auto"/>
        </w:rPr>
        <w:t>In connecton with the Transacton, the Company held a Special Meetng of Stockholders (the “Special Meetng”) on March 11, 2025 virtually via the Internet. At the close of business on January 27, 2025, the record date, there were 115,890,186 shares of the Company’s common stock outstanding with each such share being enttled to one vote per share.</w:t>
      </w:r>
    </w:p>
    <w:p>
      <w:pPr>
        <w:spacing w:after="0" w:line="205" w:lineRule="exact"/>
        <w:rPr>
          <w:sz w:val="20"/>
          <w:szCs w:val="20"/>
          <w:color w:val="auto"/>
        </w:rPr>
      </w:pPr>
    </w:p>
    <w:p>
      <w:pPr>
        <w:jc w:val="both"/>
        <w:ind w:left="60" w:right="59" w:firstLine="648"/>
        <w:spacing w:after="0" w:line="235" w:lineRule="auto"/>
        <w:rPr>
          <w:sz w:val="20"/>
          <w:szCs w:val="20"/>
          <w:color w:val="auto"/>
        </w:rPr>
      </w:pPr>
      <w:r>
        <w:rPr>
          <w:rFonts w:ascii="Calibri" w:cs="Calibri" w:eastAsia="Calibri" w:hAnsi="Calibri"/>
          <w:sz w:val="18"/>
          <w:szCs w:val="18"/>
          <w:color w:val="auto"/>
        </w:rPr>
        <w:t>At the Special Meetng, 72,579,487 shares of the Company’s common stock were voted in person or by proxy for the proposal set forth below, which is described in the Company’s Defnitve Proxy Statement on Schedule 14A fled with the U.S. Securites and Exchange Commission on January 28, 2025.</w:t>
      </w:r>
    </w:p>
    <w:p>
      <w:pPr>
        <w:spacing w:after="0" w:line="219" w:lineRule="exact"/>
        <w:rPr>
          <w:sz w:val="20"/>
          <w:szCs w:val="20"/>
          <w:color w:val="auto"/>
        </w:rPr>
      </w:pPr>
    </w:p>
    <w:p>
      <w:pPr>
        <w:ind w:left="60" w:right="259" w:firstLine="648"/>
        <w:spacing w:after="0" w:line="235" w:lineRule="auto"/>
        <w:rPr>
          <w:sz w:val="20"/>
          <w:szCs w:val="20"/>
          <w:color w:val="auto"/>
        </w:rPr>
      </w:pPr>
      <w:r>
        <w:rPr>
          <w:rFonts w:ascii="Calibri" w:cs="Calibri" w:eastAsia="Calibri" w:hAnsi="Calibri"/>
          <w:sz w:val="18"/>
          <w:szCs w:val="18"/>
          <w:b w:val="1"/>
          <w:bCs w:val="1"/>
          <w:color w:val="auto"/>
        </w:rPr>
        <w:t xml:space="preserve">Proposal 1. </w:t>
      </w:r>
      <w:r>
        <w:rPr>
          <w:rFonts w:ascii="Calibri" w:cs="Calibri" w:eastAsia="Calibri" w:hAnsi="Calibri"/>
          <w:sz w:val="18"/>
          <w:szCs w:val="18"/>
          <w:color w:val="auto"/>
        </w:rPr>
        <w:t>Approval of this proposal requires the afrmatve vote of a majority of the votng power of all issued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and outstanding common stock enttled to vote at the Special Meetng, or 57,945,094 votes FOR the proposal. The Company’s stockholders approved the Transacton, the Asset Purchase Agreement and the other transactons and ancillary documents contemplated by the Asset Purchase Agreement.</w:t>
      </w:r>
    </w:p>
    <w:p>
      <w:pPr>
        <w:spacing w:after="0" w:line="200" w:lineRule="exact"/>
        <w:rPr>
          <w:sz w:val="20"/>
          <w:szCs w:val="20"/>
          <w:color w:val="auto"/>
        </w:rPr>
      </w:pP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2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420" w:type="dxa"/>
            <w:vAlign w:val="bottom"/>
            <w:gridSpan w:val="2"/>
          </w:tcPr>
          <w:p>
            <w:pPr>
              <w:jc w:val="center"/>
              <w:spacing w:after="0"/>
              <w:rPr>
                <w:sz w:val="20"/>
                <w:szCs w:val="20"/>
                <w:color w:val="auto"/>
              </w:rPr>
            </w:pPr>
            <w:r>
              <w:rPr>
                <w:rFonts w:ascii="Calibri" w:cs="Calibri" w:eastAsia="Calibri" w:hAnsi="Calibri"/>
                <w:sz w:val="18"/>
                <w:szCs w:val="18"/>
                <w:b w:val="1"/>
                <w:bCs w:val="1"/>
                <w:color w:val="auto"/>
                <w:w w:val="98"/>
              </w:rPr>
              <w:t>BROKER</w:t>
            </w:r>
          </w:p>
        </w:tc>
      </w:tr>
      <w:tr>
        <w:trPr>
          <w:trHeight w:val="216"/>
        </w:trPr>
        <w:tc>
          <w:tcPr>
            <w:tcW w:w="2200" w:type="dxa"/>
            <w:vAlign w:val="bottom"/>
          </w:tcPr>
          <w:p>
            <w:pPr>
              <w:jc w:val="right"/>
              <w:ind w:right="930"/>
              <w:spacing w:after="0" w:line="216" w:lineRule="exact"/>
              <w:rPr>
                <w:sz w:val="20"/>
                <w:szCs w:val="20"/>
                <w:color w:val="auto"/>
              </w:rPr>
            </w:pPr>
            <w:r>
              <w:rPr>
                <w:rFonts w:ascii="Calibri" w:cs="Calibri" w:eastAsia="Calibri" w:hAnsi="Calibri"/>
                <w:sz w:val="18"/>
                <w:szCs w:val="18"/>
                <w:b w:val="1"/>
                <w:bCs w:val="1"/>
                <w:color w:val="auto"/>
              </w:rPr>
              <w:t>FOR</w:t>
            </w:r>
          </w:p>
        </w:tc>
        <w:tc>
          <w:tcPr>
            <w:tcW w:w="2120" w:type="dxa"/>
            <w:vAlign w:val="bottom"/>
          </w:tcPr>
          <w:p>
            <w:pPr>
              <w:jc w:val="right"/>
              <w:ind w:right="690"/>
              <w:spacing w:after="0" w:line="216" w:lineRule="exact"/>
              <w:rPr>
                <w:sz w:val="20"/>
                <w:szCs w:val="20"/>
                <w:color w:val="auto"/>
              </w:rPr>
            </w:pPr>
            <w:r>
              <w:rPr>
                <w:rFonts w:ascii="Calibri" w:cs="Calibri" w:eastAsia="Calibri" w:hAnsi="Calibri"/>
                <w:sz w:val="18"/>
                <w:szCs w:val="18"/>
                <w:b w:val="1"/>
                <w:bCs w:val="1"/>
                <w:color w:val="auto"/>
              </w:rPr>
              <w:t>AGAINST</w:t>
            </w:r>
          </w:p>
        </w:tc>
        <w:tc>
          <w:tcPr>
            <w:tcW w:w="2180" w:type="dxa"/>
            <w:vAlign w:val="bottom"/>
          </w:tcPr>
          <w:p>
            <w:pPr>
              <w:ind w:left="760"/>
              <w:spacing w:after="0" w:line="216" w:lineRule="exact"/>
              <w:rPr>
                <w:sz w:val="20"/>
                <w:szCs w:val="20"/>
                <w:color w:val="auto"/>
              </w:rPr>
            </w:pPr>
            <w:r>
              <w:rPr>
                <w:rFonts w:ascii="Calibri" w:cs="Calibri" w:eastAsia="Calibri" w:hAnsi="Calibri"/>
                <w:sz w:val="18"/>
                <w:szCs w:val="18"/>
                <w:b w:val="1"/>
                <w:bCs w:val="1"/>
                <w:color w:val="auto"/>
              </w:rPr>
              <w:t>ABSTAIN</w:t>
            </w:r>
          </w:p>
        </w:tc>
        <w:tc>
          <w:tcPr>
            <w:tcW w:w="2420" w:type="dxa"/>
            <w:vAlign w:val="bottom"/>
            <w:gridSpan w:val="2"/>
          </w:tcPr>
          <w:p>
            <w:pPr>
              <w:jc w:val="center"/>
              <w:spacing w:after="0" w:line="216" w:lineRule="exact"/>
              <w:rPr>
                <w:sz w:val="20"/>
                <w:szCs w:val="20"/>
                <w:color w:val="auto"/>
              </w:rPr>
            </w:pPr>
            <w:r>
              <w:rPr>
                <w:rFonts w:ascii="Calibri" w:cs="Calibri" w:eastAsia="Calibri" w:hAnsi="Calibri"/>
                <w:sz w:val="18"/>
                <w:szCs w:val="18"/>
                <w:b w:val="1"/>
                <w:bCs w:val="1"/>
                <w:color w:val="auto"/>
                <w:w w:val="97"/>
              </w:rPr>
              <w:t>NON-VOTES</w:t>
            </w:r>
          </w:p>
        </w:tc>
      </w:tr>
      <w:tr>
        <w:trPr>
          <w:trHeight w:val="23"/>
        </w:trPr>
        <w:tc>
          <w:tcPr>
            <w:tcW w:w="22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2200" w:type="dxa"/>
            <w:vAlign w:val="bottom"/>
            <w:shd w:val="clear" w:color="auto" w:fill="CCEEFF"/>
          </w:tcPr>
          <w:p>
            <w:pPr>
              <w:jc w:val="right"/>
              <w:ind w:right="610"/>
              <w:spacing w:after="0" w:line="209" w:lineRule="exact"/>
              <w:rPr>
                <w:sz w:val="20"/>
                <w:szCs w:val="20"/>
                <w:color w:val="auto"/>
              </w:rPr>
            </w:pPr>
            <w:r>
              <w:rPr>
                <w:rFonts w:ascii="Calibri" w:cs="Calibri" w:eastAsia="Calibri" w:hAnsi="Calibri"/>
                <w:sz w:val="18"/>
                <w:szCs w:val="18"/>
                <w:color w:val="auto"/>
              </w:rPr>
              <w:t>70,989,067</w:t>
            </w:r>
          </w:p>
        </w:tc>
        <w:tc>
          <w:tcPr>
            <w:tcW w:w="2120" w:type="dxa"/>
            <w:vAlign w:val="bottom"/>
            <w:shd w:val="clear" w:color="auto" w:fill="CCEEFF"/>
          </w:tcPr>
          <w:p>
            <w:pPr>
              <w:jc w:val="right"/>
              <w:ind w:right="670"/>
              <w:spacing w:after="0" w:line="209" w:lineRule="exact"/>
              <w:rPr>
                <w:sz w:val="20"/>
                <w:szCs w:val="20"/>
                <w:color w:val="auto"/>
              </w:rPr>
            </w:pPr>
            <w:r>
              <w:rPr>
                <w:rFonts w:ascii="Calibri" w:cs="Calibri" w:eastAsia="Calibri" w:hAnsi="Calibri"/>
                <w:sz w:val="18"/>
                <w:szCs w:val="18"/>
                <w:color w:val="auto"/>
              </w:rPr>
              <w:t>968,989</w:t>
            </w:r>
          </w:p>
        </w:tc>
        <w:tc>
          <w:tcPr>
            <w:tcW w:w="2180" w:type="dxa"/>
            <w:vAlign w:val="bottom"/>
            <w:shd w:val="clear" w:color="auto" w:fill="CCEEFF"/>
          </w:tcPr>
          <w:p>
            <w:pPr>
              <w:ind w:left="780"/>
              <w:spacing w:after="0" w:line="209" w:lineRule="exact"/>
              <w:rPr>
                <w:sz w:val="20"/>
                <w:szCs w:val="20"/>
                <w:color w:val="auto"/>
              </w:rPr>
            </w:pPr>
            <w:r>
              <w:rPr>
                <w:rFonts w:ascii="Calibri" w:cs="Calibri" w:eastAsia="Calibri" w:hAnsi="Calibri"/>
                <w:sz w:val="18"/>
                <w:szCs w:val="18"/>
                <w:color w:val="auto"/>
              </w:rPr>
              <w:t>621,431</w:t>
            </w:r>
          </w:p>
        </w:tc>
        <w:tc>
          <w:tcPr>
            <w:tcW w:w="2400" w:type="dxa"/>
            <w:vAlign w:val="bottom"/>
            <w:shd w:val="clear" w:color="auto" w:fill="CCEEFF"/>
          </w:tcPr>
          <w:p>
            <w:pPr>
              <w:jc w:val="center"/>
              <w:spacing w:after="0" w:line="209" w:lineRule="exact"/>
              <w:rPr>
                <w:sz w:val="20"/>
                <w:szCs w:val="20"/>
                <w:color w:val="auto"/>
              </w:rPr>
            </w:pPr>
            <w:r>
              <w:rPr>
                <w:rFonts w:ascii="Calibri" w:cs="Calibri" w:eastAsia="Calibri" w:hAnsi="Calibri"/>
                <w:sz w:val="18"/>
                <w:szCs w:val="18"/>
                <w:color w:val="auto"/>
              </w:rPr>
              <w:t>0</w:t>
            </w:r>
          </w:p>
        </w:tc>
        <w:tc>
          <w:tcPr>
            <w:tcW w:w="20" w:type="dxa"/>
            <w:vAlign w:val="bottom"/>
          </w:tcPr>
          <w:p>
            <w:pPr>
              <w:spacing w:after="0"/>
              <w:rPr>
                <w:sz w:val="18"/>
                <w:szCs w:val="18"/>
                <w:color w:val="auto"/>
              </w:rPr>
            </w:pPr>
          </w:p>
        </w:tc>
      </w:tr>
      <w:tr>
        <w:trPr>
          <w:trHeight w:val="2099"/>
        </w:trPr>
        <w:tc>
          <w:tcPr>
            <w:tcW w:w="22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-1490980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-1490980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-1490980</wp:posOffset>
            </wp:positionV>
            <wp:extent cx="8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ectPr>
          <w:pgSz w:w="11900" w:h="16838" w:orient="portrait"/>
          <w:cols w:equalWidth="0" w:num="1">
            <w:col w:w="9019"/>
          </w:cols>
          <w:pgMar w:left="1440" w:top="760" w:right="1440" w:bottom="1440" w:gutter="0" w:footer="0" w:header="0"/>
        </w:sectPr>
      </w:pPr>
    </w:p>
    <w:bookmarkStart w:id="2" w:name="page3"/>
    <w:bookmarkEnd w:id="2"/>
    <w:p>
      <w:pPr>
        <w:jc w:val="center"/>
        <w:spacing w:after="0"/>
        <w:rPr>
          <w:sz w:val="20"/>
          <w:szCs w:val="20"/>
          <w:color w:val="auto"/>
        </w:rPr>
      </w:pPr>
      <w:r>
        <w:rPr>
          <w:rFonts w:ascii="Calibri" w:cs="Calibri" w:eastAsia="Calibri" w:hAnsi="Calibri"/>
          <w:sz w:val="18"/>
          <w:szCs w:val="18"/>
          <w:b w:val="1"/>
          <w:bCs w:val="1"/>
          <w:color w:val="auto"/>
        </w:rPr>
        <w:t>SIGNATURES</w:t>
      </w:r>
    </w:p>
    <w:p>
      <w:pPr>
        <w:spacing w:after="0" w:line="217" w:lineRule="exact"/>
        <w:rPr>
          <w:sz w:val="20"/>
          <w:szCs w:val="20"/>
          <w:color w:val="auto"/>
        </w:rPr>
      </w:pPr>
    </w:p>
    <w:p>
      <w:pPr>
        <w:ind w:left="60" w:right="199" w:firstLine="440"/>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as amended, the registrant has duly caused this report to be signed on its behalf by the undersigned hereunto duly authorized.</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100" w:type="dxa"/>
            <w:vAlign w:val="bottom"/>
          </w:tcPr>
          <w:p>
            <w:pPr>
              <w:ind w:left="20"/>
              <w:spacing w:after="0"/>
              <w:rPr>
                <w:sz w:val="20"/>
                <w:szCs w:val="20"/>
                <w:color w:val="auto"/>
              </w:rPr>
            </w:pPr>
            <w:r>
              <w:rPr>
                <w:rFonts w:ascii="Calibri" w:cs="Calibri" w:eastAsia="Calibri" w:hAnsi="Calibri"/>
                <w:sz w:val="18"/>
                <w:szCs w:val="18"/>
                <w:color w:val="auto"/>
              </w:rPr>
              <w:t>Date: March 13, 2025</w:t>
            </w:r>
          </w:p>
        </w:tc>
        <w:tc>
          <w:tcPr>
            <w:tcW w:w="5820" w:type="dxa"/>
            <w:vAlign w:val="bottom"/>
            <w:gridSpan w:val="2"/>
          </w:tcPr>
          <w:p>
            <w:pPr>
              <w:ind w:left="1540"/>
              <w:spacing w:after="0"/>
              <w:rPr>
                <w:sz w:val="20"/>
                <w:szCs w:val="20"/>
                <w:color w:val="auto"/>
              </w:rPr>
            </w:pPr>
            <w:r>
              <w:rPr>
                <w:rFonts w:ascii="Calibri" w:cs="Calibri" w:eastAsia="Calibri" w:hAnsi="Calibri"/>
                <w:sz w:val="18"/>
                <w:szCs w:val="18"/>
                <w:color w:val="auto"/>
              </w:rPr>
              <w:t>COHERUS BIOSCIENCES, INC.</w:t>
            </w:r>
          </w:p>
        </w:tc>
        <w:tc>
          <w:tcPr>
            <w:tcW w:w="0" w:type="dxa"/>
            <w:vAlign w:val="bottom"/>
          </w:tcPr>
          <w:p>
            <w:pPr>
              <w:spacing w:after="0"/>
              <w:rPr>
                <w:sz w:val="1"/>
                <w:szCs w:val="1"/>
                <w:color w:val="auto"/>
              </w:rPr>
            </w:pPr>
          </w:p>
        </w:tc>
      </w:tr>
      <w:tr>
        <w:trPr>
          <w:trHeight w:val="432"/>
        </w:trPr>
        <w:tc>
          <w:tcPr>
            <w:tcW w:w="3100" w:type="dxa"/>
            <w:vAlign w:val="bottom"/>
          </w:tcPr>
          <w:p>
            <w:pPr>
              <w:spacing w:after="0"/>
              <w:rPr>
                <w:sz w:val="24"/>
                <w:szCs w:val="24"/>
                <w:color w:val="auto"/>
              </w:rPr>
            </w:pPr>
          </w:p>
        </w:tc>
        <w:tc>
          <w:tcPr>
            <w:tcW w:w="2200" w:type="dxa"/>
            <w:vAlign w:val="bottom"/>
          </w:tcPr>
          <w:p>
            <w:pPr>
              <w:ind w:left="1540"/>
              <w:spacing w:after="0"/>
              <w:rPr>
                <w:sz w:val="20"/>
                <w:szCs w:val="20"/>
                <w:color w:val="auto"/>
              </w:rPr>
            </w:pPr>
            <w:r>
              <w:rPr>
                <w:rFonts w:ascii="Calibri" w:cs="Calibri" w:eastAsia="Calibri" w:hAnsi="Calibri"/>
                <w:sz w:val="18"/>
                <w:szCs w:val="18"/>
                <w:color w:val="auto"/>
              </w:rPr>
              <w:t>By:</w:t>
            </w:r>
          </w:p>
        </w:tc>
        <w:tc>
          <w:tcPr>
            <w:tcW w:w="3620" w:type="dxa"/>
            <w:vAlign w:val="bottom"/>
          </w:tcPr>
          <w:p>
            <w:pPr>
              <w:spacing w:after="0"/>
              <w:rPr>
                <w:sz w:val="20"/>
                <w:szCs w:val="20"/>
                <w:color w:val="auto"/>
              </w:rPr>
            </w:pPr>
            <w:r>
              <w:rPr>
                <w:rFonts w:ascii="Calibri" w:cs="Calibri" w:eastAsia="Calibri" w:hAnsi="Calibri"/>
                <w:sz w:val="18"/>
                <w:szCs w:val="18"/>
                <w:color w:val="auto"/>
              </w:rPr>
              <w:t>/s/ Dennis M. Lanfear</w:t>
            </w:r>
          </w:p>
        </w:tc>
        <w:tc>
          <w:tcPr>
            <w:tcW w:w="0" w:type="dxa"/>
            <w:vAlign w:val="bottom"/>
          </w:tcPr>
          <w:p>
            <w:pPr>
              <w:spacing w:after="0"/>
              <w:rPr>
                <w:sz w:val="1"/>
                <w:szCs w:val="1"/>
                <w:color w:val="auto"/>
              </w:rPr>
            </w:pPr>
          </w:p>
        </w:tc>
      </w:tr>
      <w:tr>
        <w:trPr>
          <w:trHeight w:val="23"/>
        </w:trPr>
        <w:tc>
          <w:tcPr>
            <w:tcW w:w="3100" w:type="dxa"/>
            <w:vAlign w:val="bottom"/>
          </w:tcPr>
          <w:p>
            <w:pPr>
              <w:spacing w:after="0"/>
              <w:rPr>
                <w:sz w:val="2"/>
                <w:szCs w:val="2"/>
                <w:color w:val="auto"/>
              </w:rPr>
            </w:pPr>
          </w:p>
        </w:tc>
        <w:tc>
          <w:tcPr>
            <w:tcW w:w="2200" w:type="dxa"/>
            <w:vAlign w:val="bottom"/>
            <w:vMerge w:val="restart"/>
          </w:tcPr>
          <w:p>
            <w:pPr>
              <w:ind w:left="1540"/>
              <w:spacing w:after="0"/>
              <w:rPr>
                <w:sz w:val="20"/>
                <w:szCs w:val="20"/>
                <w:color w:val="auto"/>
              </w:rPr>
            </w:pPr>
            <w:r>
              <w:rPr>
                <w:rFonts w:ascii="Calibri" w:cs="Calibri" w:eastAsia="Calibri" w:hAnsi="Calibri"/>
                <w:sz w:val="18"/>
                <w:szCs w:val="18"/>
                <w:color w:val="auto"/>
              </w:rPr>
              <w:t>Name:</w:t>
            </w:r>
          </w:p>
        </w:tc>
        <w:tc>
          <w:tcPr>
            <w:tcW w:w="3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100" w:type="dxa"/>
            <w:vAlign w:val="bottom"/>
          </w:tcPr>
          <w:p>
            <w:pPr>
              <w:spacing w:after="0"/>
              <w:rPr>
                <w:sz w:val="16"/>
                <w:szCs w:val="16"/>
                <w:color w:val="auto"/>
              </w:rPr>
            </w:pPr>
          </w:p>
        </w:tc>
        <w:tc>
          <w:tcPr>
            <w:tcW w:w="2200" w:type="dxa"/>
            <w:vAlign w:val="bottom"/>
            <w:vMerge w:val="continue"/>
          </w:tcPr>
          <w:p>
            <w:pPr>
              <w:spacing w:after="0"/>
              <w:rPr>
                <w:sz w:val="16"/>
                <w:szCs w:val="16"/>
                <w:color w:val="auto"/>
              </w:rPr>
            </w:pPr>
          </w:p>
        </w:tc>
        <w:tc>
          <w:tcPr>
            <w:tcW w:w="3620" w:type="dxa"/>
            <w:vAlign w:val="bottom"/>
          </w:tcPr>
          <w:p>
            <w:pPr>
              <w:spacing w:after="0" w:line="187" w:lineRule="exact"/>
              <w:rPr>
                <w:sz w:val="20"/>
                <w:szCs w:val="20"/>
                <w:color w:val="auto"/>
              </w:rPr>
            </w:pPr>
            <w:r>
              <w:rPr>
                <w:rFonts w:ascii="Calibri" w:cs="Calibri" w:eastAsia="Calibri" w:hAnsi="Calibri"/>
                <w:sz w:val="18"/>
                <w:szCs w:val="18"/>
                <w:color w:val="auto"/>
              </w:rPr>
              <w:t>Dennis M. Lanfear</w:t>
            </w:r>
          </w:p>
        </w:tc>
        <w:tc>
          <w:tcPr>
            <w:tcW w:w="0" w:type="dxa"/>
            <w:vAlign w:val="bottom"/>
          </w:tcPr>
          <w:p>
            <w:pPr>
              <w:spacing w:after="0"/>
              <w:rPr>
                <w:sz w:val="1"/>
                <w:szCs w:val="1"/>
                <w:color w:val="auto"/>
              </w:rPr>
            </w:pPr>
          </w:p>
        </w:tc>
      </w:tr>
      <w:tr>
        <w:trPr>
          <w:trHeight w:val="215"/>
        </w:trPr>
        <w:tc>
          <w:tcPr>
            <w:tcW w:w="3100" w:type="dxa"/>
            <w:vAlign w:val="bottom"/>
          </w:tcPr>
          <w:p>
            <w:pPr>
              <w:spacing w:after="0"/>
              <w:rPr>
                <w:sz w:val="18"/>
                <w:szCs w:val="18"/>
                <w:color w:val="auto"/>
              </w:rPr>
            </w:pPr>
          </w:p>
        </w:tc>
        <w:tc>
          <w:tcPr>
            <w:tcW w:w="2200" w:type="dxa"/>
            <w:vAlign w:val="bottom"/>
          </w:tcPr>
          <w:p>
            <w:pPr>
              <w:ind w:left="1540"/>
              <w:spacing w:after="0" w:line="215" w:lineRule="exact"/>
              <w:rPr>
                <w:sz w:val="20"/>
                <w:szCs w:val="20"/>
                <w:color w:val="auto"/>
              </w:rPr>
            </w:pPr>
            <w:r>
              <w:rPr>
                <w:rFonts w:ascii="Calibri" w:cs="Calibri" w:eastAsia="Calibri" w:hAnsi="Calibri"/>
                <w:sz w:val="18"/>
                <w:szCs w:val="18"/>
                <w:color w:val="auto"/>
              </w:rPr>
              <w:t>Title:</w:t>
            </w:r>
          </w:p>
        </w:tc>
        <w:tc>
          <w:tcPr>
            <w:tcW w:w="3620" w:type="dxa"/>
            <w:vAlign w:val="bottom"/>
          </w:tcPr>
          <w:p>
            <w:pPr>
              <w:spacing w:after="0" w:line="215" w:lineRule="exact"/>
              <w:rPr>
                <w:sz w:val="20"/>
                <w:szCs w:val="20"/>
                <w:color w:val="auto"/>
              </w:rPr>
            </w:pPr>
            <w:r>
              <w:rPr>
                <w:rFonts w:ascii="Calibri" w:cs="Calibri" w:eastAsia="Calibri" w:hAnsi="Calibri"/>
                <w:sz w:val="18"/>
                <w:szCs w:val="18"/>
                <w:color w:val="auto"/>
              </w:rPr>
              <w:t>Chief Executve Ofcer</w:t>
            </w:r>
          </w:p>
        </w:tc>
        <w:tc>
          <w:tcPr>
            <w:tcW w:w="0" w:type="dxa"/>
            <w:vAlign w:val="bottom"/>
          </w:tcPr>
          <w:p>
            <w:pPr>
              <w:spacing w:after="0"/>
              <w:rPr>
                <w:sz w:val="1"/>
                <w:szCs w:val="1"/>
                <w:color w:val="auto"/>
              </w:rPr>
            </w:pPr>
          </w:p>
        </w:tc>
      </w:tr>
      <w:tr>
        <w:trPr>
          <w:trHeight w:val="1246"/>
        </w:trPr>
        <w:tc>
          <w:tcPr>
            <w:tcW w:w="3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9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2025-03-13T05:16:11Z</dcterms:created>
  <dcterms:modified xsi:type="dcterms:W3CDTF">2025-03-13T05:16:11Z</dcterms:modified>
</cp:coreProperties>
</file>