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825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2586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McMichael Bryan J</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COHERUS ONCOLOGY,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333 TWIN DOLPHIN DRIVE, 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Coherus Oncology,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CHRS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4"/>
          <w:szCs w:val="24"/>
          <w:color w:val="auto"/>
        </w:rPr>
      </w:pPr>
      <w:r>
        <w:rPr>
          <w:sz w:val="24"/>
          <w:szCs w:val="24"/>
          <w:color w:val="auto"/>
        </w:rPr>
        <w:br w:type="column"/>
      </w:r>
    </w:p>
    <w:p>
      <w:pPr>
        <w:ind w:left="5" w:right="720" w:hanging="5"/>
        <w:spacing w:after="0" w:line="27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73"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42"/>
        </w:trPr>
        <w:tc>
          <w:tcPr>
            <w:tcW w:w="20" w:type="dxa"/>
            <w:vAlign w:val="bottom"/>
            <w:vMerge w:val="restart"/>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restart"/>
          </w:tcPr>
          <w:p>
            <w:pPr>
              <w:jc w:val="center"/>
              <w:ind w:right="301"/>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REDWOOD</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36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94065</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CITY</w:t>
            </w:r>
          </w:p>
        </w:tc>
        <w:tc>
          <w:tcPr>
            <w:tcW w:w="6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5660" w:type="dxa"/>
            <w:vAlign w:val="bottom"/>
            <w:tcBorders>
              <w:bottom w:val="single" w:sz="8" w:color="2C2C2C"/>
            </w:tcBorders>
            <w:gridSpan w:val="10"/>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25"/>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25"/>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14.76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7"/>
                <w:szCs w:val="17"/>
                <w:color w:val="auto"/>
              </w:rPr>
            </w:pPr>
          </w:p>
        </w:tc>
        <w:tc>
          <w:tcPr>
            <w:tcW w:w="50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0000FF"/>
              </w:rPr>
              <w:t>100,000</w:t>
            </w: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04/28/2031</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1"/>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14.67</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25,000</w:t>
            </w: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01/07/2032</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15,000</w:t>
            </w: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09/07/2032</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9.87</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25,000</w:t>
            </w: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01/04/2033</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25,000</w:t>
            </w: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03/27/2033</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5.44</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60" w:type="dxa"/>
            <w:vAlign w:val="bottom"/>
          </w:tcPr>
          <w:p>
            <w:pPr>
              <w:spacing w:after="0"/>
              <w:rPr>
                <w:sz w:val="11"/>
                <w:szCs w:val="11"/>
                <w:color w:val="auto"/>
              </w:rPr>
            </w:pPr>
          </w:p>
        </w:tc>
        <w:tc>
          <w:tcPr>
            <w:tcW w:w="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30,000</w:t>
            </w: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06/13/2033</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vMerge w:val="restart"/>
          </w:tcPr>
          <w:p>
            <w:pPr>
              <w:jc w:val="center"/>
              <w:ind w:left="241"/>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20" w:type="dxa"/>
            <w:vAlign w:val="bottom"/>
          </w:tcPr>
          <w:p>
            <w:pPr>
              <w:jc w:val="center"/>
              <w:ind w:left="84"/>
              <w:spacing w:after="0" w:line="200" w:lineRule="exact"/>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0000FF"/>
              </w:rPr>
              <w:t>100,000</w:t>
            </w:r>
          </w:p>
        </w:tc>
        <w:tc>
          <w:tcPr>
            <w:tcW w:w="500" w:type="dxa"/>
            <w:vAlign w:val="bottom"/>
          </w:tcPr>
          <w:p>
            <w:pPr>
              <w:spacing w:after="0"/>
              <w:rPr>
                <w:sz w:val="17"/>
                <w:szCs w:val="17"/>
                <w:color w:val="auto"/>
              </w:rPr>
            </w:pPr>
          </w:p>
        </w:tc>
        <w:tc>
          <w:tcPr>
            <w:tcW w:w="740" w:type="dxa"/>
            <w:vAlign w:val="bottom"/>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2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jc w:val="center"/>
              <w:ind w:right="1"/>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rPr>
              <w:t>25,000</w:t>
            </w: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25,000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rPr>
              <w:t>15,000</w:t>
            </w: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15,000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rPr>
              <w:t>25,000</w:t>
            </w: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25,000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jc w:val="center"/>
              <w:ind w:right="1"/>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3"/>
              </w:rPr>
              <w:t>$</w:t>
            </w:r>
            <w:r>
              <w:rPr>
                <w:rFonts w:ascii="Times New Roman" w:cs="Times New Roman" w:eastAsia="Times New Roman" w:hAnsi="Times New Roman"/>
                <w:sz w:val="12"/>
                <w:szCs w:val="12"/>
                <w:color w:val="0000FF"/>
                <w:w w:val="93"/>
              </w:rPr>
              <w:t>1.59</w:t>
            </w:r>
            <w:r>
              <w:rPr>
                <w:rFonts w:ascii="Times New Roman" w:cs="Times New Roman" w:eastAsia="Times New Roman" w:hAnsi="Times New Roman"/>
                <w:sz w:val="20"/>
                <w:szCs w:val="20"/>
                <w:color w:val="008000"/>
                <w:w w:val="93"/>
                <w:vertAlign w:val="superscript"/>
              </w:rPr>
              <w:t>(6)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05/29/2026</w:t>
            </w:r>
          </w:p>
        </w:tc>
        <w:tc>
          <w:tcPr>
            <w:tcW w:w="1100" w:type="dxa"/>
            <w:vAlign w:val="bottom"/>
          </w:tcPr>
          <w:p>
            <w:pPr>
              <w:spacing w:after="0"/>
              <w:rPr>
                <w:sz w:val="11"/>
                <w:szCs w:val="11"/>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color w:val="0000FF"/>
              </w:rPr>
              <w:t>25,000</w:t>
            </w:r>
          </w:p>
        </w:tc>
        <w:tc>
          <w:tcPr>
            <w:tcW w:w="500" w:type="dxa"/>
            <w:vAlign w:val="bottom"/>
          </w:tcPr>
          <w:p>
            <w:pPr>
              <w:spacing w:after="0"/>
              <w:rPr>
                <w:sz w:val="11"/>
                <w:szCs w:val="11"/>
                <w:color w:val="auto"/>
              </w:rPr>
            </w:pPr>
          </w:p>
        </w:tc>
        <w:tc>
          <w:tcPr>
            <w:tcW w:w="74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25,000</w:t>
            </w:r>
          </w:p>
        </w:tc>
        <w:tc>
          <w:tcPr>
            <w:tcW w:w="20" w:type="dxa"/>
            <w:vAlign w:val="bottom"/>
          </w:tcPr>
          <w:p>
            <w:pPr>
              <w:spacing w:after="0"/>
              <w:rPr>
                <w:sz w:val="11"/>
                <w:szCs w:val="11"/>
                <w:color w:val="auto"/>
              </w:rPr>
            </w:pPr>
          </w:p>
        </w:tc>
        <w:tc>
          <w:tcPr>
            <w:tcW w:w="70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25,000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710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171069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r>
              <w:rPr>
                <w:rFonts w:ascii="Times New Roman" w:cs="Times New Roman" w:eastAsia="Times New Roman" w:hAnsi="Times New Roman"/>
                <w:sz w:val="20"/>
                <w:szCs w:val="20"/>
                <w:color w:val="008000"/>
                <w:vertAlign w:val="superscript"/>
              </w:rPr>
              <w:t>(6)</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05/29/2026</w:t>
            </w:r>
          </w:p>
        </w:tc>
        <w:tc>
          <w:tcPr>
            <w:tcW w:w="104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30,000</w:t>
            </w:r>
          </w:p>
        </w:tc>
        <w:tc>
          <w:tcPr>
            <w:tcW w:w="440" w:type="dxa"/>
            <w:vAlign w:val="bottom"/>
          </w:tcPr>
          <w:p>
            <w:pPr>
              <w:spacing w:after="0"/>
              <w:rPr>
                <w:sz w:val="11"/>
                <w:szCs w:val="11"/>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05/29/2036</w:t>
            </w:r>
          </w:p>
        </w:tc>
        <w:tc>
          <w:tcPr>
            <w:tcW w:w="66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30,000</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30,000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fully vested and exercisable.</w:t>
      </w:r>
    </w:p>
    <w:p>
      <w:pPr>
        <w:spacing w:after="0" w:line="48" w:lineRule="exact"/>
        <w:rPr>
          <w:rFonts w:ascii="Times New Roman" w:cs="Times New Roman" w:eastAsia="Times New Roman" w:hAnsi="Times New Roman"/>
          <w:sz w:val="12"/>
          <w:szCs w:val="12"/>
          <w:color w:val="008000"/>
        </w:rPr>
      </w:pPr>
    </w:p>
    <w:p>
      <w:pPr>
        <w:ind w:left="20" w:right="32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underlying shares subject to the option vest and become exercisable as to 1/48th of the total number of shares subject to the option in successive, equal monthly installments measured from September 7, 2022, subject to Reporting Person's continued service relationship with the Issuer on each such vesting date.</w:t>
      </w:r>
    </w:p>
    <w:p>
      <w:pPr>
        <w:ind w:left="20" w:right="46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underlying shares subject to the option vest and become exercisable as to 1/48th of the total number of shares subject to the option in successive, equal monthly installments measured from January 4, 2023, subject to Reporting Person's continued service relationship with the Issuer on each such vesting date.</w:t>
      </w:r>
    </w:p>
    <w:p>
      <w:pPr>
        <w:ind w:left="20" w:right="46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underlying shares subject to the option vest and become exercisable as to 1/48th of the total number of shares subject to the option in successive, equal monthly installments measured from March 27, 2023, subject to Reporting Person's continued service relationship with the Issuer on each such vesting date.</w:t>
      </w: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29, 2026, the Issuer's stockholders approved the repricing of the option. As further described in footnote 6, all other terms of the option remain unchanged.</w:t>
      </w:r>
    </w:p>
    <w:p>
      <w:pPr>
        <w:spacing w:after="0" w:line="48" w:lineRule="exact"/>
        <w:rPr>
          <w:rFonts w:ascii="Times New Roman" w:cs="Times New Roman" w:eastAsia="Times New Roman" w:hAnsi="Times New Roman"/>
          <w:sz w:val="12"/>
          <w:szCs w:val="12"/>
          <w:color w:val="008000"/>
        </w:rPr>
      </w:pPr>
    </w:p>
    <w:p>
      <w:pPr>
        <w:ind w:left="20" w:right="180" w:hanging="3"/>
        <w:spacing w:after="0" w:line="281"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29, 2026, the Issuer's stockholders approved an option repricing at an exercise price of $1.59 per share (the "Repricing") of the stock options held by current employees and other service providers previously priced at or over $5. The Repricing is subject to the Reporting Person remaining in service to the Issuer through May 29, 2027.</w:t>
      </w:r>
    </w:p>
    <w:p>
      <w:pPr>
        <w:spacing w:after="0" w:line="1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Bryan McMichael</w:t>
            </w:r>
          </w:p>
        </w:tc>
        <w:tc>
          <w:tcPr>
            <w:tcW w:w="720" w:type="dxa"/>
            <w:vAlign w:val="bottom"/>
          </w:tcPr>
          <w:p>
            <w:pPr>
              <w:spacing w:after="0"/>
              <w:rPr>
                <w:sz w:val="20"/>
                <w:szCs w:val="20"/>
                <w:color w:val="auto"/>
              </w:rPr>
            </w:pPr>
            <w:r>
              <w:rPr>
                <w:rFonts w:ascii="Times New Roman" w:cs="Times New Roman" w:eastAsia="Times New Roman" w:hAnsi="Times New Roman"/>
                <w:sz w:val="16"/>
                <w:szCs w:val="16"/>
                <w:color w:val="0000FF"/>
                <w:w w:val="95"/>
              </w:rPr>
              <w:t>06/02/2026</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4"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868" TargetMode="External"/><Relationship Id="rId14" Type="http://schemas.openxmlformats.org/officeDocument/2006/relationships/hyperlink" Target="http://www.sec.gov/cgi-bin/browse-edgar?action=getcompany&amp;CIK=00015127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2026-06-02T19:33:32Z</dcterms:created>
  <dcterms:modified xsi:type="dcterms:W3CDTF">2026-06-02T19:33:32Z</dcterms:modified>
</cp:coreProperties>
</file>