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Ibolya Ignat and Angela Connell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 Coherus BioSciences,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 for Fiscal Year Ended December 31, 2020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February 25,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8-K furnished November 8,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001-36721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Ignat and Ms. Connell,</w:t>
      </w:r>
    </w:p>
    <w:p>
      <w:pPr>
        <w:spacing w:after="0" w:line="225"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Coherus BioSciences, Inc. (the “Company”, “we”, “our”) is providing this letter in response to the comment received from the staff (the “Staff”) of the United States Securities and Exchange Commission (the “SEC”) by letter dated December 16, 2021, (the “Comment Letter”) and the additional comment received from the Staff by letter dated April 7, 2022 (the “Additional Comment Letter”). To facilitate your review, we have included in bold italics the Staff’s comment from the Additional Comment Letter below.</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furnished November 8, 2021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page 7</w:t>
      </w:r>
    </w:p>
    <w:p>
      <w:pPr>
        <w:spacing w:after="0" w:line="108" w:lineRule="exact"/>
        <w:rPr>
          <w:sz w:val="24"/>
          <w:szCs w:val="24"/>
          <w:color w:val="auto"/>
        </w:rPr>
      </w:pPr>
    </w:p>
    <w:p>
      <w:pPr>
        <w:ind w:left="960" w:right="100" w:hanging="532"/>
        <w:spacing w:after="0" w:line="278" w:lineRule="auto"/>
        <w:tabs>
          <w:tab w:leader="none" w:pos="960" w:val="left"/>
        </w:tabs>
        <w:numPr>
          <w:ilvl w:val="0"/>
          <w:numId w:val="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We appreciate the information provided to us in your response letter and during our conference call. We believe that your adjustments to exclude the upfront and milestone based license fees from Non-GAAP net (loss) are inconsistent with the guidance in Question</w:t>
      </w:r>
    </w:p>
    <w:p>
      <w:pPr>
        <w:spacing w:after="0" w:line="1" w:lineRule="exact"/>
        <w:rPr>
          <w:rFonts w:ascii="Times New Roman" w:cs="Times New Roman" w:eastAsia="Times New Roman" w:hAnsi="Times New Roman"/>
          <w:sz w:val="17"/>
          <w:szCs w:val="17"/>
          <w:b w:val="1"/>
          <w:bCs w:val="1"/>
          <w:i w:val="1"/>
          <w:iCs w:val="1"/>
          <w:color w:val="auto"/>
        </w:rPr>
      </w:pPr>
    </w:p>
    <w:p>
      <w:pPr>
        <w:ind w:left="960" w:right="20"/>
        <w:spacing w:after="0" w:line="255"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b w:val="1"/>
          <w:bCs w:val="1"/>
          <w:i w:val="1"/>
          <w:iCs w:val="1"/>
          <w:color w:val="auto"/>
        </w:rPr>
        <w:t>100.01 of the Non-GAAP Financial Measures Compliance and Disclosure Interpretations. Please confirm to us that you will no longer include these adjustments in any non-GAAP financial measure presented in accordance with Item 10(e) of Regulation S-K or Regulation 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in our future Form 8-K filings, earnings releases and other presentations that include Non-GAAP financial measures, for all periods presented, we will no longer make adjustments to exclude the upfront and milestone based license fees from Non-GAAP net (loss) and any other non-GAAP financial measures presented in accordance with Item 10(e) of Regulation S-K or Regulation G. We will update prior period information for comparability to current year presentation.</w:t>
      </w:r>
    </w:p>
    <w:p>
      <w:pPr>
        <w:spacing w:after="0" w:line="18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responding to the Additional Comment Letter, the Company acknowledges that it is responsible for the adequacy and accuracy of the disclosures in its filings notwithstanding any Staff comments or changes to disclosure in response to Staff comments.</w:t>
      </w:r>
    </w:p>
    <w:p>
      <w:pPr>
        <w:spacing w:after="0" w:line="16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you have any further questions regarding the matters addressed in this letter, I can be reached at (650) 395-0152, and if I am not available, please contact Bryan McMichael, Coherus’ Senior Vice President, Corporate Controller, at (650) 649-3548.</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McDavid Stilwell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McDavid Stilwell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Bryan McMichael</w:t>
      </w:r>
    </w:p>
    <w:sectPr>
      <w:pgSz w:w="11900" w:h="16838" w:orient="portrait"/>
      <w:cols w:equalWidth="0" w:num="1">
        <w:col w:w="10980"/>
      </w:cols>
      <w:pgMar w:left="440" w:top="2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2022-05-18T23:08:57Z</dcterms:created>
  <dcterms:modified xsi:type="dcterms:W3CDTF">2022-05-18T23:08:57Z</dcterms:modified>
</cp:coreProperties>
</file>