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-222250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117475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85725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128905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COHERUS ONCOLOGY,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48895</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00" w:lineRule="exact"/>
        <w:rPr>
          <w:sz w:val="24"/>
          <w:szCs w:val="24"/>
          <w:color w:val="auto"/>
        </w:rPr>
      </w:pPr>
    </w:p>
    <w:tbl>
      <w:tblPr>
        <w:tblLayout w:type="fixed"/>
        <w:tblInd w:w="1180" w:type="dxa"/>
        <w:tblCellMar>
          <w:top w:w="0" w:type="dxa"/>
          <w:left w:w="0" w:type="dxa"/>
          <w:bottom w:w="0" w:type="dxa"/>
          <w:right w:w="0" w:type="dxa"/>
        </w:tblCellMar>
      </w:tblPr>
      <w:tr>
        <w:trPr>
          <w:trHeight w:val="194"/>
        </w:trPr>
        <w:tc>
          <w:tcPr>
            <w:tcW w:w="2700" w:type="dxa"/>
            <w:vAlign w:val="bottom"/>
          </w:tcPr>
          <w:p>
            <w:pPr>
              <w:jc w:val="center"/>
              <w:ind w:right="825"/>
              <w:spacing w:after="0"/>
              <w:rPr>
                <w:sz w:val="20"/>
                <w:szCs w:val="20"/>
                <w:color w:val="auto"/>
              </w:rPr>
            </w:pPr>
            <w:r>
              <w:rPr>
                <w:rFonts w:ascii="Arial" w:cs="Arial" w:eastAsia="Arial" w:hAnsi="Arial"/>
                <w:sz w:val="16"/>
                <w:szCs w:val="16"/>
                <w:b w:val="1"/>
                <w:bCs w:val="1"/>
                <w:color w:val="auto"/>
              </w:rPr>
              <w:t>Delaware</w:t>
            </w:r>
          </w:p>
        </w:tc>
        <w:tc>
          <w:tcPr>
            <w:tcW w:w="2660" w:type="dxa"/>
            <w:vAlign w:val="bottom"/>
          </w:tcPr>
          <w:p>
            <w:pPr>
              <w:jc w:val="center"/>
              <w:ind w:left="5"/>
              <w:spacing w:after="0"/>
              <w:rPr>
                <w:sz w:val="20"/>
                <w:szCs w:val="20"/>
                <w:color w:val="auto"/>
              </w:rPr>
            </w:pPr>
            <w:r>
              <w:rPr>
                <w:rFonts w:ascii="Arial" w:cs="Arial" w:eastAsia="Arial" w:hAnsi="Arial"/>
                <w:sz w:val="16"/>
                <w:szCs w:val="16"/>
                <w:b w:val="1"/>
                <w:bCs w:val="1"/>
                <w:color w:val="auto"/>
              </w:rPr>
              <w:t>001-36721</w:t>
            </w:r>
          </w:p>
        </w:tc>
        <w:tc>
          <w:tcPr>
            <w:tcW w:w="2360" w:type="dxa"/>
            <w:vAlign w:val="bottom"/>
          </w:tcPr>
          <w:p>
            <w:pPr>
              <w:jc w:val="center"/>
              <w:ind w:left="745"/>
              <w:spacing w:after="0"/>
              <w:rPr>
                <w:sz w:val="20"/>
                <w:szCs w:val="20"/>
                <w:color w:val="auto"/>
              </w:rPr>
            </w:pPr>
            <w:r>
              <w:rPr>
                <w:rFonts w:ascii="Arial" w:cs="Arial" w:eastAsia="Arial" w:hAnsi="Arial"/>
                <w:sz w:val="16"/>
                <w:szCs w:val="16"/>
                <w:b w:val="1"/>
                <w:bCs w:val="1"/>
                <w:color w:val="auto"/>
              </w:rPr>
              <w:t>27-3615821</w:t>
            </w:r>
          </w:p>
        </w:tc>
      </w:tr>
      <w:tr>
        <w:trPr>
          <w:trHeight w:val="162"/>
        </w:trPr>
        <w:tc>
          <w:tcPr>
            <w:tcW w:w="2700" w:type="dxa"/>
            <w:vAlign w:val="bottom"/>
          </w:tcPr>
          <w:p>
            <w:pPr>
              <w:jc w:val="center"/>
              <w:ind w:right="825"/>
              <w:spacing w:after="0"/>
              <w:rPr>
                <w:sz w:val="20"/>
                <w:szCs w:val="20"/>
                <w:color w:val="auto"/>
              </w:rPr>
            </w:pPr>
            <w:r>
              <w:rPr>
                <w:rFonts w:ascii="Arial" w:cs="Arial" w:eastAsia="Arial" w:hAnsi="Arial"/>
                <w:sz w:val="14"/>
                <w:szCs w:val="14"/>
                <w:b w:val="1"/>
                <w:bCs w:val="1"/>
                <w:color w:val="auto"/>
              </w:rPr>
              <w:t>(State or other jurisdiction</w:t>
            </w:r>
          </w:p>
        </w:tc>
        <w:tc>
          <w:tcPr>
            <w:tcW w:w="2660" w:type="dxa"/>
            <w:vAlign w:val="bottom"/>
          </w:tcPr>
          <w:p>
            <w:pPr>
              <w:jc w:val="center"/>
              <w:ind w:left="5"/>
              <w:spacing w:after="0"/>
              <w:rPr>
                <w:sz w:val="20"/>
                <w:szCs w:val="20"/>
                <w:color w:val="auto"/>
              </w:rPr>
            </w:pPr>
            <w:r>
              <w:rPr>
                <w:rFonts w:ascii="Arial" w:cs="Arial" w:eastAsia="Arial" w:hAnsi="Arial"/>
                <w:sz w:val="14"/>
                <w:szCs w:val="14"/>
                <w:b w:val="1"/>
                <w:bCs w:val="1"/>
                <w:color w:val="auto"/>
              </w:rPr>
              <w:t>(Commission</w:t>
            </w:r>
          </w:p>
        </w:tc>
        <w:tc>
          <w:tcPr>
            <w:tcW w:w="2360" w:type="dxa"/>
            <w:vAlign w:val="bottom"/>
          </w:tcPr>
          <w:p>
            <w:pPr>
              <w:jc w:val="center"/>
              <w:ind w:left="745"/>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2700" w:type="dxa"/>
            <w:vAlign w:val="bottom"/>
          </w:tcPr>
          <w:p>
            <w:pPr>
              <w:jc w:val="center"/>
              <w:ind w:right="825"/>
              <w:spacing w:after="0"/>
              <w:rPr>
                <w:sz w:val="20"/>
                <w:szCs w:val="20"/>
                <w:color w:val="auto"/>
              </w:rPr>
            </w:pPr>
            <w:r>
              <w:rPr>
                <w:rFonts w:ascii="Arial" w:cs="Arial" w:eastAsia="Arial" w:hAnsi="Arial"/>
                <w:sz w:val="14"/>
                <w:szCs w:val="14"/>
                <w:b w:val="1"/>
                <w:bCs w:val="1"/>
                <w:color w:val="auto"/>
              </w:rPr>
              <w:t>of incorporation)</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rPr>
              <w:t>File Number)</w:t>
            </w:r>
          </w:p>
        </w:tc>
        <w:tc>
          <w:tcPr>
            <w:tcW w:w="2360" w:type="dxa"/>
            <w:vAlign w:val="bottom"/>
          </w:tcPr>
          <w:p>
            <w:pPr>
              <w:jc w:val="center"/>
              <w:ind w:left="765"/>
              <w:spacing w:after="0"/>
              <w:rPr>
                <w:sz w:val="20"/>
                <w:szCs w:val="20"/>
                <w:color w:val="auto"/>
              </w:rPr>
            </w:pPr>
            <w:r>
              <w:rPr>
                <w:rFonts w:ascii="Arial" w:cs="Arial" w:eastAsia="Arial" w:hAnsi="Arial"/>
                <w:sz w:val="14"/>
                <w:szCs w:val="14"/>
                <w:b w:val="1"/>
                <w:bCs w:val="1"/>
                <w:color w:val="auto"/>
              </w:rPr>
              <w:t>Identification Number)</w:t>
            </w:r>
          </w:p>
        </w:tc>
      </w:tr>
    </w:tbl>
    <w:p>
      <w:pPr>
        <w:spacing w:after="0" w:line="159" w:lineRule="exact"/>
        <w:rPr>
          <w:sz w:val="24"/>
          <w:szCs w:val="24"/>
          <w:color w:val="auto"/>
        </w:rPr>
      </w:pPr>
    </w:p>
    <w:p>
      <w:pPr>
        <w:ind w:left="3540"/>
        <w:spacing w:after="0"/>
        <w:rPr>
          <w:sz w:val="20"/>
          <w:szCs w:val="20"/>
          <w:color w:val="auto"/>
        </w:rPr>
      </w:pPr>
      <w:r>
        <w:rPr>
          <w:rFonts w:ascii="Arial" w:cs="Arial" w:eastAsia="Arial" w:hAnsi="Arial"/>
          <w:sz w:val="18"/>
          <w:szCs w:val="18"/>
          <w:b w:val="1"/>
          <w:bCs w:val="1"/>
          <w:color w:val="auto"/>
        </w:rPr>
        <w:t>333 Twin Dolphin Drive, Suite 600</w:t>
      </w:r>
    </w:p>
    <w:p>
      <w:pPr>
        <w:spacing w:after="0" w:line="14" w:lineRule="exact"/>
        <w:rPr>
          <w:sz w:val="24"/>
          <w:szCs w:val="24"/>
          <w:color w:val="auto"/>
        </w:rPr>
      </w:pPr>
    </w:p>
    <w:p>
      <w:pPr>
        <w:ind w:left="3900"/>
        <w:spacing w:after="0"/>
        <w:rPr>
          <w:sz w:val="20"/>
          <w:szCs w:val="20"/>
          <w:color w:val="auto"/>
        </w:rPr>
      </w:pPr>
      <w:r>
        <w:rPr>
          <w:rFonts w:ascii="Arial" w:cs="Arial" w:eastAsia="Arial" w:hAnsi="Arial"/>
          <w:sz w:val="18"/>
          <w:szCs w:val="18"/>
          <w:b w:val="1"/>
          <w:bCs w:val="1"/>
          <w:color w:val="auto"/>
        </w:rPr>
        <w:t>Redwood City, CA 94065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649-3530</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N/A</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100330</wp:posOffset>
            </wp:positionV>
            <wp:extent cx="15773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09" w:lineRule="exact"/>
        <w:rPr>
          <w:sz w:val="24"/>
          <w:szCs w:val="24"/>
          <w:color w:val="auto"/>
        </w:rPr>
      </w:pPr>
    </w:p>
    <w:p>
      <w:pPr>
        <w:ind w:right="66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180" w:hanging="171"/>
        <w:spacing w:after="0"/>
        <w:tabs>
          <w:tab w:leader="none" w:pos="1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23" w:lineRule="exact"/>
        <w:rPr>
          <w:rFonts w:ascii="MS PGothic" w:cs="MS PGothic" w:eastAsia="MS PGothic" w:hAnsi="MS PGothic"/>
          <w:sz w:val="17"/>
          <w:szCs w:val="17"/>
          <w:color w:val="auto"/>
        </w:rPr>
      </w:pPr>
    </w:p>
    <w:p>
      <w:pPr>
        <w:ind w:left="180" w:hanging="171"/>
        <w:spacing w:after="0"/>
        <w:tabs>
          <w:tab w:leader="none" w:pos="1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23" w:lineRule="exact"/>
        <w:rPr>
          <w:rFonts w:ascii="MS PGothic" w:cs="MS PGothic" w:eastAsia="MS PGothic" w:hAnsi="MS PGothic"/>
          <w:sz w:val="17"/>
          <w:szCs w:val="17"/>
          <w:color w:val="auto"/>
        </w:rPr>
      </w:pPr>
    </w:p>
    <w:p>
      <w:pPr>
        <w:ind w:left="180" w:hanging="171"/>
        <w:spacing w:after="0"/>
        <w:tabs>
          <w:tab w:leader="none" w:pos="1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23" w:lineRule="exact"/>
        <w:rPr>
          <w:rFonts w:ascii="MS PGothic" w:cs="MS PGothic" w:eastAsia="MS PGothic" w:hAnsi="MS PGothic"/>
          <w:sz w:val="17"/>
          <w:szCs w:val="17"/>
          <w:color w:val="auto"/>
        </w:rPr>
      </w:pPr>
    </w:p>
    <w:p>
      <w:pPr>
        <w:ind w:right="840" w:firstLine="9"/>
        <w:spacing w:after="0" w:line="393" w:lineRule="auto"/>
        <w:tabs>
          <w:tab w:leader="none" w:pos="17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Trading</w:t>
            </w:r>
          </w:p>
        </w:tc>
        <w:tc>
          <w:tcPr>
            <w:tcW w:w="3040" w:type="dxa"/>
            <w:vAlign w:val="bottom"/>
          </w:tcPr>
          <w:p>
            <w:pPr>
              <w:jc w:val="center"/>
              <w:ind w:right="182"/>
              <w:spacing w:after="0"/>
              <w:rPr>
                <w:sz w:val="20"/>
                <w:szCs w:val="20"/>
                <w:color w:val="auto"/>
              </w:rPr>
            </w:pPr>
            <w:r>
              <w:rPr>
                <w:rFonts w:ascii="Arial" w:cs="Arial" w:eastAsia="Arial" w:hAnsi="Arial"/>
                <w:sz w:val="14"/>
                <w:szCs w:val="14"/>
                <w:b w:val="1"/>
                <w:bCs w:val="1"/>
                <w:color w:val="auto"/>
              </w:rPr>
              <w:t>Name of each exchange</w:t>
            </w:r>
          </w:p>
        </w:tc>
      </w:tr>
      <w:tr>
        <w:trPr>
          <w:trHeight w:val="171"/>
        </w:trPr>
        <w:tc>
          <w:tcPr>
            <w:tcW w:w="5020" w:type="dxa"/>
            <w:vAlign w:val="bottom"/>
          </w:tcPr>
          <w:p>
            <w:pPr>
              <w:jc w:val="center"/>
              <w:ind w:left="339"/>
              <w:spacing w:after="0"/>
              <w:rPr>
                <w:sz w:val="20"/>
                <w:szCs w:val="20"/>
                <w:color w:val="auto"/>
              </w:rPr>
            </w:pPr>
            <w:r>
              <w:rPr>
                <w:rFonts w:ascii="Arial" w:cs="Arial" w:eastAsia="Arial" w:hAnsi="Arial"/>
                <w:sz w:val="14"/>
                <w:szCs w:val="14"/>
                <w:b w:val="1"/>
                <w:bCs w:val="1"/>
                <w:color w:val="auto"/>
              </w:rPr>
              <w:t>Title of each class</w:t>
            </w:r>
          </w:p>
        </w:tc>
        <w:tc>
          <w:tcPr>
            <w:tcW w:w="1860" w:type="dxa"/>
            <w:vAlign w:val="bottom"/>
            <w:gridSpan w:val="5"/>
          </w:tcPr>
          <w:p>
            <w:pPr>
              <w:jc w:val="center"/>
              <w:ind w:left="10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Symbol(s)</w:t>
            </w:r>
            <w:r>
              <w:rPr>
                <w:rFonts w:ascii="Arial" w:cs="Arial" w:eastAsia="Arial" w:hAnsi="Arial"/>
                <w:sz w:val="14"/>
                <w:szCs w:val="14"/>
                <w:color w:val="auto"/>
              </w:rPr>
              <w:t xml:space="preserve">  ​​​</w:t>
            </w:r>
          </w:p>
        </w:tc>
        <w:tc>
          <w:tcPr>
            <w:tcW w:w="3040" w:type="dxa"/>
            <w:vAlign w:val="bottom"/>
          </w:tcPr>
          <w:p>
            <w:pPr>
              <w:jc w:val="center"/>
              <w:ind w:right="182"/>
              <w:spacing w:after="0"/>
              <w:rPr>
                <w:sz w:val="20"/>
                <w:szCs w:val="20"/>
                <w:color w:val="auto"/>
              </w:rPr>
            </w:pPr>
            <w:r>
              <w:rPr>
                <w:rFonts w:ascii="Arial" w:cs="Arial" w:eastAsia="Arial" w:hAnsi="Arial"/>
                <w:sz w:val="14"/>
                <w:szCs w:val="14"/>
                <w:b w:val="1"/>
                <w:bCs w:val="1"/>
                <w:color w:val="auto"/>
              </w:rPr>
              <w:t>on which registered</w:t>
            </w:r>
          </w:p>
        </w:tc>
      </w:tr>
      <w:tr>
        <w:trPr>
          <w:trHeight w:val="240"/>
        </w:trPr>
        <w:tc>
          <w:tcPr>
            <w:tcW w:w="5020" w:type="dxa"/>
            <w:vAlign w:val="bottom"/>
            <w:tcBorders>
              <w:top w:val="single" w:sz="8" w:color="auto"/>
            </w:tcBorders>
          </w:tcPr>
          <w:p>
            <w:pPr>
              <w:jc w:val="center"/>
              <w:ind w:left="339"/>
              <w:spacing w:after="0"/>
              <w:rPr>
                <w:sz w:val="20"/>
                <w:szCs w:val="20"/>
                <w:color w:val="auto"/>
              </w:rPr>
            </w:pPr>
            <w:r>
              <w:rPr>
                <w:rFonts w:ascii="Arial" w:cs="Arial" w:eastAsia="Arial" w:hAnsi="Arial"/>
                <w:sz w:val="18"/>
                <w:szCs w:val="18"/>
                <w:b w:val="1"/>
                <w:bCs w:val="1"/>
                <w:color w:val="auto"/>
                <w:w w:val="99"/>
              </w:rPr>
              <w:t>Common Stock, $0.0001 par value per share</w:t>
            </w:r>
          </w:p>
        </w:tc>
        <w:tc>
          <w:tcPr>
            <w:tcW w:w="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CHRS</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040" w:type="dxa"/>
            <w:vAlign w:val="bottom"/>
            <w:tcBorders>
              <w:top w:val="single" w:sz="8" w:color="auto"/>
            </w:tcBorders>
          </w:tcPr>
          <w:p>
            <w:pPr>
              <w:jc w:val="center"/>
              <w:ind w:right="182"/>
              <w:spacing w:after="0"/>
              <w:rPr>
                <w:sz w:val="20"/>
                <w:szCs w:val="20"/>
                <w:color w:val="auto"/>
              </w:rPr>
            </w:pPr>
            <w:r>
              <w:rPr>
                <w:rFonts w:ascii="Arial" w:cs="Arial" w:eastAsia="Arial" w:hAnsi="Arial"/>
                <w:sz w:val="18"/>
                <w:szCs w:val="18"/>
                <w:b w:val="1"/>
                <w:bCs w:val="1"/>
                <w:color w:val="auto"/>
                <w:w w:val="99"/>
              </w:rPr>
              <w:t>The Nasdaq Global Market</w:t>
            </w:r>
          </w:p>
        </w:tc>
      </w:tr>
    </w:tbl>
    <w:p>
      <w:pPr>
        <w:spacing w:after="0" w:line="139" w:lineRule="exact"/>
        <w:rPr>
          <w:sz w:val="24"/>
          <w:szCs w:val="24"/>
          <w:color w:val="auto"/>
        </w:rPr>
      </w:pPr>
    </w:p>
    <w:p>
      <w:pPr>
        <w:ind w:right="20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line="22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530860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111125</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153670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798" w:right="9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03" w:lineRule="exact"/>
        <w:rPr>
          <w:sz w:val="20"/>
          <w:szCs w:val="20"/>
          <w:color w:val="auto"/>
        </w:rPr>
      </w:pPr>
    </w:p>
    <w:p>
      <w:pPr>
        <w:jc w:val="both"/>
        <w:ind w:firstLine="401"/>
        <w:spacing w:after="0" w:line="247" w:lineRule="auto"/>
        <w:rPr>
          <w:sz w:val="20"/>
          <w:szCs w:val="20"/>
          <w:color w:val="auto"/>
        </w:rPr>
      </w:pPr>
      <w:r>
        <w:rPr>
          <w:rFonts w:ascii="Arial" w:cs="Arial" w:eastAsia="Arial" w:hAnsi="Arial"/>
          <w:sz w:val="18"/>
          <w:szCs w:val="18"/>
          <w:color w:val="auto"/>
        </w:rPr>
        <w:t>On October 28, 2026, Coherus Oncology, Inc. (the “Company”) issued a press release announcing the interim clinical data from the TREGCHECK™ development program evaluating tagmokitug, its investigational cytolytic CCR8 antibody, in combination with toripalimab, with or without chemotherapy. A copy of the press release is furnished herewith as Exhibit 99.1 and is incorporated by reference herein.</w:t>
      </w:r>
    </w:p>
    <w:p>
      <w:pPr>
        <w:spacing w:after="0" w:line="174" w:lineRule="exact"/>
        <w:rPr>
          <w:sz w:val="20"/>
          <w:szCs w:val="20"/>
          <w:color w:val="auto"/>
        </w:rPr>
      </w:pPr>
    </w:p>
    <w:p>
      <w:pPr>
        <w:jc w:val="both"/>
        <w:ind w:firstLine="405"/>
        <w:spacing w:after="0" w:line="247" w:lineRule="auto"/>
        <w:rPr>
          <w:sz w:val="20"/>
          <w:szCs w:val="20"/>
          <w:color w:val="auto"/>
        </w:rPr>
      </w:pPr>
      <w:r>
        <w:rPr>
          <w:rFonts w:ascii="Arial" w:cs="Arial" w:eastAsia="Arial" w:hAnsi="Arial"/>
          <w:sz w:val="18"/>
          <w:szCs w:val="18"/>
          <w:color w:val="auto"/>
        </w:rPr>
        <w:t>The information in Item 7.01 of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a filing.</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0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On October 28, 2026, the Company announced interim clinical data from the TREGCHECK™ development program evaluating tagmokitug, its investigational cytolytic CCR8 antibody, in combination with toripalimab, with or without chemotherapy. Tagmokitug-based treatment demonstrated encouraging anti-tumor activity across multiple solid tumors, including responses and durable disease stabilization in pretreated and immunotherapy-resistant patients. In evaluable front-line esophageal squamous cell carcinoma (“ESCC”) patients, tagmokitug in combination with toripalimab and chemotherapy demonstrated a confirmed overall response rate (“cORR”) of 75% irrespective of PD-L1 status, and a cORR of 100% in PD-L1 positive patients as of October 14, 2026. Subsequent to the data cutoff date, two additional partial responses were confirmed, increasing the cORR to 89% of the evaluable patient dataset irrespective of PD-L1 status.</w:t>
      </w:r>
    </w:p>
    <w:p>
      <w:pPr>
        <w:spacing w:after="0" w:line="7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Activity and duration of response in second-line ESCC patients, as well as an acceptable and manageable safety profile, support the selected dose and expansion of enrollment in both ESCC cohorts.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Interim Findings</w:t>
      </w:r>
    </w:p>
    <w:p>
      <w:pPr>
        <w:spacing w:after="0" w:line="196"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The totality of the interim clinical activity, dose-response findings and safety observations support continued development of tagmokitug and expansion of the first-line and second-line ESCC cohorts.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First-Line ESCC: Phase 1b TREGCHECK 102 Cohort C</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Study design</w:t>
      </w:r>
      <w:r>
        <w:rPr>
          <w:rFonts w:ascii="Arial" w:cs="Arial" w:eastAsia="Arial" w:hAnsi="Arial"/>
          <w:sz w:val="18"/>
          <w:szCs w:val="18"/>
          <w:color w:val="auto"/>
        </w:rPr>
        <w:t>. Patients with previously untreated advanced or metastatic ESCC received tagmokitug 700 mg plus</w:t>
      </w:r>
      <w:r>
        <w:rPr>
          <w:rFonts w:ascii="Arial" w:cs="Arial" w:eastAsia="Arial" w:hAnsi="Arial"/>
          <w:sz w:val="18"/>
          <w:szCs w:val="18"/>
          <w:b w:val="1"/>
          <w:bCs w:val="1"/>
          <w:color w:val="auto"/>
        </w:rPr>
        <w:t xml:space="preserve"> </w:t>
      </w:r>
      <w:r>
        <w:rPr>
          <w:rFonts w:ascii="Arial" w:cs="Arial" w:eastAsia="Arial" w:hAnsi="Arial"/>
          <w:sz w:val="18"/>
          <w:szCs w:val="18"/>
          <w:color w:val="auto"/>
        </w:rPr>
        <w:t>toripalimab, 5-fluorouracil and cisplatin. The primary endpoint is safety; secondary endpoints include ORR, duration of response, clinical benefit rate and progression-free survival. As of October 14, 2026, 10 patients were safety evaluable and 8 were efficacy evaluable, and enrollment is ongoing. Of the evaluable patient data set: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Borders>
              <w:right w:val="single" w:sz="8" w:color="BFBFBF"/>
            </w:tcBorders>
          </w:tcPr>
          <w:p>
            <w:pPr>
              <w:spacing w:after="0"/>
              <w:rPr>
                <w:sz w:val="18"/>
                <w:szCs w:val="18"/>
                <w:color w:val="auto"/>
              </w:rPr>
            </w:pPr>
          </w:p>
        </w:tc>
        <w:tc>
          <w:tcPr>
            <w:tcW w:w="2800" w:type="dxa"/>
            <w:vAlign w:val="bottom"/>
            <w:tcBorders>
              <w:top w:val="single" w:sz="8" w:color="BFBFBF"/>
              <w:bottom w:val="single" w:sz="8" w:color="BFBFBF"/>
              <w:right w:val="single" w:sz="8" w:color="BFBFBF"/>
            </w:tcBorders>
          </w:tcPr>
          <w:p>
            <w:pPr>
              <w:ind w:left="80"/>
              <w:spacing w:after="0"/>
              <w:rPr>
                <w:sz w:val="20"/>
                <w:szCs w:val="20"/>
                <w:color w:val="auto"/>
              </w:rPr>
            </w:pPr>
            <w:r>
              <w:rPr>
                <w:rFonts w:ascii="Arial" w:cs="Arial" w:eastAsia="Arial" w:hAnsi="Arial"/>
                <w:sz w:val="18"/>
                <w:szCs w:val="18"/>
                <w:b w:val="1"/>
                <w:bCs w:val="1"/>
                <w:color w:val="auto"/>
              </w:rPr>
              <w:t>Efficacy Measure</w:t>
            </w:r>
          </w:p>
        </w:tc>
        <w:tc>
          <w:tcPr>
            <w:tcW w:w="2080" w:type="dxa"/>
            <w:vAlign w:val="bottom"/>
            <w:tcBorders>
              <w:top w:val="single" w:sz="8" w:color="BFBFBF"/>
              <w:bottom w:val="single" w:sz="8" w:color="BFBFBF"/>
              <w:right w:val="single" w:sz="8" w:color="BFBFBF"/>
            </w:tcBorders>
          </w:tcPr>
          <w:p>
            <w:pPr>
              <w:jc w:val="center"/>
              <w:spacing w:after="0"/>
              <w:rPr>
                <w:sz w:val="20"/>
                <w:szCs w:val="20"/>
                <w:color w:val="auto"/>
              </w:rPr>
            </w:pPr>
            <w:r>
              <w:rPr>
                <w:rFonts w:ascii="Arial" w:cs="Arial" w:eastAsia="Arial" w:hAnsi="Arial"/>
                <w:sz w:val="18"/>
                <w:szCs w:val="18"/>
                <w:b w:val="1"/>
                <w:bCs w:val="1"/>
                <w:color w:val="auto"/>
                <w:w w:val="99"/>
              </w:rPr>
              <w:t>Interim Result</w:t>
            </w:r>
          </w:p>
        </w:tc>
        <w:tc>
          <w:tcPr>
            <w:tcW w:w="4380" w:type="dxa"/>
            <w:vAlign w:val="bottom"/>
            <w:tcBorders>
              <w:top w:val="single" w:sz="8" w:color="BFBFBF"/>
              <w:bottom w:val="single" w:sz="8" w:color="BFBFBF"/>
              <w:right w:val="single" w:sz="8" w:color="BFBFBF"/>
            </w:tcBorders>
          </w:tcPr>
          <w:p>
            <w:pPr>
              <w:ind w:left="80"/>
              <w:spacing w:after="0"/>
              <w:rPr>
                <w:sz w:val="20"/>
                <w:szCs w:val="20"/>
                <w:color w:val="auto"/>
              </w:rPr>
            </w:pPr>
            <w:r>
              <w:rPr>
                <w:rFonts w:ascii="Arial" w:cs="Arial" w:eastAsia="Arial" w:hAnsi="Arial"/>
                <w:sz w:val="18"/>
                <w:szCs w:val="18"/>
                <w:b w:val="1"/>
                <w:bCs w:val="1"/>
                <w:color w:val="auto"/>
              </w:rPr>
              <w:t>Key Considerations</w:t>
            </w:r>
          </w:p>
        </w:tc>
        <w:tc>
          <w:tcPr>
            <w:tcW w:w="300" w:type="dxa"/>
            <w:vAlign w:val="bottom"/>
          </w:tcPr>
          <w:p>
            <w:pPr>
              <w:spacing w:after="0"/>
              <w:rPr>
                <w:sz w:val="18"/>
                <w:szCs w:val="18"/>
                <w:color w:val="auto"/>
              </w:rPr>
            </w:pPr>
          </w:p>
        </w:tc>
      </w:tr>
      <w:tr>
        <w:trPr>
          <w:trHeight w:val="177"/>
        </w:trPr>
        <w:tc>
          <w:tcPr>
            <w:tcW w:w="360" w:type="dxa"/>
            <w:vAlign w:val="bottom"/>
            <w:tcBorders>
              <w:right w:val="single" w:sz="8" w:color="BFBFBF"/>
            </w:tcBorders>
          </w:tcPr>
          <w:p>
            <w:pPr>
              <w:spacing w:after="0"/>
              <w:rPr>
                <w:sz w:val="15"/>
                <w:szCs w:val="15"/>
                <w:color w:val="auto"/>
              </w:rPr>
            </w:pPr>
          </w:p>
        </w:tc>
        <w:tc>
          <w:tcPr>
            <w:tcW w:w="2800" w:type="dxa"/>
            <w:vAlign w:val="bottom"/>
            <w:tcBorders>
              <w:right w:val="single" w:sz="8" w:color="BFBFBF"/>
            </w:tcBorders>
          </w:tcPr>
          <w:p>
            <w:pPr>
              <w:ind w:left="80"/>
              <w:spacing w:after="0" w:line="177" w:lineRule="exact"/>
              <w:rPr>
                <w:sz w:val="20"/>
                <w:szCs w:val="20"/>
                <w:color w:val="auto"/>
              </w:rPr>
            </w:pPr>
            <w:r>
              <w:rPr>
                <w:rFonts w:ascii="Arial" w:cs="Arial" w:eastAsia="Arial" w:hAnsi="Arial"/>
                <w:sz w:val="18"/>
                <w:szCs w:val="18"/>
                <w:color w:val="auto"/>
              </w:rPr>
              <w:t>cORR all comers</w:t>
            </w:r>
          </w:p>
        </w:tc>
        <w:tc>
          <w:tcPr>
            <w:tcW w:w="2080" w:type="dxa"/>
            <w:vAlign w:val="bottom"/>
            <w:tcBorders>
              <w:right w:val="single" w:sz="8" w:color="BFBFBF"/>
            </w:tcBorders>
          </w:tcPr>
          <w:p>
            <w:pPr>
              <w:jc w:val="center"/>
              <w:spacing w:after="0" w:line="177" w:lineRule="exact"/>
              <w:rPr>
                <w:sz w:val="20"/>
                <w:szCs w:val="20"/>
                <w:color w:val="auto"/>
              </w:rPr>
            </w:pPr>
            <w:r>
              <w:rPr>
                <w:rFonts w:ascii="Arial" w:cs="Arial" w:eastAsia="Arial" w:hAnsi="Arial"/>
                <w:sz w:val="18"/>
                <w:szCs w:val="18"/>
                <w:color w:val="auto"/>
                <w:w w:val="99"/>
              </w:rPr>
              <w:t>75% (6/8)</w:t>
            </w:r>
          </w:p>
        </w:tc>
        <w:tc>
          <w:tcPr>
            <w:tcW w:w="4380" w:type="dxa"/>
            <w:vAlign w:val="bottom"/>
            <w:tcBorders>
              <w:right w:val="single" w:sz="8" w:color="BFBFBF"/>
            </w:tcBorders>
          </w:tcPr>
          <w:p>
            <w:pPr>
              <w:ind w:left="80"/>
              <w:spacing w:after="0" w:line="177" w:lineRule="exact"/>
              <w:rPr>
                <w:sz w:val="20"/>
                <w:szCs w:val="20"/>
                <w:color w:val="auto"/>
              </w:rPr>
            </w:pPr>
            <w:r>
              <w:rPr>
                <w:rFonts w:ascii="Arial" w:cs="Arial" w:eastAsia="Arial" w:hAnsi="Arial"/>
                <w:sz w:val="18"/>
                <w:szCs w:val="18"/>
                <w:color w:val="auto"/>
              </w:rPr>
              <w:t>No PD-1 inhibitors approved in PD-L1-negative</w:t>
            </w:r>
          </w:p>
        </w:tc>
        <w:tc>
          <w:tcPr>
            <w:tcW w:w="300" w:type="dxa"/>
            <w:vAlign w:val="bottom"/>
          </w:tcPr>
          <w:p>
            <w:pPr>
              <w:spacing w:after="0"/>
              <w:rPr>
                <w:sz w:val="15"/>
                <w:szCs w:val="15"/>
                <w:color w:val="auto"/>
              </w:rPr>
            </w:pPr>
          </w:p>
        </w:tc>
      </w:tr>
      <w:tr>
        <w:trPr>
          <w:trHeight w:val="221"/>
        </w:trPr>
        <w:tc>
          <w:tcPr>
            <w:tcW w:w="360" w:type="dxa"/>
            <w:vAlign w:val="bottom"/>
            <w:tcBorders>
              <w:right w:val="single" w:sz="8" w:color="BFBFBF"/>
            </w:tcBorders>
          </w:tcPr>
          <w:p>
            <w:pPr>
              <w:spacing w:after="0"/>
              <w:rPr>
                <w:sz w:val="19"/>
                <w:szCs w:val="19"/>
                <w:color w:val="auto"/>
              </w:rPr>
            </w:pPr>
          </w:p>
        </w:tc>
        <w:tc>
          <w:tcPr>
            <w:tcW w:w="2800" w:type="dxa"/>
            <w:vAlign w:val="bottom"/>
            <w:tcBorders>
              <w:bottom w:val="single" w:sz="8" w:color="BFBFBF"/>
              <w:right w:val="single" w:sz="8" w:color="BFBFBF"/>
            </w:tcBorders>
          </w:tcPr>
          <w:p>
            <w:pPr>
              <w:spacing w:after="0"/>
              <w:rPr>
                <w:sz w:val="19"/>
                <w:szCs w:val="19"/>
                <w:color w:val="auto"/>
              </w:rPr>
            </w:pPr>
          </w:p>
        </w:tc>
        <w:tc>
          <w:tcPr>
            <w:tcW w:w="2080" w:type="dxa"/>
            <w:vAlign w:val="bottom"/>
            <w:tcBorders>
              <w:bottom w:val="single" w:sz="8" w:color="BFBFBF"/>
              <w:right w:val="single" w:sz="8" w:color="BFBFBF"/>
            </w:tcBorders>
          </w:tcPr>
          <w:p>
            <w:pPr>
              <w:spacing w:after="0"/>
              <w:rPr>
                <w:sz w:val="19"/>
                <w:szCs w:val="19"/>
                <w:color w:val="auto"/>
              </w:rPr>
            </w:pPr>
          </w:p>
        </w:tc>
        <w:tc>
          <w:tcPr>
            <w:tcW w:w="438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ESCC in the US</w:t>
            </w:r>
          </w:p>
        </w:tc>
        <w:tc>
          <w:tcPr>
            <w:tcW w:w="300" w:type="dxa"/>
            <w:vAlign w:val="bottom"/>
          </w:tcPr>
          <w:p>
            <w:pPr>
              <w:spacing w:after="0"/>
              <w:rPr>
                <w:sz w:val="19"/>
                <w:szCs w:val="19"/>
                <w:color w:val="auto"/>
              </w:rPr>
            </w:pPr>
          </w:p>
        </w:tc>
      </w:tr>
      <w:tr>
        <w:trPr>
          <w:trHeight w:val="177"/>
        </w:trPr>
        <w:tc>
          <w:tcPr>
            <w:tcW w:w="360" w:type="dxa"/>
            <w:vAlign w:val="bottom"/>
            <w:tcBorders>
              <w:right w:val="single" w:sz="8" w:color="BFBFBF"/>
            </w:tcBorders>
          </w:tcPr>
          <w:p>
            <w:pPr>
              <w:spacing w:after="0"/>
              <w:rPr>
                <w:sz w:val="15"/>
                <w:szCs w:val="15"/>
                <w:color w:val="auto"/>
              </w:rPr>
            </w:pPr>
          </w:p>
        </w:tc>
        <w:tc>
          <w:tcPr>
            <w:tcW w:w="2800" w:type="dxa"/>
            <w:vAlign w:val="bottom"/>
            <w:tcBorders>
              <w:right w:val="single" w:sz="8" w:color="BFBFBF"/>
            </w:tcBorders>
          </w:tcPr>
          <w:p>
            <w:pPr>
              <w:ind w:left="80"/>
              <w:spacing w:after="0" w:line="177" w:lineRule="exact"/>
              <w:rPr>
                <w:sz w:val="20"/>
                <w:szCs w:val="20"/>
                <w:color w:val="auto"/>
              </w:rPr>
            </w:pPr>
            <w:r>
              <w:rPr>
                <w:rFonts w:ascii="Arial" w:cs="Arial" w:eastAsia="Arial" w:hAnsi="Arial"/>
                <w:sz w:val="18"/>
                <w:szCs w:val="18"/>
                <w:color w:val="auto"/>
              </w:rPr>
              <w:t>Post-data-cutoff cORR</w:t>
            </w:r>
          </w:p>
        </w:tc>
        <w:tc>
          <w:tcPr>
            <w:tcW w:w="2080" w:type="dxa"/>
            <w:vAlign w:val="bottom"/>
            <w:tcBorders>
              <w:right w:val="single" w:sz="8" w:color="BFBFBF"/>
            </w:tcBorders>
          </w:tcPr>
          <w:p>
            <w:pPr>
              <w:jc w:val="center"/>
              <w:spacing w:after="0" w:line="177" w:lineRule="exact"/>
              <w:rPr>
                <w:sz w:val="20"/>
                <w:szCs w:val="20"/>
                <w:color w:val="auto"/>
              </w:rPr>
            </w:pPr>
            <w:r>
              <w:rPr>
                <w:rFonts w:ascii="Arial" w:cs="Arial" w:eastAsia="Arial" w:hAnsi="Arial"/>
                <w:sz w:val="18"/>
                <w:szCs w:val="18"/>
                <w:color w:val="auto"/>
                <w:w w:val="99"/>
              </w:rPr>
              <w:t>89% (8/9)</w:t>
            </w:r>
          </w:p>
        </w:tc>
        <w:tc>
          <w:tcPr>
            <w:tcW w:w="4380" w:type="dxa"/>
            <w:vAlign w:val="bottom"/>
            <w:tcBorders>
              <w:right w:val="single" w:sz="8" w:color="BFBFBF"/>
            </w:tcBorders>
          </w:tcPr>
          <w:p>
            <w:pPr>
              <w:ind w:left="80"/>
              <w:spacing w:after="0" w:line="177" w:lineRule="exact"/>
              <w:rPr>
                <w:sz w:val="20"/>
                <w:szCs w:val="20"/>
                <w:color w:val="auto"/>
              </w:rPr>
            </w:pPr>
            <w:r>
              <w:rPr>
                <w:rFonts w:ascii="Arial" w:cs="Arial" w:eastAsia="Arial" w:hAnsi="Arial"/>
                <w:sz w:val="18"/>
                <w:szCs w:val="18"/>
                <w:color w:val="auto"/>
              </w:rPr>
              <w:t>Includes confirmation of a prior unconfirmed partial</w:t>
            </w:r>
          </w:p>
        </w:tc>
        <w:tc>
          <w:tcPr>
            <w:tcW w:w="300" w:type="dxa"/>
            <w:vAlign w:val="bottom"/>
          </w:tcPr>
          <w:p>
            <w:pPr>
              <w:spacing w:after="0"/>
              <w:rPr>
                <w:sz w:val="15"/>
                <w:szCs w:val="15"/>
                <w:color w:val="auto"/>
              </w:rPr>
            </w:pPr>
          </w:p>
        </w:tc>
      </w:tr>
      <w:tr>
        <w:trPr>
          <w:trHeight w:val="203"/>
        </w:trPr>
        <w:tc>
          <w:tcPr>
            <w:tcW w:w="360" w:type="dxa"/>
            <w:vAlign w:val="bottom"/>
            <w:tcBorders>
              <w:right w:val="single" w:sz="8" w:color="BFBFBF"/>
            </w:tcBorders>
          </w:tcPr>
          <w:p>
            <w:pPr>
              <w:spacing w:after="0"/>
              <w:rPr>
                <w:sz w:val="17"/>
                <w:szCs w:val="17"/>
                <w:color w:val="auto"/>
              </w:rPr>
            </w:pPr>
          </w:p>
        </w:tc>
        <w:tc>
          <w:tcPr>
            <w:tcW w:w="2800" w:type="dxa"/>
            <w:vAlign w:val="bottom"/>
            <w:tcBorders>
              <w:right w:val="single" w:sz="8" w:color="BFBFBF"/>
            </w:tcBorders>
          </w:tcPr>
          <w:p>
            <w:pPr>
              <w:spacing w:after="0"/>
              <w:rPr>
                <w:sz w:val="17"/>
                <w:szCs w:val="17"/>
                <w:color w:val="auto"/>
              </w:rPr>
            </w:pPr>
          </w:p>
        </w:tc>
        <w:tc>
          <w:tcPr>
            <w:tcW w:w="2080" w:type="dxa"/>
            <w:vAlign w:val="bottom"/>
            <w:tcBorders>
              <w:right w:val="single" w:sz="8" w:color="BFBFBF"/>
            </w:tcBorders>
          </w:tcPr>
          <w:p>
            <w:pPr>
              <w:spacing w:after="0"/>
              <w:rPr>
                <w:sz w:val="17"/>
                <w:szCs w:val="17"/>
                <w:color w:val="auto"/>
              </w:rPr>
            </w:pPr>
          </w:p>
        </w:tc>
        <w:tc>
          <w:tcPr>
            <w:tcW w:w="4380" w:type="dxa"/>
            <w:vAlign w:val="bottom"/>
            <w:tcBorders>
              <w:right w:val="single" w:sz="8" w:color="BFBFBF"/>
            </w:tcBorders>
          </w:tcPr>
          <w:p>
            <w:pPr>
              <w:ind w:left="80"/>
              <w:spacing w:after="0" w:line="202" w:lineRule="exact"/>
              <w:rPr>
                <w:sz w:val="20"/>
                <w:szCs w:val="20"/>
                <w:color w:val="auto"/>
              </w:rPr>
            </w:pPr>
            <w:r>
              <w:rPr>
                <w:rFonts w:ascii="Arial" w:cs="Arial" w:eastAsia="Arial" w:hAnsi="Arial"/>
                <w:sz w:val="18"/>
                <w:szCs w:val="18"/>
                <w:color w:val="auto"/>
              </w:rPr>
              <w:t>response (“uPR”) and one newly evaluable patient</w:t>
            </w:r>
          </w:p>
        </w:tc>
        <w:tc>
          <w:tcPr>
            <w:tcW w:w="300" w:type="dxa"/>
            <w:vAlign w:val="bottom"/>
          </w:tcPr>
          <w:p>
            <w:pPr>
              <w:spacing w:after="0"/>
              <w:rPr>
                <w:sz w:val="17"/>
                <w:szCs w:val="17"/>
                <w:color w:val="auto"/>
              </w:rPr>
            </w:pPr>
          </w:p>
        </w:tc>
      </w:tr>
      <w:tr>
        <w:trPr>
          <w:trHeight w:val="221"/>
        </w:trPr>
        <w:tc>
          <w:tcPr>
            <w:tcW w:w="360" w:type="dxa"/>
            <w:vAlign w:val="bottom"/>
            <w:tcBorders>
              <w:right w:val="single" w:sz="8" w:color="BFBFBF"/>
            </w:tcBorders>
          </w:tcPr>
          <w:p>
            <w:pPr>
              <w:spacing w:after="0"/>
              <w:rPr>
                <w:sz w:val="19"/>
                <w:szCs w:val="19"/>
                <w:color w:val="auto"/>
              </w:rPr>
            </w:pPr>
          </w:p>
        </w:tc>
        <w:tc>
          <w:tcPr>
            <w:tcW w:w="2800" w:type="dxa"/>
            <w:vAlign w:val="bottom"/>
            <w:tcBorders>
              <w:bottom w:val="single" w:sz="8" w:color="BFBFBF"/>
              <w:right w:val="single" w:sz="8" w:color="BFBFBF"/>
            </w:tcBorders>
          </w:tcPr>
          <w:p>
            <w:pPr>
              <w:spacing w:after="0"/>
              <w:rPr>
                <w:sz w:val="19"/>
                <w:szCs w:val="19"/>
                <w:color w:val="auto"/>
              </w:rPr>
            </w:pPr>
          </w:p>
        </w:tc>
        <w:tc>
          <w:tcPr>
            <w:tcW w:w="2080" w:type="dxa"/>
            <w:vAlign w:val="bottom"/>
            <w:tcBorders>
              <w:bottom w:val="single" w:sz="8" w:color="BFBFBF"/>
              <w:right w:val="single" w:sz="8" w:color="BFBFBF"/>
            </w:tcBorders>
          </w:tcPr>
          <w:p>
            <w:pPr>
              <w:spacing w:after="0"/>
              <w:rPr>
                <w:sz w:val="19"/>
                <w:szCs w:val="19"/>
                <w:color w:val="auto"/>
              </w:rPr>
            </w:pPr>
          </w:p>
        </w:tc>
        <w:tc>
          <w:tcPr>
            <w:tcW w:w="438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with a confirmed partial response (“cPR”)</w:t>
            </w:r>
          </w:p>
        </w:tc>
        <w:tc>
          <w:tcPr>
            <w:tcW w:w="300" w:type="dxa"/>
            <w:vAlign w:val="bottom"/>
          </w:tcPr>
          <w:p>
            <w:pPr>
              <w:spacing w:after="0"/>
              <w:rPr>
                <w:sz w:val="19"/>
                <w:szCs w:val="19"/>
                <w:color w:val="auto"/>
              </w:rPr>
            </w:pPr>
          </w:p>
        </w:tc>
      </w:tr>
      <w:tr>
        <w:trPr>
          <w:trHeight w:val="177"/>
        </w:trPr>
        <w:tc>
          <w:tcPr>
            <w:tcW w:w="360" w:type="dxa"/>
            <w:vAlign w:val="bottom"/>
            <w:tcBorders>
              <w:right w:val="single" w:sz="8" w:color="BFBFBF"/>
            </w:tcBorders>
          </w:tcPr>
          <w:p>
            <w:pPr>
              <w:spacing w:after="0"/>
              <w:rPr>
                <w:sz w:val="15"/>
                <w:szCs w:val="15"/>
                <w:color w:val="auto"/>
              </w:rPr>
            </w:pPr>
          </w:p>
        </w:tc>
        <w:tc>
          <w:tcPr>
            <w:tcW w:w="2800" w:type="dxa"/>
            <w:vAlign w:val="bottom"/>
            <w:tcBorders>
              <w:right w:val="single" w:sz="8" w:color="BFBFBF"/>
            </w:tcBorders>
          </w:tcPr>
          <w:p>
            <w:pPr>
              <w:ind w:left="80"/>
              <w:spacing w:after="0" w:line="177" w:lineRule="exact"/>
              <w:rPr>
                <w:sz w:val="20"/>
                <w:szCs w:val="20"/>
                <w:color w:val="auto"/>
              </w:rPr>
            </w:pPr>
            <w:r>
              <w:rPr>
                <w:rFonts w:ascii="Arial" w:cs="Arial" w:eastAsia="Arial" w:hAnsi="Arial"/>
                <w:sz w:val="18"/>
                <w:szCs w:val="18"/>
                <w:color w:val="auto"/>
              </w:rPr>
              <w:t>Confirmed ORR in PD-L1</w:t>
            </w:r>
          </w:p>
        </w:tc>
        <w:tc>
          <w:tcPr>
            <w:tcW w:w="2080" w:type="dxa"/>
            <w:vAlign w:val="bottom"/>
            <w:tcBorders>
              <w:right w:val="single" w:sz="8" w:color="BFBFBF"/>
            </w:tcBorders>
          </w:tcPr>
          <w:p>
            <w:pPr>
              <w:jc w:val="center"/>
              <w:spacing w:after="0" w:line="177" w:lineRule="exact"/>
              <w:rPr>
                <w:sz w:val="20"/>
                <w:szCs w:val="20"/>
                <w:color w:val="auto"/>
              </w:rPr>
            </w:pPr>
            <w:r>
              <w:rPr>
                <w:rFonts w:ascii="Arial" w:cs="Arial" w:eastAsia="Arial" w:hAnsi="Arial"/>
                <w:sz w:val="18"/>
                <w:szCs w:val="18"/>
                <w:color w:val="auto"/>
                <w:w w:val="99"/>
              </w:rPr>
              <w:t>100%</w:t>
            </w:r>
          </w:p>
        </w:tc>
        <w:tc>
          <w:tcPr>
            <w:tcW w:w="4380" w:type="dxa"/>
            <w:vAlign w:val="bottom"/>
            <w:tcBorders>
              <w:right w:val="single" w:sz="8" w:color="BFBFBF"/>
            </w:tcBorders>
          </w:tcPr>
          <w:p>
            <w:pPr>
              <w:ind w:left="80"/>
              <w:spacing w:after="0" w:line="177" w:lineRule="exact"/>
              <w:rPr>
                <w:sz w:val="20"/>
                <w:szCs w:val="20"/>
                <w:color w:val="auto"/>
              </w:rPr>
            </w:pPr>
            <w:r>
              <w:rPr>
                <w:rFonts w:ascii="Arial" w:cs="Arial" w:eastAsia="Arial" w:hAnsi="Arial"/>
                <w:sz w:val="18"/>
                <w:szCs w:val="18"/>
                <w:color w:val="auto"/>
              </w:rPr>
              <w:t>US SoC Benchmark (PD-1 + chemo) cORR is</w:t>
            </w:r>
          </w:p>
        </w:tc>
        <w:tc>
          <w:tcPr>
            <w:tcW w:w="300" w:type="dxa"/>
            <w:vAlign w:val="bottom"/>
          </w:tcPr>
          <w:p>
            <w:pPr>
              <w:spacing w:after="0"/>
              <w:rPr>
                <w:sz w:val="15"/>
                <w:szCs w:val="15"/>
                <w:color w:val="auto"/>
              </w:rPr>
            </w:pPr>
          </w:p>
        </w:tc>
      </w:tr>
      <w:tr>
        <w:trPr>
          <w:trHeight w:val="221"/>
        </w:trPr>
        <w:tc>
          <w:tcPr>
            <w:tcW w:w="360" w:type="dxa"/>
            <w:vAlign w:val="bottom"/>
            <w:tcBorders>
              <w:right w:val="single" w:sz="8" w:color="BFBFBF"/>
            </w:tcBorders>
          </w:tcPr>
          <w:p>
            <w:pPr>
              <w:spacing w:after="0"/>
              <w:rPr>
                <w:sz w:val="19"/>
                <w:szCs w:val="19"/>
                <w:color w:val="auto"/>
              </w:rPr>
            </w:pPr>
          </w:p>
        </w:tc>
        <w:tc>
          <w:tcPr>
            <w:tcW w:w="280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positive ESCC</w:t>
            </w:r>
          </w:p>
        </w:tc>
        <w:tc>
          <w:tcPr>
            <w:tcW w:w="2080" w:type="dxa"/>
            <w:vAlign w:val="bottom"/>
            <w:tcBorders>
              <w:bottom w:val="single" w:sz="8" w:color="BFBFBF"/>
              <w:right w:val="single" w:sz="8" w:color="BFBFBF"/>
            </w:tcBorders>
          </w:tcPr>
          <w:p>
            <w:pPr>
              <w:spacing w:after="0"/>
              <w:rPr>
                <w:sz w:val="19"/>
                <w:szCs w:val="19"/>
                <w:color w:val="auto"/>
              </w:rPr>
            </w:pPr>
          </w:p>
        </w:tc>
        <w:tc>
          <w:tcPr>
            <w:tcW w:w="438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44%-59% for PD-L1 positive ESCC</w:t>
            </w:r>
          </w:p>
        </w:tc>
        <w:tc>
          <w:tcPr>
            <w:tcW w:w="300" w:type="dxa"/>
            <w:vAlign w:val="bottom"/>
          </w:tcPr>
          <w:p>
            <w:pPr>
              <w:spacing w:after="0"/>
              <w:rPr>
                <w:sz w:val="19"/>
                <w:szCs w:val="19"/>
                <w:color w:val="auto"/>
              </w:rPr>
            </w:pPr>
          </w:p>
        </w:tc>
      </w:tr>
      <w:tr>
        <w:trPr>
          <w:trHeight w:val="196"/>
        </w:trPr>
        <w:tc>
          <w:tcPr>
            <w:tcW w:w="360" w:type="dxa"/>
            <w:vAlign w:val="bottom"/>
            <w:tcBorders>
              <w:right w:val="single" w:sz="8" w:color="BFBFBF"/>
            </w:tcBorders>
          </w:tcPr>
          <w:p>
            <w:pPr>
              <w:spacing w:after="0"/>
              <w:rPr>
                <w:sz w:val="17"/>
                <w:szCs w:val="17"/>
                <w:color w:val="auto"/>
              </w:rPr>
            </w:pPr>
          </w:p>
        </w:tc>
        <w:tc>
          <w:tcPr>
            <w:tcW w:w="2800" w:type="dxa"/>
            <w:vAlign w:val="bottom"/>
            <w:tcBorders>
              <w:bottom w:val="single" w:sz="8" w:color="BFBFBF"/>
              <w:right w:val="single" w:sz="8" w:color="BFBFBF"/>
            </w:tcBorders>
          </w:tcPr>
          <w:p>
            <w:pPr>
              <w:ind w:left="80"/>
              <w:spacing w:after="0" w:line="196" w:lineRule="exact"/>
              <w:rPr>
                <w:sz w:val="20"/>
                <w:szCs w:val="20"/>
                <w:color w:val="auto"/>
              </w:rPr>
            </w:pPr>
            <w:r>
              <w:rPr>
                <w:rFonts w:ascii="Arial" w:cs="Arial" w:eastAsia="Arial" w:hAnsi="Arial"/>
                <w:sz w:val="18"/>
                <w:szCs w:val="18"/>
                <w:color w:val="auto"/>
              </w:rPr>
              <w:t>Confirmed complete response</w:t>
            </w:r>
          </w:p>
        </w:tc>
        <w:tc>
          <w:tcPr>
            <w:tcW w:w="2080" w:type="dxa"/>
            <w:vAlign w:val="bottom"/>
            <w:tcBorders>
              <w:bottom w:val="single" w:sz="8" w:color="BFBFBF"/>
              <w:right w:val="single" w:sz="8" w:color="BFBFBF"/>
            </w:tcBorders>
          </w:tcPr>
          <w:p>
            <w:pPr>
              <w:jc w:val="center"/>
              <w:spacing w:after="0" w:line="196" w:lineRule="exact"/>
              <w:rPr>
                <w:sz w:val="20"/>
                <w:szCs w:val="20"/>
                <w:color w:val="auto"/>
              </w:rPr>
            </w:pPr>
            <w:r>
              <w:rPr>
                <w:rFonts w:ascii="Arial" w:cs="Arial" w:eastAsia="Arial" w:hAnsi="Arial"/>
                <w:sz w:val="18"/>
                <w:szCs w:val="18"/>
                <w:color w:val="auto"/>
                <w:w w:val="98"/>
              </w:rPr>
              <w:t>1 patient</w:t>
            </w:r>
          </w:p>
        </w:tc>
        <w:tc>
          <w:tcPr>
            <w:tcW w:w="4380" w:type="dxa"/>
            <w:vAlign w:val="bottom"/>
            <w:tcBorders>
              <w:bottom w:val="single" w:sz="8" w:color="BFBFBF"/>
              <w:right w:val="single" w:sz="8" w:color="BFBFBF"/>
            </w:tcBorders>
          </w:tcPr>
          <w:p>
            <w:pPr>
              <w:ind w:left="80"/>
              <w:spacing w:after="0" w:line="196" w:lineRule="exact"/>
              <w:rPr>
                <w:sz w:val="20"/>
                <w:szCs w:val="20"/>
                <w:color w:val="auto"/>
              </w:rPr>
            </w:pPr>
            <w:r>
              <w:rPr>
                <w:rFonts w:ascii="Arial" w:cs="Arial" w:eastAsia="Arial" w:hAnsi="Arial"/>
                <w:sz w:val="18"/>
                <w:szCs w:val="18"/>
                <w:color w:val="auto"/>
              </w:rPr>
              <w:t>Confirmed at the data cutoff</w:t>
            </w:r>
          </w:p>
        </w:tc>
        <w:tc>
          <w:tcPr>
            <w:tcW w:w="300" w:type="dxa"/>
            <w:vAlign w:val="bottom"/>
          </w:tcPr>
          <w:p>
            <w:pPr>
              <w:spacing w:after="0"/>
              <w:rPr>
                <w:sz w:val="17"/>
                <w:szCs w:val="17"/>
                <w:color w:val="auto"/>
              </w:rPr>
            </w:pPr>
          </w:p>
        </w:tc>
      </w:tr>
      <w:tr>
        <w:trPr>
          <w:trHeight w:val="756"/>
        </w:trPr>
        <w:tc>
          <w:tcPr>
            <w:tcW w:w="3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1691005</wp:posOffset>
            </wp:positionH>
            <wp:positionV relativeFrom="page">
              <wp:posOffset>88900</wp:posOffset>
            </wp:positionV>
            <wp:extent cx="4166235" cy="2314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416623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Figure 1. First-line ESCC waterfall plot from TREGCHECK 102 Cohort C. </w:t>
      </w:r>
      <w:r>
        <w:rPr>
          <w:rFonts w:ascii="Arial" w:cs="Arial" w:eastAsia="Arial" w:hAnsi="Arial"/>
          <w:sz w:val="18"/>
          <w:szCs w:val="18"/>
          <w:i w:val="1"/>
          <w:iCs w:val="1"/>
          <w:color w:val="auto"/>
        </w:rPr>
        <w:t>Data as of October 14, 2026</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Second-Line ESCC: Phase 1b TREGCHECK 102 Cohort B</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Study design. </w:t>
      </w:r>
      <w:r>
        <w:rPr>
          <w:rFonts w:ascii="Arial" w:cs="Arial" w:eastAsia="Arial" w:hAnsi="Arial"/>
          <w:sz w:val="18"/>
          <w:szCs w:val="18"/>
          <w:color w:val="auto"/>
        </w:rPr>
        <w:t>Patients with recurrent or metastatic ESCC who failed first-line systemic chemotherapy with or without a PD-1 inhibitor were randomized 1:1 to tagmokitug 300 mg or 700 mg plus toripalimab. As of October 14, 2026, 17 patients were safety evaluable and 8 (2 in 300 mg and 6 in 700 mg) were efficacy evaluable and enrollment is ongoing. Of the evaluable patient data set:</w:t>
      </w:r>
    </w:p>
    <w:p>
      <w:pPr>
        <w:spacing w:after="0" w:line="173" w:lineRule="exact"/>
        <w:rPr>
          <w:sz w:val="20"/>
          <w:szCs w:val="20"/>
          <w:color w:val="auto"/>
        </w:rPr>
      </w:pPr>
    </w:p>
    <w:tbl>
      <w:tblPr>
        <w:tblLayout w:type="fixed"/>
        <w:tblInd w:w="350" w:type="dxa"/>
        <w:tblCellMar>
          <w:top w:w="0" w:type="dxa"/>
          <w:left w:w="0" w:type="dxa"/>
          <w:bottom w:w="0" w:type="dxa"/>
          <w:right w:w="0" w:type="dxa"/>
        </w:tblCellMar>
      </w:tblPr>
      <w:tr>
        <w:trPr>
          <w:trHeight w:val="216"/>
        </w:trPr>
        <w:tc>
          <w:tcPr>
            <w:tcW w:w="2820" w:type="dxa"/>
            <w:vAlign w:val="bottom"/>
            <w:tcBorders>
              <w:top w:val="single" w:sz="8" w:color="BFBFBF"/>
              <w:left w:val="single" w:sz="8" w:color="BFBFBF"/>
              <w:bottom w:val="single" w:sz="8" w:color="BFBFBF"/>
              <w:right w:val="single" w:sz="8" w:color="BFBFBF"/>
            </w:tcBorders>
          </w:tcPr>
          <w:p>
            <w:pPr>
              <w:ind w:left="100"/>
              <w:spacing w:after="0"/>
              <w:rPr>
                <w:sz w:val="20"/>
                <w:szCs w:val="20"/>
                <w:color w:val="auto"/>
              </w:rPr>
            </w:pPr>
            <w:r>
              <w:rPr>
                <w:rFonts w:ascii="Arial" w:cs="Arial" w:eastAsia="Arial" w:hAnsi="Arial"/>
                <w:sz w:val="18"/>
                <w:szCs w:val="18"/>
                <w:b w:val="1"/>
                <w:bCs w:val="1"/>
                <w:color w:val="auto"/>
              </w:rPr>
              <w:t>Efficacy Measure</w:t>
            </w:r>
          </w:p>
        </w:tc>
        <w:tc>
          <w:tcPr>
            <w:tcW w:w="2080" w:type="dxa"/>
            <w:vAlign w:val="bottom"/>
            <w:tcBorders>
              <w:top w:val="single" w:sz="8" w:color="BFBFBF"/>
              <w:bottom w:val="single" w:sz="8" w:color="BFBFBF"/>
              <w:right w:val="single" w:sz="8" w:color="BFBFBF"/>
            </w:tcBorders>
          </w:tcPr>
          <w:p>
            <w:pPr>
              <w:jc w:val="center"/>
              <w:spacing w:after="0"/>
              <w:rPr>
                <w:sz w:val="20"/>
                <w:szCs w:val="20"/>
                <w:color w:val="auto"/>
              </w:rPr>
            </w:pPr>
            <w:r>
              <w:rPr>
                <w:rFonts w:ascii="Arial" w:cs="Arial" w:eastAsia="Arial" w:hAnsi="Arial"/>
                <w:sz w:val="18"/>
                <w:szCs w:val="18"/>
                <w:b w:val="1"/>
                <w:bCs w:val="1"/>
                <w:color w:val="auto"/>
                <w:w w:val="99"/>
              </w:rPr>
              <w:t>Interim Result</w:t>
            </w:r>
          </w:p>
        </w:tc>
        <w:tc>
          <w:tcPr>
            <w:tcW w:w="4380" w:type="dxa"/>
            <w:vAlign w:val="bottom"/>
            <w:tcBorders>
              <w:top w:val="single" w:sz="8" w:color="BFBFBF"/>
              <w:bottom w:val="single" w:sz="8" w:color="BFBFBF"/>
              <w:right w:val="single" w:sz="8" w:color="BFBFBF"/>
            </w:tcBorders>
          </w:tcPr>
          <w:p>
            <w:pPr>
              <w:ind w:left="80"/>
              <w:spacing w:after="0"/>
              <w:rPr>
                <w:sz w:val="20"/>
                <w:szCs w:val="20"/>
                <w:color w:val="auto"/>
              </w:rPr>
            </w:pPr>
            <w:r>
              <w:rPr>
                <w:rFonts w:ascii="Arial" w:cs="Arial" w:eastAsia="Arial" w:hAnsi="Arial"/>
                <w:sz w:val="18"/>
                <w:szCs w:val="18"/>
                <w:b w:val="1"/>
                <w:bCs w:val="1"/>
                <w:color w:val="auto"/>
              </w:rPr>
              <w:t>Key Considerations</w:t>
            </w:r>
          </w:p>
        </w:tc>
      </w:tr>
      <w:tr>
        <w:trPr>
          <w:trHeight w:val="177"/>
        </w:trPr>
        <w:tc>
          <w:tcPr>
            <w:tcW w:w="2820" w:type="dxa"/>
            <w:vAlign w:val="bottom"/>
            <w:tcBorders>
              <w:left w:val="single" w:sz="8" w:color="BFBFBF"/>
              <w:right w:val="single" w:sz="8" w:color="BFBFBF"/>
            </w:tcBorders>
          </w:tcPr>
          <w:p>
            <w:pPr>
              <w:ind w:left="100"/>
              <w:spacing w:after="0" w:line="177" w:lineRule="exact"/>
              <w:rPr>
                <w:sz w:val="20"/>
                <w:szCs w:val="20"/>
                <w:color w:val="auto"/>
              </w:rPr>
            </w:pPr>
            <w:r>
              <w:rPr>
                <w:rFonts w:ascii="Arial" w:cs="Arial" w:eastAsia="Arial" w:hAnsi="Arial"/>
                <w:sz w:val="18"/>
                <w:szCs w:val="18"/>
                <w:color w:val="auto"/>
              </w:rPr>
              <w:t>Clinical Benefit Rate (“CBR”) in</w:t>
            </w:r>
          </w:p>
        </w:tc>
        <w:tc>
          <w:tcPr>
            <w:tcW w:w="2080" w:type="dxa"/>
            <w:vAlign w:val="bottom"/>
            <w:tcBorders>
              <w:right w:val="single" w:sz="8" w:color="BFBFBF"/>
            </w:tcBorders>
          </w:tcPr>
          <w:p>
            <w:pPr>
              <w:jc w:val="center"/>
              <w:spacing w:after="0" w:line="177" w:lineRule="exact"/>
              <w:rPr>
                <w:sz w:val="20"/>
                <w:szCs w:val="20"/>
                <w:color w:val="auto"/>
              </w:rPr>
            </w:pPr>
            <w:r>
              <w:rPr>
                <w:rFonts w:ascii="Arial" w:cs="Arial" w:eastAsia="Arial" w:hAnsi="Arial"/>
                <w:sz w:val="18"/>
                <w:szCs w:val="18"/>
                <w:color w:val="auto"/>
                <w:w w:val="98"/>
              </w:rPr>
              <w:t>33.3% (2/6)</w:t>
            </w:r>
          </w:p>
        </w:tc>
        <w:tc>
          <w:tcPr>
            <w:tcW w:w="4380" w:type="dxa"/>
            <w:vAlign w:val="bottom"/>
            <w:tcBorders>
              <w:right w:val="single" w:sz="8" w:color="BFBFBF"/>
            </w:tcBorders>
          </w:tcPr>
          <w:p>
            <w:pPr>
              <w:ind w:left="80"/>
              <w:spacing w:after="0" w:line="177" w:lineRule="exact"/>
              <w:rPr>
                <w:sz w:val="20"/>
                <w:szCs w:val="20"/>
                <w:color w:val="auto"/>
              </w:rPr>
            </w:pPr>
            <w:r>
              <w:rPr>
                <w:rFonts w:ascii="Arial" w:cs="Arial" w:eastAsia="Arial" w:hAnsi="Arial"/>
                <w:sz w:val="18"/>
                <w:szCs w:val="18"/>
                <w:color w:val="auto"/>
              </w:rPr>
              <w:t>Consistent with immuno-oncology-driven durable</w:t>
            </w:r>
          </w:p>
        </w:tc>
      </w:tr>
      <w:tr>
        <w:trPr>
          <w:trHeight w:val="221"/>
        </w:trPr>
        <w:tc>
          <w:tcPr>
            <w:tcW w:w="2820" w:type="dxa"/>
            <w:vAlign w:val="bottom"/>
            <w:tcBorders>
              <w:left w:val="single" w:sz="8" w:color="BFBFBF"/>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700 mg tagmokitug dose arm</w:t>
            </w:r>
          </w:p>
        </w:tc>
        <w:tc>
          <w:tcPr>
            <w:tcW w:w="2080" w:type="dxa"/>
            <w:vAlign w:val="bottom"/>
            <w:tcBorders>
              <w:bottom w:val="single" w:sz="8" w:color="BFBFBF"/>
              <w:right w:val="single" w:sz="8" w:color="BFBFBF"/>
            </w:tcBorders>
          </w:tcPr>
          <w:p>
            <w:pPr>
              <w:spacing w:after="0"/>
              <w:rPr>
                <w:sz w:val="19"/>
                <w:szCs w:val="19"/>
                <w:color w:val="auto"/>
              </w:rPr>
            </w:pPr>
          </w:p>
        </w:tc>
        <w:tc>
          <w:tcPr>
            <w:tcW w:w="438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stable disease (“SD”)</w:t>
            </w:r>
          </w:p>
        </w:tc>
      </w:tr>
      <w:tr>
        <w:trPr>
          <w:trHeight w:val="177"/>
        </w:trPr>
        <w:tc>
          <w:tcPr>
            <w:tcW w:w="2820" w:type="dxa"/>
            <w:vAlign w:val="bottom"/>
            <w:tcBorders>
              <w:left w:val="single" w:sz="8" w:color="BFBFBF"/>
              <w:right w:val="single" w:sz="8" w:color="BFBFBF"/>
            </w:tcBorders>
          </w:tcPr>
          <w:p>
            <w:pPr>
              <w:ind w:left="100"/>
              <w:spacing w:after="0" w:line="177" w:lineRule="exact"/>
              <w:rPr>
                <w:sz w:val="20"/>
                <w:szCs w:val="20"/>
                <w:color w:val="auto"/>
              </w:rPr>
            </w:pPr>
            <w:r>
              <w:rPr>
                <w:rFonts w:ascii="Arial" w:cs="Arial" w:eastAsia="Arial" w:hAnsi="Arial"/>
                <w:sz w:val="18"/>
                <w:szCs w:val="18"/>
                <w:color w:val="auto"/>
              </w:rPr>
              <w:t>cORR in 700mg tagmokitug</w:t>
            </w:r>
          </w:p>
        </w:tc>
        <w:tc>
          <w:tcPr>
            <w:tcW w:w="2080" w:type="dxa"/>
            <w:vAlign w:val="bottom"/>
            <w:tcBorders>
              <w:right w:val="single" w:sz="8" w:color="BFBFBF"/>
            </w:tcBorders>
          </w:tcPr>
          <w:p>
            <w:pPr>
              <w:jc w:val="center"/>
              <w:spacing w:after="0" w:line="177" w:lineRule="exact"/>
              <w:rPr>
                <w:sz w:val="20"/>
                <w:szCs w:val="20"/>
                <w:color w:val="auto"/>
              </w:rPr>
            </w:pPr>
            <w:r>
              <w:rPr>
                <w:rFonts w:ascii="Arial" w:cs="Arial" w:eastAsia="Arial" w:hAnsi="Arial"/>
                <w:sz w:val="18"/>
                <w:szCs w:val="18"/>
                <w:color w:val="auto"/>
                <w:w w:val="98"/>
              </w:rPr>
              <w:t>16.7% (1/6)</w:t>
            </w:r>
          </w:p>
        </w:tc>
        <w:tc>
          <w:tcPr>
            <w:tcW w:w="4380" w:type="dxa"/>
            <w:vAlign w:val="bottom"/>
            <w:tcBorders>
              <w:right w:val="single" w:sz="8" w:color="BFBFBF"/>
            </w:tcBorders>
          </w:tcPr>
          <w:p>
            <w:pPr>
              <w:ind w:left="80"/>
              <w:spacing w:after="0" w:line="177" w:lineRule="exact"/>
              <w:rPr>
                <w:sz w:val="20"/>
                <w:szCs w:val="20"/>
                <w:color w:val="auto"/>
              </w:rPr>
            </w:pPr>
            <w:r>
              <w:rPr>
                <w:rFonts w:ascii="Arial" w:cs="Arial" w:eastAsia="Arial" w:hAnsi="Arial"/>
                <w:sz w:val="18"/>
                <w:szCs w:val="18"/>
                <w:color w:val="auto"/>
              </w:rPr>
              <w:t>Confirmation of 1 PR and 1 uPR</w:t>
            </w:r>
          </w:p>
        </w:tc>
      </w:tr>
      <w:tr>
        <w:trPr>
          <w:trHeight w:val="221"/>
        </w:trPr>
        <w:tc>
          <w:tcPr>
            <w:tcW w:w="2820" w:type="dxa"/>
            <w:vAlign w:val="bottom"/>
            <w:tcBorders>
              <w:left w:val="single" w:sz="8" w:color="BFBFBF"/>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dose arm</w:t>
            </w:r>
          </w:p>
        </w:tc>
        <w:tc>
          <w:tcPr>
            <w:tcW w:w="2080" w:type="dxa"/>
            <w:vAlign w:val="bottom"/>
            <w:tcBorders>
              <w:bottom w:val="single" w:sz="8" w:color="BFBFBF"/>
              <w:right w:val="single" w:sz="8" w:color="BFBFBF"/>
            </w:tcBorders>
          </w:tcPr>
          <w:p>
            <w:pPr>
              <w:spacing w:after="0"/>
              <w:rPr>
                <w:sz w:val="19"/>
                <w:szCs w:val="19"/>
                <w:color w:val="auto"/>
              </w:rPr>
            </w:pPr>
          </w:p>
        </w:tc>
        <w:tc>
          <w:tcPr>
            <w:tcW w:w="4380" w:type="dxa"/>
            <w:vAlign w:val="bottom"/>
            <w:tcBorders>
              <w:bottom w:val="single" w:sz="8" w:color="BFBFBF"/>
              <w:right w:val="single" w:sz="8" w:color="BFBFBF"/>
            </w:tcBorders>
          </w:tcPr>
          <w:p>
            <w:pPr>
              <w:spacing w:after="0"/>
              <w:rPr>
                <w:sz w:val="19"/>
                <w:szCs w:val="19"/>
                <w:color w:val="auto"/>
              </w:rPr>
            </w:pPr>
          </w:p>
        </w:tc>
      </w:tr>
      <w:tr>
        <w:trPr>
          <w:trHeight w:val="177"/>
        </w:trPr>
        <w:tc>
          <w:tcPr>
            <w:tcW w:w="2820" w:type="dxa"/>
            <w:vAlign w:val="bottom"/>
            <w:tcBorders>
              <w:left w:val="single" w:sz="8" w:color="BFBFBF"/>
              <w:right w:val="single" w:sz="8" w:color="BFBFBF"/>
            </w:tcBorders>
          </w:tcPr>
          <w:p>
            <w:pPr>
              <w:ind w:left="100"/>
              <w:spacing w:after="0" w:line="177" w:lineRule="exact"/>
              <w:rPr>
                <w:sz w:val="20"/>
                <w:szCs w:val="20"/>
                <w:color w:val="auto"/>
              </w:rPr>
            </w:pPr>
            <w:r>
              <w:rPr>
                <w:rFonts w:ascii="Arial" w:cs="Arial" w:eastAsia="Arial" w:hAnsi="Arial"/>
                <w:sz w:val="18"/>
                <w:szCs w:val="18"/>
                <w:color w:val="auto"/>
              </w:rPr>
              <w:t>Median Progression-Free</w:t>
            </w:r>
          </w:p>
        </w:tc>
        <w:tc>
          <w:tcPr>
            <w:tcW w:w="2080" w:type="dxa"/>
            <w:vAlign w:val="bottom"/>
            <w:tcBorders>
              <w:right w:val="single" w:sz="8" w:color="BFBFBF"/>
            </w:tcBorders>
          </w:tcPr>
          <w:p>
            <w:pPr>
              <w:jc w:val="center"/>
              <w:spacing w:after="0" w:line="177" w:lineRule="exact"/>
              <w:rPr>
                <w:sz w:val="20"/>
                <w:szCs w:val="20"/>
                <w:color w:val="auto"/>
              </w:rPr>
            </w:pPr>
            <w:r>
              <w:rPr>
                <w:rFonts w:ascii="Arial" w:cs="Arial" w:eastAsia="Arial" w:hAnsi="Arial"/>
                <w:sz w:val="18"/>
                <w:szCs w:val="18"/>
                <w:color w:val="auto"/>
                <w:w w:val="98"/>
              </w:rPr>
              <w:t>5.5 months</w:t>
            </w:r>
          </w:p>
        </w:tc>
        <w:tc>
          <w:tcPr>
            <w:tcW w:w="4380" w:type="dxa"/>
            <w:vAlign w:val="bottom"/>
            <w:tcBorders>
              <w:right w:val="single" w:sz="8" w:color="BFBFBF"/>
            </w:tcBorders>
          </w:tcPr>
          <w:p>
            <w:pPr>
              <w:ind w:left="80"/>
              <w:spacing w:after="0" w:line="177" w:lineRule="exact"/>
              <w:rPr>
                <w:sz w:val="20"/>
                <w:szCs w:val="20"/>
                <w:color w:val="auto"/>
              </w:rPr>
            </w:pPr>
            <w:r>
              <w:rPr>
                <w:rFonts w:ascii="Arial" w:cs="Arial" w:eastAsia="Arial" w:hAnsi="Arial"/>
                <w:sz w:val="18"/>
                <w:szCs w:val="18"/>
                <w:color w:val="auto"/>
              </w:rPr>
              <w:t>US SoC Benchmark (chemo) mPFS is ~3.4 months</w:t>
            </w:r>
          </w:p>
        </w:tc>
      </w:tr>
      <w:tr>
        <w:trPr>
          <w:trHeight w:val="203"/>
        </w:trPr>
        <w:tc>
          <w:tcPr>
            <w:tcW w:w="2820" w:type="dxa"/>
            <w:vAlign w:val="bottom"/>
            <w:tcBorders>
              <w:left w:val="single" w:sz="8" w:color="BFBFBF"/>
              <w:right w:val="single" w:sz="8" w:color="BFBFBF"/>
            </w:tcBorders>
          </w:tcPr>
          <w:p>
            <w:pPr>
              <w:ind w:left="100"/>
              <w:spacing w:after="0" w:line="202" w:lineRule="exact"/>
              <w:rPr>
                <w:sz w:val="20"/>
                <w:szCs w:val="20"/>
                <w:color w:val="auto"/>
              </w:rPr>
            </w:pPr>
            <w:r>
              <w:rPr>
                <w:rFonts w:ascii="Arial" w:cs="Arial" w:eastAsia="Arial" w:hAnsi="Arial"/>
                <w:sz w:val="18"/>
                <w:szCs w:val="18"/>
                <w:color w:val="auto"/>
              </w:rPr>
              <w:t>Survival (“mPFS”) in 700mg</w:t>
            </w:r>
          </w:p>
        </w:tc>
        <w:tc>
          <w:tcPr>
            <w:tcW w:w="2080" w:type="dxa"/>
            <w:vAlign w:val="bottom"/>
            <w:tcBorders>
              <w:right w:val="single" w:sz="8" w:color="BFBFBF"/>
            </w:tcBorders>
          </w:tcPr>
          <w:p>
            <w:pPr>
              <w:spacing w:after="0"/>
              <w:rPr>
                <w:sz w:val="17"/>
                <w:szCs w:val="17"/>
                <w:color w:val="auto"/>
              </w:rPr>
            </w:pPr>
          </w:p>
        </w:tc>
        <w:tc>
          <w:tcPr>
            <w:tcW w:w="4380" w:type="dxa"/>
            <w:vAlign w:val="bottom"/>
            <w:tcBorders>
              <w:right w:val="single" w:sz="8" w:color="BFBFBF"/>
            </w:tcBorders>
          </w:tcPr>
          <w:p>
            <w:pPr>
              <w:spacing w:after="0"/>
              <w:rPr>
                <w:sz w:val="17"/>
                <w:szCs w:val="17"/>
                <w:color w:val="auto"/>
              </w:rPr>
            </w:pPr>
          </w:p>
        </w:tc>
      </w:tr>
      <w:tr>
        <w:trPr>
          <w:trHeight w:val="221"/>
        </w:trPr>
        <w:tc>
          <w:tcPr>
            <w:tcW w:w="2820" w:type="dxa"/>
            <w:vAlign w:val="bottom"/>
            <w:tcBorders>
              <w:left w:val="single" w:sz="8" w:color="BFBFBF"/>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tagmokitug dose arm</w:t>
            </w:r>
          </w:p>
        </w:tc>
        <w:tc>
          <w:tcPr>
            <w:tcW w:w="2080" w:type="dxa"/>
            <w:vAlign w:val="bottom"/>
            <w:tcBorders>
              <w:bottom w:val="single" w:sz="8" w:color="BFBFBF"/>
              <w:right w:val="single" w:sz="8" w:color="BFBFBF"/>
            </w:tcBorders>
          </w:tcPr>
          <w:p>
            <w:pPr>
              <w:spacing w:after="0"/>
              <w:rPr>
                <w:sz w:val="19"/>
                <w:szCs w:val="19"/>
                <w:color w:val="auto"/>
              </w:rPr>
            </w:pPr>
          </w:p>
        </w:tc>
        <w:tc>
          <w:tcPr>
            <w:tcW w:w="4380" w:type="dxa"/>
            <w:vAlign w:val="bottom"/>
            <w:tcBorders>
              <w:bottom w:val="single" w:sz="8" w:color="BFBFBF"/>
              <w:right w:val="single" w:sz="8" w:color="BFBFBF"/>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265430</wp:posOffset>
            </wp:positionV>
            <wp:extent cx="3171825" cy="2288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7182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Figure 2. Second-line ESCC swimmer plot by randomized tagmokitug dose. </w:t>
      </w:r>
      <w:r>
        <w:rPr>
          <w:rFonts w:ascii="Arial" w:cs="Arial" w:eastAsia="Arial" w:hAnsi="Arial"/>
          <w:sz w:val="18"/>
          <w:szCs w:val="18"/>
          <w:i w:val="1"/>
          <w:iCs w:val="1"/>
          <w:color w:val="auto"/>
        </w:rPr>
        <w:t>Data as of October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color w:val="auto"/>
        </w:rPr>
        <w:t>Interim Results in Other Indications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Borders>
              <w:right w:val="single" w:sz="8" w:color="BFBFBF"/>
            </w:tcBorders>
          </w:tcPr>
          <w:p>
            <w:pPr>
              <w:spacing w:after="0"/>
              <w:rPr>
                <w:sz w:val="18"/>
                <w:szCs w:val="18"/>
                <w:color w:val="auto"/>
              </w:rPr>
            </w:pPr>
          </w:p>
        </w:tc>
        <w:tc>
          <w:tcPr>
            <w:tcW w:w="2040" w:type="dxa"/>
            <w:vAlign w:val="bottom"/>
            <w:tcBorders>
              <w:top w:val="single" w:sz="8" w:color="BFBFBF"/>
              <w:bottom w:val="single" w:sz="8" w:color="BFBFBF"/>
              <w:right w:val="single" w:sz="8" w:color="BFBFBF"/>
            </w:tcBorders>
          </w:tcPr>
          <w:p>
            <w:pPr>
              <w:ind w:left="80"/>
              <w:spacing w:after="0"/>
              <w:rPr>
                <w:sz w:val="20"/>
                <w:szCs w:val="20"/>
                <w:color w:val="auto"/>
              </w:rPr>
            </w:pPr>
            <w:r>
              <w:rPr>
                <w:rFonts w:ascii="Arial" w:cs="Arial" w:eastAsia="Arial" w:hAnsi="Arial"/>
                <w:sz w:val="18"/>
                <w:szCs w:val="18"/>
                <w:b w:val="1"/>
                <w:bCs w:val="1"/>
                <w:color w:val="auto"/>
              </w:rPr>
              <w:t>Cohort</w:t>
            </w:r>
          </w:p>
        </w:tc>
        <w:tc>
          <w:tcPr>
            <w:tcW w:w="2240" w:type="dxa"/>
            <w:vAlign w:val="bottom"/>
            <w:tcBorders>
              <w:top w:val="single" w:sz="8" w:color="BFBFBF"/>
              <w:bottom w:val="single" w:sz="8" w:color="BFBFBF"/>
              <w:right w:val="single" w:sz="8" w:color="BFBFBF"/>
            </w:tcBorders>
          </w:tcPr>
          <w:p>
            <w:pPr>
              <w:jc w:val="center"/>
              <w:spacing w:after="0"/>
              <w:rPr>
                <w:sz w:val="20"/>
                <w:szCs w:val="20"/>
                <w:color w:val="auto"/>
              </w:rPr>
            </w:pPr>
            <w:r>
              <w:rPr>
                <w:rFonts w:ascii="Arial" w:cs="Arial" w:eastAsia="Arial" w:hAnsi="Arial"/>
                <w:sz w:val="18"/>
                <w:szCs w:val="18"/>
                <w:b w:val="1"/>
                <w:bCs w:val="1"/>
                <w:color w:val="auto"/>
              </w:rPr>
              <w:t>Population</w:t>
            </w:r>
          </w:p>
        </w:tc>
        <w:tc>
          <w:tcPr>
            <w:tcW w:w="4980" w:type="dxa"/>
            <w:vAlign w:val="bottom"/>
            <w:tcBorders>
              <w:top w:val="single" w:sz="8" w:color="BFBFBF"/>
              <w:bottom w:val="single" w:sz="8" w:color="BFBFBF"/>
              <w:right w:val="single" w:sz="8" w:color="BFBFBF"/>
            </w:tcBorders>
          </w:tcPr>
          <w:p>
            <w:pPr>
              <w:ind w:left="80"/>
              <w:spacing w:after="0"/>
              <w:rPr>
                <w:sz w:val="20"/>
                <w:szCs w:val="20"/>
                <w:color w:val="auto"/>
              </w:rPr>
            </w:pPr>
            <w:r>
              <w:rPr>
                <w:rFonts w:ascii="Arial" w:cs="Arial" w:eastAsia="Arial" w:hAnsi="Arial"/>
                <w:sz w:val="18"/>
                <w:szCs w:val="18"/>
                <w:b w:val="1"/>
                <w:bCs w:val="1"/>
                <w:color w:val="auto"/>
              </w:rPr>
              <w:t>Interim findings</w:t>
            </w:r>
          </w:p>
        </w:tc>
      </w:tr>
      <w:tr>
        <w:trPr>
          <w:trHeight w:val="177"/>
        </w:trPr>
        <w:tc>
          <w:tcPr>
            <w:tcW w:w="360" w:type="dxa"/>
            <w:vAlign w:val="bottom"/>
            <w:tcBorders>
              <w:right w:val="single" w:sz="8" w:color="BFBFBF"/>
            </w:tcBorders>
          </w:tcPr>
          <w:p>
            <w:pPr>
              <w:spacing w:after="0"/>
              <w:rPr>
                <w:sz w:val="15"/>
                <w:szCs w:val="15"/>
                <w:color w:val="auto"/>
              </w:rPr>
            </w:pPr>
          </w:p>
        </w:tc>
        <w:tc>
          <w:tcPr>
            <w:tcW w:w="2040" w:type="dxa"/>
            <w:vAlign w:val="bottom"/>
            <w:tcBorders>
              <w:right w:val="single" w:sz="8" w:color="BFBFBF"/>
            </w:tcBorders>
          </w:tcPr>
          <w:p>
            <w:pPr>
              <w:ind w:left="80"/>
              <w:spacing w:after="0" w:line="177" w:lineRule="exact"/>
              <w:rPr>
                <w:sz w:val="20"/>
                <w:szCs w:val="20"/>
                <w:color w:val="auto"/>
              </w:rPr>
            </w:pPr>
            <w:r>
              <w:rPr>
                <w:rFonts w:ascii="Arial" w:cs="Arial" w:eastAsia="Arial" w:hAnsi="Arial"/>
                <w:sz w:val="18"/>
                <w:szCs w:val="18"/>
                <w:b w:val="1"/>
                <w:bCs w:val="1"/>
                <w:color w:val="auto"/>
              </w:rPr>
              <w:t>2L HNSCC</w:t>
            </w:r>
          </w:p>
        </w:tc>
        <w:tc>
          <w:tcPr>
            <w:tcW w:w="2240" w:type="dxa"/>
            <w:vAlign w:val="bottom"/>
            <w:tcBorders>
              <w:right w:val="single" w:sz="8" w:color="BFBFBF"/>
            </w:tcBorders>
          </w:tcPr>
          <w:p>
            <w:pPr>
              <w:jc w:val="center"/>
              <w:spacing w:after="0" w:line="177" w:lineRule="exact"/>
              <w:rPr>
                <w:sz w:val="20"/>
                <w:szCs w:val="20"/>
                <w:color w:val="auto"/>
              </w:rPr>
            </w:pPr>
            <w:r>
              <w:rPr>
                <w:rFonts w:ascii="Arial" w:cs="Arial" w:eastAsia="Arial" w:hAnsi="Arial"/>
                <w:sz w:val="18"/>
                <w:szCs w:val="18"/>
                <w:color w:val="auto"/>
                <w:w w:val="99"/>
              </w:rPr>
              <w:t>43 treated; 23 HPV-</w:t>
            </w:r>
          </w:p>
        </w:tc>
        <w:tc>
          <w:tcPr>
            <w:tcW w:w="4980" w:type="dxa"/>
            <w:vAlign w:val="bottom"/>
            <w:tcBorders>
              <w:right w:val="single" w:sz="8" w:color="BFBFBF"/>
            </w:tcBorders>
          </w:tcPr>
          <w:p>
            <w:pPr>
              <w:ind w:left="80"/>
              <w:spacing w:after="0" w:line="177" w:lineRule="exact"/>
              <w:rPr>
                <w:sz w:val="20"/>
                <w:szCs w:val="20"/>
                <w:color w:val="auto"/>
              </w:rPr>
            </w:pPr>
            <w:r>
              <w:rPr>
                <w:rFonts w:ascii="Arial" w:cs="Arial" w:eastAsia="Arial" w:hAnsi="Arial"/>
                <w:sz w:val="18"/>
                <w:szCs w:val="18"/>
                <w:color w:val="auto"/>
              </w:rPr>
              <w:t>In HPV-positive disease across doses, 13.0% cORR (3/23)</w:t>
            </w:r>
          </w:p>
        </w:tc>
      </w:tr>
      <w:tr>
        <w:trPr>
          <w:trHeight w:val="203"/>
        </w:trPr>
        <w:tc>
          <w:tcPr>
            <w:tcW w:w="360" w:type="dxa"/>
            <w:vAlign w:val="bottom"/>
            <w:tcBorders>
              <w:right w:val="single" w:sz="8" w:color="BFBFBF"/>
            </w:tcBorders>
          </w:tcPr>
          <w:p>
            <w:pPr>
              <w:spacing w:after="0"/>
              <w:rPr>
                <w:sz w:val="17"/>
                <w:szCs w:val="17"/>
                <w:color w:val="auto"/>
              </w:rPr>
            </w:pPr>
          </w:p>
        </w:tc>
        <w:tc>
          <w:tcPr>
            <w:tcW w:w="2040" w:type="dxa"/>
            <w:vAlign w:val="bottom"/>
            <w:tcBorders>
              <w:right w:val="single" w:sz="8" w:color="BFBFBF"/>
            </w:tcBorders>
          </w:tcPr>
          <w:p>
            <w:pPr>
              <w:ind w:left="80"/>
              <w:spacing w:after="0" w:line="202" w:lineRule="exact"/>
              <w:rPr>
                <w:sz w:val="20"/>
                <w:szCs w:val="20"/>
                <w:color w:val="auto"/>
              </w:rPr>
            </w:pPr>
            <w:r>
              <w:rPr>
                <w:rFonts w:ascii="Arial" w:cs="Arial" w:eastAsia="Arial" w:hAnsi="Arial"/>
                <w:sz w:val="18"/>
                <w:szCs w:val="18"/>
                <w:color w:val="auto"/>
              </w:rPr>
              <w:t>Two tagmokitug doses</w:t>
            </w:r>
          </w:p>
        </w:tc>
        <w:tc>
          <w:tcPr>
            <w:tcW w:w="2240" w:type="dxa"/>
            <w:vAlign w:val="bottom"/>
            <w:tcBorders>
              <w:right w:val="single" w:sz="8" w:color="BFBFBF"/>
            </w:tcBorders>
          </w:tcPr>
          <w:p>
            <w:pPr>
              <w:jc w:val="center"/>
              <w:spacing w:after="0" w:line="202" w:lineRule="exact"/>
              <w:rPr>
                <w:sz w:val="20"/>
                <w:szCs w:val="20"/>
                <w:color w:val="auto"/>
              </w:rPr>
            </w:pPr>
            <w:r>
              <w:rPr>
                <w:rFonts w:ascii="Arial" w:cs="Arial" w:eastAsia="Arial" w:hAnsi="Arial"/>
                <w:sz w:val="18"/>
                <w:szCs w:val="18"/>
                <w:color w:val="auto"/>
                <w:w w:val="99"/>
              </w:rPr>
              <w:t>positive efficacy</w:t>
            </w:r>
          </w:p>
        </w:tc>
        <w:tc>
          <w:tcPr>
            <w:tcW w:w="4980" w:type="dxa"/>
            <w:vAlign w:val="bottom"/>
            <w:tcBorders>
              <w:right w:val="single" w:sz="8" w:color="BFBFBF"/>
            </w:tcBorders>
          </w:tcPr>
          <w:p>
            <w:pPr>
              <w:ind w:left="80"/>
              <w:spacing w:after="0" w:line="202" w:lineRule="exact"/>
              <w:rPr>
                <w:sz w:val="20"/>
                <w:szCs w:val="20"/>
                <w:color w:val="auto"/>
              </w:rPr>
            </w:pPr>
            <w:r>
              <w:rPr>
                <w:rFonts w:ascii="Arial" w:cs="Arial" w:eastAsia="Arial" w:hAnsi="Arial"/>
                <w:sz w:val="18"/>
                <w:szCs w:val="18"/>
                <w:color w:val="auto"/>
              </w:rPr>
              <w:t>and 26.1% CBR (6/23);</w:t>
            </w:r>
          </w:p>
        </w:tc>
      </w:tr>
      <w:tr>
        <w:trPr>
          <w:trHeight w:val="203"/>
        </w:trPr>
        <w:tc>
          <w:tcPr>
            <w:tcW w:w="360" w:type="dxa"/>
            <w:vAlign w:val="bottom"/>
            <w:tcBorders>
              <w:right w:val="single" w:sz="8" w:color="BFBFBF"/>
            </w:tcBorders>
          </w:tcPr>
          <w:p>
            <w:pPr>
              <w:spacing w:after="0"/>
              <w:rPr>
                <w:sz w:val="17"/>
                <w:szCs w:val="17"/>
                <w:color w:val="auto"/>
              </w:rPr>
            </w:pPr>
          </w:p>
        </w:tc>
        <w:tc>
          <w:tcPr>
            <w:tcW w:w="2040" w:type="dxa"/>
            <w:vAlign w:val="bottom"/>
            <w:tcBorders>
              <w:right w:val="single" w:sz="8" w:color="BFBFBF"/>
            </w:tcBorders>
          </w:tcPr>
          <w:p>
            <w:pPr>
              <w:ind w:left="80"/>
              <w:spacing w:after="0" w:line="202" w:lineRule="exact"/>
              <w:rPr>
                <w:sz w:val="20"/>
                <w:szCs w:val="20"/>
                <w:color w:val="auto"/>
              </w:rPr>
            </w:pPr>
            <w:r>
              <w:rPr>
                <w:rFonts w:ascii="Arial" w:cs="Arial" w:eastAsia="Arial" w:hAnsi="Arial"/>
                <w:sz w:val="18"/>
                <w:szCs w:val="18"/>
                <w:color w:val="auto"/>
              </w:rPr>
              <w:t>(700 mg and 300 mg)</w:t>
            </w:r>
          </w:p>
        </w:tc>
        <w:tc>
          <w:tcPr>
            <w:tcW w:w="2240" w:type="dxa"/>
            <w:vAlign w:val="bottom"/>
            <w:tcBorders>
              <w:right w:val="single" w:sz="8" w:color="BFBFBF"/>
            </w:tcBorders>
          </w:tcPr>
          <w:p>
            <w:pPr>
              <w:jc w:val="center"/>
              <w:spacing w:after="0" w:line="202" w:lineRule="exact"/>
              <w:rPr>
                <w:sz w:val="20"/>
                <w:szCs w:val="20"/>
                <w:color w:val="auto"/>
              </w:rPr>
            </w:pPr>
            <w:r>
              <w:rPr>
                <w:rFonts w:ascii="Arial" w:cs="Arial" w:eastAsia="Arial" w:hAnsi="Arial"/>
                <w:sz w:val="18"/>
                <w:szCs w:val="18"/>
                <w:color w:val="auto"/>
              </w:rPr>
              <w:t>evaluable</w:t>
            </w:r>
          </w:p>
        </w:tc>
        <w:tc>
          <w:tcPr>
            <w:tcW w:w="4980" w:type="dxa"/>
            <w:vAlign w:val="bottom"/>
            <w:tcBorders>
              <w:right w:val="single" w:sz="8" w:color="BFBFBF"/>
            </w:tcBorders>
          </w:tcPr>
          <w:p>
            <w:pPr>
              <w:ind w:left="80"/>
              <w:spacing w:after="0" w:line="202" w:lineRule="exact"/>
              <w:rPr>
                <w:sz w:val="20"/>
                <w:szCs w:val="20"/>
                <w:color w:val="auto"/>
              </w:rPr>
            </w:pPr>
            <w:r>
              <w:rPr>
                <w:rFonts w:ascii="Arial" w:cs="Arial" w:eastAsia="Arial" w:hAnsi="Arial"/>
                <w:sz w:val="18"/>
                <w:szCs w:val="18"/>
                <w:color w:val="auto"/>
              </w:rPr>
              <w:t>Additional potential enrichment strategy based on Tumor</w:t>
            </w:r>
          </w:p>
        </w:tc>
      </w:tr>
      <w:tr>
        <w:trPr>
          <w:trHeight w:val="203"/>
        </w:trPr>
        <w:tc>
          <w:tcPr>
            <w:tcW w:w="360" w:type="dxa"/>
            <w:vAlign w:val="bottom"/>
            <w:tcBorders>
              <w:right w:val="single" w:sz="8" w:color="BFBFBF"/>
            </w:tcBorders>
          </w:tcPr>
          <w:p>
            <w:pPr>
              <w:spacing w:after="0"/>
              <w:rPr>
                <w:sz w:val="17"/>
                <w:szCs w:val="17"/>
                <w:color w:val="auto"/>
              </w:rPr>
            </w:pPr>
          </w:p>
        </w:tc>
        <w:tc>
          <w:tcPr>
            <w:tcW w:w="2040" w:type="dxa"/>
            <w:vAlign w:val="bottom"/>
            <w:tcBorders>
              <w:right w:val="single" w:sz="8" w:color="BFBFBF"/>
            </w:tcBorders>
          </w:tcPr>
          <w:p>
            <w:pPr>
              <w:ind w:left="80"/>
              <w:spacing w:after="0" w:line="202" w:lineRule="exact"/>
              <w:rPr>
                <w:sz w:val="20"/>
                <w:szCs w:val="20"/>
                <w:color w:val="auto"/>
              </w:rPr>
            </w:pPr>
            <w:r>
              <w:rPr>
                <w:rFonts w:ascii="Arial" w:cs="Arial" w:eastAsia="Arial" w:hAnsi="Arial"/>
                <w:sz w:val="18"/>
                <w:szCs w:val="18"/>
                <w:color w:val="auto"/>
              </w:rPr>
              <w:t>plus toripalimab</w:t>
            </w:r>
          </w:p>
        </w:tc>
        <w:tc>
          <w:tcPr>
            <w:tcW w:w="2240" w:type="dxa"/>
            <w:vAlign w:val="bottom"/>
            <w:tcBorders>
              <w:right w:val="single" w:sz="8" w:color="BFBFBF"/>
            </w:tcBorders>
          </w:tcPr>
          <w:p>
            <w:pPr>
              <w:spacing w:after="0"/>
              <w:rPr>
                <w:sz w:val="17"/>
                <w:szCs w:val="17"/>
                <w:color w:val="auto"/>
              </w:rPr>
            </w:pPr>
          </w:p>
        </w:tc>
        <w:tc>
          <w:tcPr>
            <w:tcW w:w="4980" w:type="dxa"/>
            <w:vAlign w:val="bottom"/>
            <w:tcBorders>
              <w:right w:val="single" w:sz="8" w:color="BFBFBF"/>
            </w:tcBorders>
          </w:tcPr>
          <w:p>
            <w:pPr>
              <w:ind w:left="80"/>
              <w:spacing w:after="0" w:line="202" w:lineRule="exact"/>
              <w:rPr>
                <w:sz w:val="20"/>
                <w:szCs w:val="20"/>
                <w:color w:val="auto"/>
              </w:rPr>
            </w:pPr>
            <w:r>
              <w:rPr>
                <w:rFonts w:ascii="Arial" w:cs="Arial" w:eastAsia="Arial" w:hAnsi="Arial"/>
                <w:sz w:val="18"/>
                <w:szCs w:val="18"/>
                <w:color w:val="auto"/>
              </w:rPr>
              <w:t>Immune Regulatory Index (“TIRI”), a tumor-derived CCR8-</w:t>
            </w:r>
          </w:p>
        </w:tc>
      </w:tr>
      <w:tr>
        <w:trPr>
          <w:trHeight w:val="203"/>
        </w:trPr>
        <w:tc>
          <w:tcPr>
            <w:tcW w:w="360" w:type="dxa"/>
            <w:vAlign w:val="bottom"/>
            <w:tcBorders>
              <w:right w:val="single" w:sz="8" w:color="BFBFBF"/>
            </w:tcBorders>
          </w:tcPr>
          <w:p>
            <w:pPr>
              <w:spacing w:after="0"/>
              <w:rPr>
                <w:sz w:val="17"/>
                <w:szCs w:val="17"/>
                <w:color w:val="auto"/>
              </w:rPr>
            </w:pPr>
          </w:p>
        </w:tc>
        <w:tc>
          <w:tcPr>
            <w:tcW w:w="2040" w:type="dxa"/>
            <w:vAlign w:val="bottom"/>
            <w:tcBorders>
              <w:right w:val="single" w:sz="8" w:color="BFBFBF"/>
            </w:tcBorders>
          </w:tcPr>
          <w:p>
            <w:pPr>
              <w:spacing w:after="0"/>
              <w:rPr>
                <w:sz w:val="17"/>
                <w:szCs w:val="17"/>
                <w:color w:val="auto"/>
              </w:rPr>
            </w:pPr>
          </w:p>
        </w:tc>
        <w:tc>
          <w:tcPr>
            <w:tcW w:w="2240" w:type="dxa"/>
            <w:vAlign w:val="bottom"/>
            <w:tcBorders>
              <w:right w:val="single" w:sz="8" w:color="BFBFBF"/>
            </w:tcBorders>
          </w:tcPr>
          <w:p>
            <w:pPr>
              <w:spacing w:after="0"/>
              <w:rPr>
                <w:sz w:val="17"/>
                <w:szCs w:val="17"/>
                <w:color w:val="auto"/>
              </w:rPr>
            </w:pPr>
          </w:p>
        </w:tc>
        <w:tc>
          <w:tcPr>
            <w:tcW w:w="4980" w:type="dxa"/>
            <w:vAlign w:val="bottom"/>
            <w:tcBorders>
              <w:right w:val="single" w:sz="8" w:color="BFBFBF"/>
            </w:tcBorders>
          </w:tcPr>
          <w:p>
            <w:pPr>
              <w:ind w:left="80"/>
              <w:spacing w:after="0" w:line="202" w:lineRule="exact"/>
              <w:rPr>
                <w:sz w:val="20"/>
                <w:szCs w:val="20"/>
                <w:color w:val="auto"/>
              </w:rPr>
            </w:pPr>
            <w:r>
              <w:rPr>
                <w:rFonts w:ascii="Arial" w:cs="Arial" w:eastAsia="Arial" w:hAnsi="Arial"/>
                <w:sz w:val="18"/>
                <w:szCs w:val="18"/>
                <w:color w:val="auto"/>
              </w:rPr>
              <w:t>containing biomarker score, under evaluation; HPV+ -</w:t>
            </w:r>
          </w:p>
        </w:tc>
      </w:tr>
      <w:tr>
        <w:trPr>
          <w:trHeight w:val="221"/>
        </w:trPr>
        <w:tc>
          <w:tcPr>
            <w:tcW w:w="360" w:type="dxa"/>
            <w:vAlign w:val="bottom"/>
            <w:tcBorders>
              <w:right w:val="single" w:sz="8" w:color="BFBFBF"/>
            </w:tcBorders>
          </w:tcPr>
          <w:p>
            <w:pPr>
              <w:spacing w:after="0"/>
              <w:rPr>
                <w:sz w:val="19"/>
                <w:szCs w:val="19"/>
                <w:color w:val="auto"/>
              </w:rPr>
            </w:pPr>
          </w:p>
        </w:tc>
        <w:tc>
          <w:tcPr>
            <w:tcW w:w="2040" w:type="dxa"/>
            <w:vAlign w:val="bottom"/>
            <w:tcBorders>
              <w:bottom w:val="single" w:sz="8" w:color="BFBFBF"/>
              <w:right w:val="single" w:sz="8" w:color="BFBFBF"/>
            </w:tcBorders>
          </w:tcPr>
          <w:p>
            <w:pPr>
              <w:spacing w:after="0"/>
              <w:rPr>
                <w:sz w:val="19"/>
                <w:szCs w:val="19"/>
                <w:color w:val="auto"/>
              </w:rPr>
            </w:pPr>
          </w:p>
        </w:tc>
        <w:tc>
          <w:tcPr>
            <w:tcW w:w="2240" w:type="dxa"/>
            <w:vAlign w:val="bottom"/>
            <w:tcBorders>
              <w:bottom w:val="single" w:sz="8" w:color="BFBFBF"/>
              <w:right w:val="single" w:sz="8" w:color="BFBFBF"/>
            </w:tcBorders>
          </w:tcPr>
          <w:p>
            <w:pPr>
              <w:spacing w:after="0"/>
              <w:rPr>
                <w:sz w:val="19"/>
                <w:szCs w:val="19"/>
                <w:color w:val="auto"/>
              </w:rPr>
            </w:pPr>
          </w:p>
        </w:tc>
        <w:tc>
          <w:tcPr>
            <w:tcW w:w="498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TIRI+ patients demonstrated a 45% CBR (5/11).</w:t>
            </w:r>
          </w:p>
        </w:tc>
      </w:tr>
      <w:tr>
        <w:trPr>
          <w:trHeight w:val="177"/>
        </w:trPr>
        <w:tc>
          <w:tcPr>
            <w:tcW w:w="360" w:type="dxa"/>
            <w:vAlign w:val="bottom"/>
            <w:tcBorders>
              <w:right w:val="single" w:sz="8" w:color="BFBFBF"/>
            </w:tcBorders>
          </w:tcPr>
          <w:p>
            <w:pPr>
              <w:spacing w:after="0"/>
              <w:rPr>
                <w:sz w:val="15"/>
                <w:szCs w:val="15"/>
                <w:color w:val="auto"/>
              </w:rPr>
            </w:pPr>
          </w:p>
        </w:tc>
        <w:tc>
          <w:tcPr>
            <w:tcW w:w="2040" w:type="dxa"/>
            <w:vAlign w:val="bottom"/>
            <w:tcBorders>
              <w:right w:val="single" w:sz="8" w:color="BFBFBF"/>
            </w:tcBorders>
          </w:tcPr>
          <w:p>
            <w:pPr>
              <w:ind w:left="80"/>
              <w:spacing w:after="0" w:line="177" w:lineRule="exact"/>
              <w:rPr>
                <w:sz w:val="20"/>
                <w:szCs w:val="20"/>
                <w:color w:val="auto"/>
              </w:rPr>
            </w:pPr>
            <w:r>
              <w:rPr>
                <w:rFonts w:ascii="Arial" w:cs="Arial" w:eastAsia="Arial" w:hAnsi="Arial"/>
                <w:sz w:val="18"/>
                <w:szCs w:val="18"/>
                <w:b w:val="1"/>
                <w:bCs w:val="1"/>
                <w:color w:val="auto"/>
              </w:rPr>
              <w:t>2L Upper GI:</w:t>
            </w:r>
          </w:p>
        </w:tc>
        <w:tc>
          <w:tcPr>
            <w:tcW w:w="2240" w:type="dxa"/>
            <w:vAlign w:val="bottom"/>
            <w:tcBorders>
              <w:right w:val="single" w:sz="8" w:color="BFBFBF"/>
            </w:tcBorders>
          </w:tcPr>
          <w:p>
            <w:pPr>
              <w:jc w:val="center"/>
              <w:spacing w:after="0" w:line="177" w:lineRule="exact"/>
              <w:rPr>
                <w:sz w:val="20"/>
                <w:szCs w:val="20"/>
                <w:color w:val="auto"/>
              </w:rPr>
            </w:pPr>
            <w:r>
              <w:rPr>
                <w:rFonts w:ascii="Arial" w:cs="Arial" w:eastAsia="Arial" w:hAnsi="Arial"/>
                <w:sz w:val="18"/>
                <w:szCs w:val="18"/>
                <w:color w:val="auto"/>
                <w:w w:val="99"/>
              </w:rPr>
              <w:t>40 treated; 33 efficacy</w:t>
            </w:r>
          </w:p>
        </w:tc>
        <w:tc>
          <w:tcPr>
            <w:tcW w:w="4980" w:type="dxa"/>
            <w:vAlign w:val="bottom"/>
            <w:tcBorders>
              <w:right w:val="single" w:sz="8" w:color="BFBFBF"/>
            </w:tcBorders>
          </w:tcPr>
          <w:p>
            <w:pPr>
              <w:ind w:left="80"/>
              <w:spacing w:after="0" w:line="177" w:lineRule="exact"/>
              <w:rPr>
                <w:sz w:val="20"/>
                <w:szCs w:val="20"/>
                <w:color w:val="auto"/>
              </w:rPr>
            </w:pPr>
            <w:r>
              <w:rPr>
                <w:rFonts w:ascii="Arial" w:cs="Arial" w:eastAsia="Arial" w:hAnsi="Arial"/>
                <w:sz w:val="18"/>
                <w:szCs w:val="18"/>
                <w:color w:val="auto"/>
              </w:rPr>
              <w:t>At 700 mg, 4 confirmed PRs among 17 evaluable patient</w:t>
            </w:r>
          </w:p>
        </w:tc>
      </w:tr>
      <w:tr>
        <w:trPr>
          <w:trHeight w:val="203"/>
        </w:trPr>
        <w:tc>
          <w:tcPr>
            <w:tcW w:w="360" w:type="dxa"/>
            <w:vAlign w:val="bottom"/>
            <w:tcBorders>
              <w:right w:val="single" w:sz="8" w:color="BFBFBF"/>
            </w:tcBorders>
          </w:tcPr>
          <w:p>
            <w:pPr>
              <w:spacing w:after="0"/>
              <w:rPr>
                <w:sz w:val="17"/>
                <w:szCs w:val="17"/>
                <w:color w:val="auto"/>
              </w:rPr>
            </w:pPr>
          </w:p>
        </w:tc>
        <w:tc>
          <w:tcPr>
            <w:tcW w:w="2040" w:type="dxa"/>
            <w:vAlign w:val="bottom"/>
            <w:tcBorders>
              <w:right w:val="single" w:sz="8" w:color="BFBFBF"/>
            </w:tcBorders>
          </w:tcPr>
          <w:p>
            <w:pPr>
              <w:ind w:left="80"/>
              <w:spacing w:after="0" w:line="202" w:lineRule="exact"/>
              <w:rPr>
                <w:sz w:val="20"/>
                <w:szCs w:val="20"/>
                <w:color w:val="auto"/>
              </w:rPr>
            </w:pPr>
            <w:r>
              <w:rPr>
                <w:rFonts w:ascii="Arial" w:cs="Arial" w:eastAsia="Arial" w:hAnsi="Arial"/>
                <w:sz w:val="18"/>
                <w:szCs w:val="18"/>
                <w:b w:val="1"/>
                <w:bCs w:val="1"/>
                <w:color w:val="auto"/>
              </w:rPr>
              <w:t>GC/GEJ/EAC</w:t>
            </w:r>
          </w:p>
        </w:tc>
        <w:tc>
          <w:tcPr>
            <w:tcW w:w="2240" w:type="dxa"/>
            <w:vAlign w:val="bottom"/>
            <w:tcBorders>
              <w:right w:val="single" w:sz="8" w:color="BFBFBF"/>
            </w:tcBorders>
          </w:tcPr>
          <w:p>
            <w:pPr>
              <w:jc w:val="center"/>
              <w:spacing w:after="0" w:line="202" w:lineRule="exact"/>
              <w:rPr>
                <w:sz w:val="20"/>
                <w:szCs w:val="20"/>
                <w:color w:val="auto"/>
              </w:rPr>
            </w:pPr>
            <w:r>
              <w:rPr>
                <w:rFonts w:ascii="Arial" w:cs="Arial" w:eastAsia="Arial" w:hAnsi="Arial"/>
                <w:sz w:val="18"/>
                <w:szCs w:val="18"/>
                <w:color w:val="auto"/>
              </w:rPr>
              <w:t>evaluable</w:t>
            </w:r>
          </w:p>
        </w:tc>
        <w:tc>
          <w:tcPr>
            <w:tcW w:w="4980" w:type="dxa"/>
            <w:vAlign w:val="bottom"/>
            <w:tcBorders>
              <w:right w:val="single" w:sz="8" w:color="BFBFBF"/>
            </w:tcBorders>
          </w:tcPr>
          <w:p>
            <w:pPr>
              <w:ind w:left="80"/>
              <w:spacing w:after="0" w:line="202" w:lineRule="exact"/>
              <w:rPr>
                <w:sz w:val="20"/>
                <w:szCs w:val="20"/>
                <w:color w:val="auto"/>
              </w:rPr>
            </w:pPr>
            <w:r>
              <w:rPr>
                <w:rFonts w:ascii="Arial" w:cs="Arial" w:eastAsia="Arial" w:hAnsi="Arial"/>
                <w:sz w:val="18"/>
                <w:szCs w:val="18"/>
                <w:color w:val="auto"/>
              </w:rPr>
              <w:t>data set (23.5% cORR), including 2 PRs in EAC with follow-</w:t>
            </w:r>
          </w:p>
        </w:tc>
      </w:tr>
      <w:tr>
        <w:trPr>
          <w:trHeight w:val="203"/>
        </w:trPr>
        <w:tc>
          <w:tcPr>
            <w:tcW w:w="360" w:type="dxa"/>
            <w:vAlign w:val="bottom"/>
            <w:tcBorders>
              <w:right w:val="single" w:sz="8" w:color="BFBFBF"/>
            </w:tcBorders>
          </w:tcPr>
          <w:p>
            <w:pPr>
              <w:spacing w:after="0"/>
              <w:rPr>
                <w:sz w:val="17"/>
                <w:szCs w:val="17"/>
                <w:color w:val="auto"/>
              </w:rPr>
            </w:pPr>
          </w:p>
        </w:tc>
        <w:tc>
          <w:tcPr>
            <w:tcW w:w="2040" w:type="dxa"/>
            <w:vAlign w:val="bottom"/>
            <w:tcBorders>
              <w:right w:val="single" w:sz="8" w:color="BFBFBF"/>
            </w:tcBorders>
          </w:tcPr>
          <w:p>
            <w:pPr>
              <w:ind w:left="80"/>
              <w:spacing w:after="0" w:line="202" w:lineRule="exact"/>
              <w:rPr>
                <w:sz w:val="20"/>
                <w:szCs w:val="20"/>
                <w:color w:val="auto"/>
              </w:rPr>
            </w:pPr>
            <w:r>
              <w:rPr>
                <w:rFonts w:ascii="Arial" w:cs="Arial" w:eastAsia="Arial" w:hAnsi="Arial"/>
                <w:sz w:val="18"/>
                <w:szCs w:val="18"/>
                <w:color w:val="auto"/>
              </w:rPr>
              <w:t>Two tagmokitug doses</w:t>
            </w:r>
          </w:p>
        </w:tc>
        <w:tc>
          <w:tcPr>
            <w:tcW w:w="2240" w:type="dxa"/>
            <w:vAlign w:val="bottom"/>
            <w:tcBorders>
              <w:right w:val="single" w:sz="8" w:color="BFBFBF"/>
            </w:tcBorders>
          </w:tcPr>
          <w:p>
            <w:pPr>
              <w:spacing w:after="0"/>
              <w:rPr>
                <w:sz w:val="17"/>
                <w:szCs w:val="17"/>
                <w:color w:val="auto"/>
              </w:rPr>
            </w:pPr>
          </w:p>
        </w:tc>
        <w:tc>
          <w:tcPr>
            <w:tcW w:w="4980" w:type="dxa"/>
            <w:vAlign w:val="bottom"/>
            <w:tcBorders>
              <w:right w:val="single" w:sz="8" w:color="BFBFBF"/>
            </w:tcBorders>
          </w:tcPr>
          <w:p>
            <w:pPr>
              <w:ind w:left="80"/>
              <w:spacing w:after="0" w:line="202" w:lineRule="exact"/>
              <w:rPr>
                <w:sz w:val="20"/>
                <w:szCs w:val="20"/>
                <w:color w:val="auto"/>
              </w:rPr>
            </w:pPr>
            <w:r>
              <w:rPr>
                <w:rFonts w:ascii="Arial" w:cs="Arial" w:eastAsia="Arial" w:hAnsi="Arial"/>
                <w:sz w:val="18"/>
                <w:szCs w:val="18"/>
                <w:color w:val="auto"/>
              </w:rPr>
              <w:t>up continuing;</w:t>
            </w:r>
          </w:p>
        </w:tc>
      </w:tr>
      <w:tr>
        <w:trPr>
          <w:trHeight w:val="203"/>
        </w:trPr>
        <w:tc>
          <w:tcPr>
            <w:tcW w:w="360" w:type="dxa"/>
            <w:vAlign w:val="bottom"/>
            <w:tcBorders>
              <w:right w:val="single" w:sz="8" w:color="BFBFBF"/>
            </w:tcBorders>
          </w:tcPr>
          <w:p>
            <w:pPr>
              <w:spacing w:after="0"/>
              <w:rPr>
                <w:sz w:val="17"/>
                <w:szCs w:val="17"/>
                <w:color w:val="auto"/>
              </w:rPr>
            </w:pPr>
          </w:p>
        </w:tc>
        <w:tc>
          <w:tcPr>
            <w:tcW w:w="2040" w:type="dxa"/>
            <w:vAlign w:val="bottom"/>
            <w:tcBorders>
              <w:right w:val="single" w:sz="8" w:color="BFBFBF"/>
            </w:tcBorders>
          </w:tcPr>
          <w:p>
            <w:pPr>
              <w:ind w:left="80"/>
              <w:spacing w:after="0" w:line="202" w:lineRule="exact"/>
              <w:rPr>
                <w:sz w:val="20"/>
                <w:szCs w:val="20"/>
                <w:color w:val="auto"/>
              </w:rPr>
            </w:pPr>
            <w:r>
              <w:rPr>
                <w:rFonts w:ascii="Arial" w:cs="Arial" w:eastAsia="Arial" w:hAnsi="Arial"/>
                <w:sz w:val="18"/>
                <w:szCs w:val="18"/>
                <w:color w:val="auto"/>
              </w:rPr>
              <w:t>(700 mg and 300 mg)</w:t>
            </w:r>
          </w:p>
        </w:tc>
        <w:tc>
          <w:tcPr>
            <w:tcW w:w="2240" w:type="dxa"/>
            <w:vAlign w:val="bottom"/>
            <w:tcBorders>
              <w:right w:val="single" w:sz="8" w:color="BFBFBF"/>
            </w:tcBorders>
          </w:tcPr>
          <w:p>
            <w:pPr>
              <w:spacing w:after="0"/>
              <w:rPr>
                <w:sz w:val="17"/>
                <w:szCs w:val="17"/>
                <w:color w:val="auto"/>
              </w:rPr>
            </w:pPr>
          </w:p>
        </w:tc>
        <w:tc>
          <w:tcPr>
            <w:tcW w:w="4980" w:type="dxa"/>
            <w:vAlign w:val="bottom"/>
            <w:tcBorders>
              <w:right w:val="single" w:sz="8" w:color="BFBFBF"/>
            </w:tcBorders>
          </w:tcPr>
          <w:p>
            <w:pPr>
              <w:ind w:left="80"/>
              <w:spacing w:after="0" w:line="202" w:lineRule="exact"/>
              <w:rPr>
                <w:sz w:val="20"/>
                <w:szCs w:val="20"/>
                <w:color w:val="auto"/>
              </w:rPr>
            </w:pPr>
            <w:r>
              <w:rPr>
                <w:rFonts w:ascii="Arial" w:cs="Arial" w:eastAsia="Arial" w:hAnsi="Arial"/>
                <w:sz w:val="18"/>
                <w:szCs w:val="18"/>
                <w:color w:val="auto"/>
              </w:rPr>
              <w:t>Clear dose-response;</w:t>
            </w:r>
          </w:p>
        </w:tc>
      </w:tr>
      <w:tr>
        <w:trPr>
          <w:trHeight w:val="203"/>
        </w:trPr>
        <w:tc>
          <w:tcPr>
            <w:tcW w:w="360" w:type="dxa"/>
            <w:vAlign w:val="bottom"/>
            <w:tcBorders>
              <w:right w:val="single" w:sz="8" w:color="BFBFBF"/>
            </w:tcBorders>
          </w:tcPr>
          <w:p>
            <w:pPr>
              <w:spacing w:after="0"/>
              <w:rPr>
                <w:sz w:val="17"/>
                <w:szCs w:val="17"/>
                <w:color w:val="auto"/>
              </w:rPr>
            </w:pPr>
          </w:p>
        </w:tc>
        <w:tc>
          <w:tcPr>
            <w:tcW w:w="2040" w:type="dxa"/>
            <w:vAlign w:val="bottom"/>
            <w:tcBorders>
              <w:right w:val="single" w:sz="8" w:color="BFBFBF"/>
            </w:tcBorders>
          </w:tcPr>
          <w:p>
            <w:pPr>
              <w:ind w:left="80"/>
              <w:spacing w:after="0" w:line="202" w:lineRule="exact"/>
              <w:rPr>
                <w:sz w:val="20"/>
                <w:szCs w:val="20"/>
                <w:color w:val="auto"/>
              </w:rPr>
            </w:pPr>
            <w:r>
              <w:rPr>
                <w:rFonts w:ascii="Arial" w:cs="Arial" w:eastAsia="Arial" w:hAnsi="Arial"/>
                <w:sz w:val="18"/>
                <w:szCs w:val="18"/>
                <w:color w:val="auto"/>
              </w:rPr>
              <w:t>plus toripalimab</w:t>
            </w:r>
          </w:p>
        </w:tc>
        <w:tc>
          <w:tcPr>
            <w:tcW w:w="2240" w:type="dxa"/>
            <w:vAlign w:val="bottom"/>
            <w:tcBorders>
              <w:right w:val="single" w:sz="8" w:color="BFBFBF"/>
            </w:tcBorders>
          </w:tcPr>
          <w:p>
            <w:pPr>
              <w:spacing w:after="0"/>
              <w:rPr>
                <w:sz w:val="17"/>
                <w:szCs w:val="17"/>
                <w:color w:val="auto"/>
              </w:rPr>
            </w:pPr>
          </w:p>
        </w:tc>
        <w:tc>
          <w:tcPr>
            <w:tcW w:w="4980" w:type="dxa"/>
            <w:vAlign w:val="bottom"/>
            <w:tcBorders>
              <w:right w:val="single" w:sz="8" w:color="BFBFBF"/>
            </w:tcBorders>
          </w:tcPr>
          <w:p>
            <w:pPr>
              <w:ind w:left="80"/>
              <w:spacing w:after="0" w:line="202" w:lineRule="exact"/>
              <w:rPr>
                <w:sz w:val="20"/>
                <w:szCs w:val="20"/>
                <w:color w:val="auto"/>
              </w:rPr>
            </w:pPr>
            <w:r>
              <w:rPr>
                <w:rFonts w:ascii="Arial" w:cs="Arial" w:eastAsia="Arial" w:hAnsi="Arial"/>
                <w:sz w:val="18"/>
                <w:szCs w:val="18"/>
                <w:color w:val="auto"/>
              </w:rPr>
              <w:t>Demonstrated PD-1 resistance rescue at 700 mg and tumor</w:t>
            </w:r>
          </w:p>
        </w:tc>
      </w:tr>
      <w:tr>
        <w:trPr>
          <w:trHeight w:val="203"/>
        </w:trPr>
        <w:tc>
          <w:tcPr>
            <w:tcW w:w="360" w:type="dxa"/>
            <w:vAlign w:val="bottom"/>
            <w:tcBorders>
              <w:right w:val="single" w:sz="8" w:color="BFBFBF"/>
            </w:tcBorders>
          </w:tcPr>
          <w:p>
            <w:pPr>
              <w:spacing w:after="0"/>
              <w:rPr>
                <w:sz w:val="17"/>
                <w:szCs w:val="17"/>
                <w:color w:val="auto"/>
              </w:rPr>
            </w:pPr>
          </w:p>
        </w:tc>
        <w:tc>
          <w:tcPr>
            <w:tcW w:w="2040" w:type="dxa"/>
            <w:vAlign w:val="bottom"/>
            <w:tcBorders>
              <w:right w:val="single" w:sz="8" w:color="BFBFBF"/>
            </w:tcBorders>
          </w:tcPr>
          <w:p>
            <w:pPr>
              <w:spacing w:after="0"/>
              <w:rPr>
                <w:sz w:val="17"/>
                <w:szCs w:val="17"/>
                <w:color w:val="auto"/>
              </w:rPr>
            </w:pPr>
          </w:p>
        </w:tc>
        <w:tc>
          <w:tcPr>
            <w:tcW w:w="2240" w:type="dxa"/>
            <w:vAlign w:val="bottom"/>
            <w:tcBorders>
              <w:right w:val="single" w:sz="8" w:color="BFBFBF"/>
            </w:tcBorders>
          </w:tcPr>
          <w:p>
            <w:pPr>
              <w:spacing w:after="0"/>
              <w:rPr>
                <w:sz w:val="17"/>
                <w:szCs w:val="17"/>
                <w:color w:val="auto"/>
              </w:rPr>
            </w:pPr>
          </w:p>
        </w:tc>
        <w:tc>
          <w:tcPr>
            <w:tcW w:w="4980" w:type="dxa"/>
            <w:vAlign w:val="bottom"/>
            <w:tcBorders>
              <w:right w:val="single" w:sz="8" w:color="BFBFBF"/>
            </w:tcBorders>
          </w:tcPr>
          <w:p>
            <w:pPr>
              <w:ind w:left="80"/>
              <w:spacing w:after="0" w:line="202" w:lineRule="exact"/>
              <w:rPr>
                <w:sz w:val="20"/>
                <w:szCs w:val="20"/>
                <w:color w:val="auto"/>
              </w:rPr>
            </w:pPr>
            <w:r>
              <w:rPr>
                <w:rFonts w:ascii="Arial" w:cs="Arial" w:eastAsia="Arial" w:hAnsi="Arial"/>
                <w:sz w:val="18"/>
                <w:szCs w:val="18"/>
                <w:color w:val="auto"/>
              </w:rPr>
              <w:t>shrinkage in PD-1-refractory and naive patients;</w:t>
            </w:r>
          </w:p>
        </w:tc>
      </w:tr>
      <w:tr>
        <w:trPr>
          <w:trHeight w:val="221"/>
        </w:trPr>
        <w:tc>
          <w:tcPr>
            <w:tcW w:w="360" w:type="dxa"/>
            <w:vAlign w:val="bottom"/>
            <w:tcBorders>
              <w:right w:val="single" w:sz="8" w:color="BFBFBF"/>
            </w:tcBorders>
          </w:tcPr>
          <w:p>
            <w:pPr>
              <w:spacing w:after="0"/>
              <w:rPr>
                <w:sz w:val="19"/>
                <w:szCs w:val="19"/>
                <w:color w:val="auto"/>
              </w:rPr>
            </w:pPr>
          </w:p>
        </w:tc>
        <w:tc>
          <w:tcPr>
            <w:tcW w:w="2040" w:type="dxa"/>
            <w:vAlign w:val="bottom"/>
            <w:tcBorders>
              <w:bottom w:val="single" w:sz="8" w:color="BFBFBF"/>
              <w:right w:val="single" w:sz="8" w:color="BFBFBF"/>
            </w:tcBorders>
          </w:tcPr>
          <w:p>
            <w:pPr>
              <w:spacing w:after="0"/>
              <w:rPr>
                <w:sz w:val="19"/>
                <w:szCs w:val="19"/>
                <w:color w:val="auto"/>
              </w:rPr>
            </w:pPr>
          </w:p>
        </w:tc>
        <w:tc>
          <w:tcPr>
            <w:tcW w:w="2240" w:type="dxa"/>
            <w:vAlign w:val="bottom"/>
            <w:tcBorders>
              <w:bottom w:val="single" w:sz="8" w:color="BFBFBF"/>
              <w:right w:val="single" w:sz="8" w:color="BFBFBF"/>
            </w:tcBorders>
          </w:tcPr>
          <w:p>
            <w:pPr>
              <w:spacing w:after="0"/>
              <w:rPr>
                <w:sz w:val="19"/>
                <w:szCs w:val="19"/>
                <w:color w:val="auto"/>
              </w:rPr>
            </w:pPr>
          </w:p>
        </w:tc>
        <w:tc>
          <w:tcPr>
            <w:tcW w:w="498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Durable clinical benefit with a chemo-free regimen.</w:t>
            </w:r>
          </w:p>
        </w:tc>
      </w:tr>
      <w:tr>
        <w:trPr>
          <w:trHeight w:val="177"/>
        </w:trPr>
        <w:tc>
          <w:tcPr>
            <w:tcW w:w="360" w:type="dxa"/>
            <w:vAlign w:val="bottom"/>
            <w:tcBorders>
              <w:right w:val="single" w:sz="8" w:color="BFBFBF"/>
            </w:tcBorders>
          </w:tcPr>
          <w:p>
            <w:pPr>
              <w:spacing w:after="0"/>
              <w:rPr>
                <w:sz w:val="15"/>
                <w:szCs w:val="15"/>
                <w:color w:val="auto"/>
              </w:rPr>
            </w:pPr>
          </w:p>
        </w:tc>
        <w:tc>
          <w:tcPr>
            <w:tcW w:w="2040" w:type="dxa"/>
            <w:vAlign w:val="bottom"/>
            <w:tcBorders>
              <w:right w:val="single" w:sz="8" w:color="BFBFBF"/>
            </w:tcBorders>
          </w:tcPr>
          <w:p>
            <w:pPr>
              <w:ind w:left="80"/>
              <w:spacing w:after="0" w:line="177" w:lineRule="exact"/>
              <w:rPr>
                <w:sz w:val="20"/>
                <w:szCs w:val="20"/>
                <w:color w:val="auto"/>
              </w:rPr>
            </w:pPr>
            <w:r>
              <w:rPr>
                <w:rFonts w:ascii="Arial" w:cs="Arial" w:eastAsia="Arial" w:hAnsi="Arial"/>
                <w:sz w:val="18"/>
                <w:szCs w:val="18"/>
                <w:b w:val="1"/>
                <w:bCs w:val="1"/>
                <w:color w:val="auto"/>
              </w:rPr>
              <w:t>4L+ NLM MSS CRC</w:t>
            </w:r>
          </w:p>
        </w:tc>
        <w:tc>
          <w:tcPr>
            <w:tcW w:w="2240" w:type="dxa"/>
            <w:vAlign w:val="bottom"/>
            <w:tcBorders>
              <w:right w:val="single" w:sz="8" w:color="BFBFBF"/>
            </w:tcBorders>
          </w:tcPr>
          <w:p>
            <w:pPr>
              <w:jc w:val="center"/>
              <w:spacing w:after="0" w:line="177" w:lineRule="exact"/>
              <w:rPr>
                <w:sz w:val="20"/>
                <w:szCs w:val="20"/>
                <w:color w:val="auto"/>
              </w:rPr>
            </w:pPr>
            <w:r>
              <w:rPr>
                <w:rFonts w:ascii="Arial" w:cs="Arial" w:eastAsia="Arial" w:hAnsi="Arial"/>
                <w:sz w:val="18"/>
                <w:szCs w:val="18"/>
                <w:color w:val="auto"/>
                <w:w w:val="99"/>
              </w:rPr>
              <w:t>20 treated; 17 efficacy</w:t>
            </w:r>
          </w:p>
        </w:tc>
        <w:tc>
          <w:tcPr>
            <w:tcW w:w="4980" w:type="dxa"/>
            <w:vAlign w:val="bottom"/>
            <w:tcBorders>
              <w:right w:val="single" w:sz="8" w:color="BFBFBF"/>
            </w:tcBorders>
          </w:tcPr>
          <w:p>
            <w:pPr>
              <w:ind w:left="80"/>
              <w:spacing w:after="0" w:line="177" w:lineRule="exact"/>
              <w:rPr>
                <w:sz w:val="20"/>
                <w:szCs w:val="20"/>
                <w:color w:val="auto"/>
              </w:rPr>
            </w:pPr>
            <w:r>
              <w:rPr>
                <w:rFonts w:ascii="Arial" w:cs="Arial" w:eastAsia="Arial" w:hAnsi="Arial"/>
                <w:sz w:val="18"/>
                <w:szCs w:val="18"/>
                <w:color w:val="auto"/>
              </w:rPr>
              <w:t>5.9% cORR and 11.8% CBR, with antitumor activity and</w:t>
            </w:r>
          </w:p>
        </w:tc>
      </w:tr>
      <w:tr>
        <w:trPr>
          <w:trHeight w:val="203"/>
        </w:trPr>
        <w:tc>
          <w:tcPr>
            <w:tcW w:w="360" w:type="dxa"/>
            <w:vAlign w:val="bottom"/>
            <w:tcBorders>
              <w:right w:val="single" w:sz="8" w:color="BFBFBF"/>
            </w:tcBorders>
          </w:tcPr>
          <w:p>
            <w:pPr>
              <w:spacing w:after="0"/>
              <w:rPr>
                <w:sz w:val="17"/>
                <w:szCs w:val="17"/>
                <w:color w:val="auto"/>
              </w:rPr>
            </w:pPr>
          </w:p>
        </w:tc>
        <w:tc>
          <w:tcPr>
            <w:tcW w:w="2040" w:type="dxa"/>
            <w:vAlign w:val="bottom"/>
            <w:tcBorders>
              <w:right w:val="single" w:sz="8" w:color="BFBFBF"/>
            </w:tcBorders>
          </w:tcPr>
          <w:p>
            <w:pPr>
              <w:ind w:left="80"/>
              <w:spacing w:after="0" w:line="202" w:lineRule="exact"/>
              <w:rPr>
                <w:sz w:val="20"/>
                <w:szCs w:val="20"/>
                <w:color w:val="auto"/>
              </w:rPr>
            </w:pPr>
            <w:r>
              <w:rPr>
                <w:rFonts w:ascii="Arial" w:cs="Arial" w:eastAsia="Arial" w:hAnsi="Arial"/>
                <w:sz w:val="18"/>
                <w:szCs w:val="18"/>
                <w:color w:val="auto"/>
              </w:rPr>
              <w:t>700 mg tagmokitug</w:t>
            </w:r>
          </w:p>
        </w:tc>
        <w:tc>
          <w:tcPr>
            <w:tcW w:w="2240" w:type="dxa"/>
            <w:vAlign w:val="bottom"/>
            <w:tcBorders>
              <w:right w:val="single" w:sz="8" w:color="BFBFBF"/>
            </w:tcBorders>
          </w:tcPr>
          <w:p>
            <w:pPr>
              <w:jc w:val="center"/>
              <w:spacing w:after="0" w:line="202" w:lineRule="exact"/>
              <w:rPr>
                <w:sz w:val="20"/>
                <w:szCs w:val="20"/>
                <w:color w:val="auto"/>
              </w:rPr>
            </w:pPr>
            <w:r>
              <w:rPr>
                <w:rFonts w:ascii="Arial" w:cs="Arial" w:eastAsia="Arial" w:hAnsi="Arial"/>
                <w:sz w:val="18"/>
                <w:szCs w:val="18"/>
                <w:color w:val="auto"/>
              </w:rPr>
              <w:t>evaluable</w:t>
            </w:r>
          </w:p>
        </w:tc>
        <w:tc>
          <w:tcPr>
            <w:tcW w:w="4980" w:type="dxa"/>
            <w:vAlign w:val="bottom"/>
            <w:tcBorders>
              <w:right w:val="single" w:sz="8" w:color="BFBFBF"/>
            </w:tcBorders>
          </w:tcPr>
          <w:p>
            <w:pPr>
              <w:ind w:left="80"/>
              <w:spacing w:after="0" w:line="202" w:lineRule="exact"/>
              <w:rPr>
                <w:sz w:val="20"/>
                <w:szCs w:val="20"/>
                <w:color w:val="auto"/>
              </w:rPr>
            </w:pPr>
            <w:r>
              <w:rPr>
                <w:rFonts w:ascii="Arial" w:cs="Arial" w:eastAsia="Arial" w:hAnsi="Arial"/>
                <w:sz w:val="18"/>
                <w:szCs w:val="18"/>
                <w:color w:val="auto"/>
              </w:rPr>
              <w:t>molecular response (“ctDNA”) observed in a highly</w:t>
            </w:r>
          </w:p>
        </w:tc>
      </w:tr>
      <w:tr>
        <w:trPr>
          <w:trHeight w:val="203"/>
        </w:trPr>
        <w:tc>
          <w:tcPr>
            <w:tcW w:w="360" w:type="dxa"/>
            <w:vAlign w:val="bottom"/>
            <w:tcBorders>
              <w:right w:val="single" w:sz="8" w:color="BFBFBF"/>
            </w:tcBorders>
          </w:tcPr>
          <w:p>
            <w:pPr>
              <w:spacing w:after="0"/>
              <w:rPr>
                <w:sz w:val="17"/>
                <w:szCs w:val="17"/>
                <w:color w:val="auto"/>
              </w:rPr>
            </w:pPr>
          </w:p>
        </w:tc>
        <w:tc>
          <w:tcPr>
            <w:tcW w:w="2040" w:type="dxa"/>
            <w:vAlign w:val="bottom"/>
            <w:tcBorders>
              <w:right w:val="single" w:sz="8" w:color="BFBFBF"/>
            </w:tcBorders>
          </w:tcPr>
          <w:p>
            <w:pPr>
              <w:ind w:left="80"/>
              <w:spacing w:after="0" w:line="202" w:lineRule="exact"/>
              <w:rPr>
                <w:sz w:val="20"/>
                <w:szCs w:val="20"/>
                <w:color w:val="auto"/>
              </w:rPr>
            </w:pPr>
            <w:r>
              <w:rPr>
                <w:rFonts w:ascii="Arial" w:cs="Arial" w:eastAsia="Arial" w:hAnsi="Arial"/>
                <w:sz w:val="18"/>
                <w:szCs w:val="18"/>
                <w:color w:val="auto"/>
              </w:rPr>
              <w:t>dose plus toripalimab</w:t>
            </w:r>
          </w:p>
        </w:tc>
        <w:tc>
          <w:tcPr>
            <w:tcW w:w="2240" w:type="dxa"/>
            <w:vAlign w:val="bottom"/>
            <w:tcBorders>
              <w:right w:val="single" w:sz="8" w:color="BFBFBF"/>
            </w:tcBorders>
          </w:tcPr>
          <w:p>
            <w:pPr>
              <w:spacing w:after="0"/>
              <w:rPr>
                <w:sz w:val="17"/>
                <w:szCs w:val="17"/>
                <w:color w:val="auto"/>
              </w:rPr>
            </w:pPr>
          </w:p>
        </w:tc>
        <w:tc>
          <w:tcPr>
            <w:tcW w:w="4980" w:type="dxa"/>
            <w:vAlign w:val="bottom"/>
            <w:tcBorders>
              <w:right w:val="single" w:sz="8" w:color="BFBFBF"/>
            </w:tcBorders>
          </w:tcPr>
          <w:p>
            <w:pPr>
              <w:ind w:left="80"/>
              <w:spacing w:after="0" w:line="202" w:lineRule="exact"/>
              <w:rPr>
                <w:sz w:val="20"/>
                <w:szCs w:val="20"/>
                <w:color w:val="auto"/>
              </w:rPr>
            </w:pPr>
            <w:r>
              <w:rPr>
                <w:rFonts w:ascii="Arial" w:cs="Arial" w:eastAsia="Arial" w:hAnsi="Arial"/>
                <w:sz w:val="18"/>
                <w:szCs w:val="18"/>
                <w:color w:val="auto"/>
              </w:rPr>
              <w:t>refractory, IO-nonresponsive population with follow-up</w:t>
            </w:r>
          </w:p>
        </w:tc>
      </w:tr>
      <w:tr>
        <w:trPr>
          <w:trHeight w:val="221"/>
        </w:trPr>
        <w:tc>
          <w:tcPr>
            <w:tcW w:w="360" w:type="dxa"/>
            <w:vAlign w:val="bottom"/>
            <w:tcBorders>
              <w:right w:val="single" w:sz="8" w:color="BFBFBF"/>
            </w:tcBorders>
          </w:tcPr>
          <w:p>
            <w:pPr>
              <w:spacing w:after="0"/>
              <w:rPr>
                <w:sz w:val="19"/>
                <w:szCs w:val="19"/>
                <w:color w:val="auto"/>
              </w:rPr>
            </w:pPr>
          </w:p>
        </w:tc>
        <w:tc>
          <w:tcPr>
            <w:tcW w:w="2040" w:type="dxa"/>
            <w:vAlign w:val="bottom"/>
            <w:tcBorders>
              <w:bottom w:val="single" w:sz="8" w:color="BFBFBF"/>
              <w:right w:val="single" w:sz="8" w:color="BFBFBF"/>
            </w:tcBorders>
          </w:tcPr>
          <w:p>
            <w:pPr>
              <w:spacing w:after="0"/>
              <w:rPr>
                <w:sz w:val="19"/>
                <w:szCs w:val="19"/>
                <w:color w:val="auto"/>
              </w:rPr>
            </w:pPr>
          </w:p>
        </w:tc>
        <w:tc>
          <w:tcPr>
            <w:tcW w:w="2240" w:type="dxa"/>
            <w:vAlign w:val="bottom"/>
            <w:tcBorders>
              <w:bottom w:val="single" w:sz="8" w:color="BFBFBF"/>
              <w:right w:val="single" w:sz="8" w:color="BFBFBF"/>
            </w:tcBorders>
          </w:tcPr>
          <w:p>
            <w:pPr>
              <w:spacing w:after="0"/>
              <w:rPr>
                <w:sz w:val="19"/>
                <w:szCs w:val="19"/>
                <w:color w:val="auto"/>
              </w:rPr>
            </w:pPr>
          </w:p>
        </w:tc>
        <w:tc>
          <w:tcPr>
            <w:tcW w:w="498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continuing.</w:t>
            </w:r>
          </w:p>
        </w:tc>
      </w:tr>
      <w:tr>
        <w:trPr>
          <w:trHeight w:val="416"/>
        </w:trPr>
        <w:tc>
          <w:tcPr>
            <w:tcW w:w="2400" w:type="dxa"/>
            <w:vAlign w:val="bottom"/>
            <w:gridSpan w:val="2"/>
          </w:tcPr>
          <w:p>
            <w:pPr>
              <w:spacing w:after="0"/>
              <w:rPr>
                <w:sz w:val="20"/>
                <w:szCs w:val="20"/>
                <w:color w:val="auto"/>
              </w:rPr>
            </w:pPr>
            <w:r>
              <w:rPr>
                <w:rFonts w:ascii="Arial" w:cs="Arial" w:eastAsia="Arial" w:hAnsi="Arial"/>
                <w:sz w:val="18"/>
                <w:szCs w:val="18"/>
                <w:i w:val="1"/>
                <w:iCs w:val="1"/>
                <w:color w:val="auto"/>
              </w:rPr>
              <w:t>Safety and Tolerability</w:t>
            </w:r>
          </w:p>
        </w:tc>
        <w:tc>
          <w:tcPr>
            <w:tcW w:w="2240" w:type="dxa"/>
            <w:vAlign w:val="bottom"/>
          </w:tcPr>
          <w:p>
            <w:pPr>
              <w:spacing w:after="0"/>
              <w:rPr>
                <w:sz w:val="24"/>
                <w:szCs w:val="24"/>
                <w:color w:val="auto"/>
              </w:rPr>
            </w:pPr>
          </w:p>
        </w:tc>
        <w:tc>
          <w:tcPr>
            <w:tcW w:w="4980" w:type="dxa"/>
            <w:vAlign w:val="bottom"/>
          </w:tcPr>
          <w:p>
            <w:pPr>
              <w:spacing w:after="0"/>
              <w:rPr>
                <w:sz w:val="24"/>
                <w:szCs w:val="24"/>
                <w:color w:val="auto"/>
              </w:rPr>
            </w:pPr>
          </w:p>
        </w:tc>
      </w:tr>
    </w:tbl>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Tagmokitug demonstrated a manageable safety profile across the TREGCHECK™ clinical program. In 33 patients with monotherapy, no dose-limiting toxicities were observed through the 1200 mg every-three-week dose level, and no Grade 5 treatment-related adverse events were reported.</w:t>
      </w:r>
    </w:p>
    <w:p>
      <w:pPr>
        <w:spacing w:after="0" w:line="15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 more than 120 patients treated with tagmokitug in combination with toripalimab, no new safety signals beyond those associated with PD-1/immune checkpoint inhibitor therapy were identified. Most adverse events were Grade 1 or 2 and resolved, and safety was comparable across tagmokitug dose levels. Among 120 patients treated with tagmokitug plus toripalimab, the overall rate of immune-related adverse events (“irAEs”) was 40% (for all grades), with 20% experiencing Grade 3-5 irAEs. The most commonly reported TRAEs were infusion-related reactions (25.0%), fatigue (19.2%) and rash (15.8%). No Grade 5 treatment-related adverse events were reported.</w:t>
      </w:r>
    </w:p>
    <w:p>
      <w:pPr>
        <w:spacing w:after="0" w:line="16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the first-line ESCC cohort, 10 patients treated with tagmokitug in combination with toripalimab and chemotherapy demonstrated a manageable safety profile, with no new safety signals or Grade 5 treatment-emergent adverse events observed. Most adverse events were attributed to chemotherapy and the treatment discontinuation rate is similar to the approved regimens for PD-1 inhibitors with chemotherapy.</w:t>
      </w:r>
    </w:p>
    <w:p>
      <w:pPr>
        <w:spacing w:after="0" w:line="16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Tagmokitug is an investigational product candidate and has not been approved by the U.S. Food and Drug Administration or any other regulatory authority. Its safety and efficacy have not been established.</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Toripalimab is an investigational product candidate in these indications in the United States.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and Next Steps</w:t>
      </w:r>
    </w:p>
    <w:p>
      <w:pPr>
        <w:spacing w:after="0" w:line="19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Based on the interim findings, the Company plans to expand enrollment in first-line and second-line ESCC and continue to evaluate the durability of response, progression-free survival and biomarker findings across indications as the data mature.</w:t>
      </w:r>
    </w:p>
    <w:p>
      <w:pPr>
        <w:spacing w:after="0" w:line="15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Company is also advancing tagmokitug in combinations beyond PD-1 inhibition, including a planned study evaluating the safety of tagmokitug with a T-cell engager in mCRPC.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2" w:lineRule="exact"/>
        <w:rPr>
          <w:sz w:val="20"/>
          <w:szCs w:val="20"/>
          <w:color w:val="auto"/>
        </w:rPr>
      </w:pPr>
    </w:p>
    <w:p>
      <w:pPr>
        <w:jc w:val="both"/>
        <w:ind w:firstLine="405"/>
        <w:spacing w:after="0" w:line="242" w:lineRule="auto"/>
        <w:rPr>
          <w:sz w:val="20"/>
          <w:szCs w:val="20"/>
          <w:color w:val="auto"/>
        </w:rPr>
      </w:pPr>
      <w:r>
        <w:rPr>
          <w:rFonts w:ascii="Arial" w:cs="Arial" w:eastAsia="Arial" w:hAnsi="Arial"/>
          <w:sz w:val="18"/>
          <w:szCs w:val="18"/>
          <w:color w:val="auto"/>
        </w:rPr>
        <w:t>The statements in this Current Report on Form 8-K include express or implied forward-looking statements within the meaning of the “safe harbor” provisions of the Private Securities Litigation Reform Act of 1995, Section 27A of the Securities Act, and Section 21E of the Exchange Act about the Company that involve risks and uncertainties relating to future events and the future performance of the Company. Forward-looking statements relate to expectations, beliefs, projections, future plans and strategies, anticipated events or trends and similar expressions concerning matters that are not historical facts. Words such as “will,” “could,”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4" w:right="999" w:bottom="1440" w:gutter="0" w:footer="0" w:header="0"/>
        </w:sectPr>
      </w:pPr>
    </w:p>
    <w:bookmarkStart w:id="4" w:name="page5"/>
    <w:bookmarkEnd w:id="4"/>
    <w:p>
      <w:pPr>
        <w:jc w:val="both"/>
        <w:spacing w:after="0" w:line="246" w:lineRule="auto"/>
        <w:rPr>
          <w:sz w:val="20"/>
          <w:szCs w:val="20"/>
          <w:color w:val="auto"/>
        </w:rPr>
      </w:pPr>
      <w:r>
        <w:rPr>
          <w:rFonts w:ascii="Arial" w:cs="Arial" w:eastAsia="Arial" w:hAnsi="Arial"/>
          <w:sz w:val="18"/>
          <w:szCs w:val="18"/>
          <w:color w:val="auto"/>
        </w:rPr>
        <w:t>“should,” “expect,” “plan,” “anticipate,” “intend,” “believe,” “estimate,” “predict,” “project,” “potential,” “continue,” “future,” “opportunity,” “likely,” “target,” variations of such words, and similar expressions or negatives of these words are intended to identify such forward-looking statements, although not all forward-looking statements contain these identifying words. You can also identify forward-looking statements by discussions of strategy, plans or intentions.</w:t>
      </w:r>
    </w:p>
    <w:p>
      <w:pPr>
        <w:spacing w:after="0" w:line="177" w:lineRule="exact"/>
        <w:rPr>
          <w:sz w:val="20"/>
          <w:szCs w:val="20"/>
          <w:color w:val="auto"/>
        </w:rPr>
      </w:pPr>
    </w:p>
    <w:p>
      <w:pPr>
        <w:jc w:val="both"/>
        <w:ind w:firstLine="405"/>
        <w:spacing w:after="0" w:line="236" w:lineRule="auto"/>
        <w:rPr>
          <w:sz w:val="20"/>
          <w:szCs w:val="20"/>
          <w:color w:val="auto"/>
        </w:rPr>
      </w:pPr>
      <w:r>
        <w:rPr>
          <w:rFonts w:ascii="Arial" w:cs="Arial" w:eastAsia="Arial" w:hAnsi="Arial"/>
          <w:sz w:val="18"/>
          <w:szCs w:val="18"/>
          <w:color w:val="auto"/>
        </w:rPr>
        <w:t>Examples of such forward-looking statements include, but are not limited to, express or implied statements regarding: the development plan for tagmokitug; the potential therapeutic benefits of tagmokitug; the initiation, timing and progress of clinical studies; future data readouts; and the assumptions underlying or relating to such statements. Such forward-looking statements involve substantial risks and uncertainties that could cause the Company’s actual results, performance or achievements to differ significantly from any future results, performance or achievements expressed or implied by the forward-looking statements. Such risks and uncertainties include, among other things, the risks and uncertainties inherent with clinical research and commercialization; the risks and uncertainties of the clinical development and regulatory approval process; risks related to the Company’s ability to increase sales of LOQTORZI or expand LOQTORZI into other indications; the risk that the Company is unable to complete commercial transactions in a timely manner or at all; risks and uncertainties in executing collaboration agreements and other joint ventures, including particular risks of working with international partners; the risk of the Company’s dependence on an ability to raise funds, which may not be available on acceptable terms or at all; the risks and uncertainties of the degree of market acceptance for the Company’s product and product candidates by physicians, healthcare providers and patients; and the risks and uncertainties of litigation. For a further discussion of these and other factors that could cause the Company’s future results to differ materially from any forward-looking statements, see the section entitled “Risk Factors” in the Company’s Quarterly Report on Form 10-Q for the quarter ended June 30, 2026, filed with the Securities and Exchange Commission (the “SEC”) on August 5, 2026, as updated by the Company’s subsequent reports filed with the SEC. All forward-looking statements speak only as of the date of this Current Report on Form 8-K and, except as required by applicable law, the Company has no obligation to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90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4"/>
                <w:szCs w:val="14"/>
                <w:color w:val="auto"/>
              </w:rPr>
            </w:pPr>
          </w:p>
        </w:tc>
        <w:tc>
          <w:tcPr>
            <w:tcW w:w="894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color w:val="0000EE"/>
              </w:rPr>
              <w:t>Press release dated October 28, 2026</w:t>
            </w:r>
          </w:p>
        </w:tc>
        <w:tc>
          <w:tcPr>
            <w:tcW w:w="0" w:type="dxa"/>
            <w:vAlign w:val="bottom"/>
          </w:tcPr>
          <w:p>
            <w:pPr>
              <w:spacing w:after="0"/>
              <w:rPr>
                <w:sz w:val="1"/>
                <w:szCs w:val="1"/>
                <w:color w:val="auto"/>
              </w:rPr>
            </w:pPr>
          </w:p>
        </w:tc>
      </w:tr>
      <w:tr>
        <w:trPr>
          <w:trHeight w:val="20"/>
        </w:trPr>
        <w:tc>
          <w:tcPr>
            <w:tcW w:w="860" w:type="dxa"/>
            <w:vAlign w:val="bottom"/>
            <w:gridSpan w:val="2"/>
            <w:vMerge w:val="restart"/>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56"/>
        </w:trPr>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2" w:right="9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left="200" w:right="319"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3"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3040" w:type="dxa"/>
            <w:vAlign w:val="bottom"/>
          </w:tcPr>
          <w:p>
            <w:pPr>
              <w:spacing w:after="0"/>
              <w:rPr>
                <w:sz w:val="20"/>
                <w:szCs w:val="20"/>
                <w:color w:val="auto"/>
              </w:rPr>
            </w:pPr>
            <w:r>
              <w:rPr>
                <w:rFonts w:ascii="Arial" w:cs="Arial" w:eastAsia="Arial" w:hAnsi="Arial"/>
                <w:sz w:val="18"/>
                <w:szCs w:val="18"/>
                <w:color w:val="auto"/>
              </w:rPr>
              <w:t>Date: October 29, 2026</w:t>
            </w:r>
          </w:p>
        </w:tc>
        <w:tc>
          <w:tcPr>
            <w:tcW w:w="5540" w:type="dxa"/>
            <w:vAlign w:val="bottom"/>
            <w:gridSpan w:val="2"/>
          </w:tcPr>
          <w:p>
            <w:pPr>
              <w:ind w:left="1160"/>
              <w:spacing w:after="0"/>
              <w:rPr>
                <w:sz w:val="20"/>
                <w:szCs w:val="20"/>
                <w:color w:val="auto"/>
              </w:rPr>
            </w:pPr>
            <w:r>
              <w:rPr>
                <w:rFonts w:ascii="Arial" w:cs="Arial" w:eastAsia="Arial" w:hAnsi="Arial"/>
                <w:sz w:val="18"/>
                <w:szCs w:val="18"/>
                <w:color w:val="auto"/>
              </w:rPr>
              <w:t>COHERUS ONCOLOGY, INC.</w:t>
            </w:r>
          </w:p>
        </w:tc>
      </w:tr>
      <w:tr>
        <w:trPr>
          <w:trHeight w:val="221"/>
        </w:trPr>
        <w:tc>
          <w:tcPr>
            <w:tcW w:w="3040" w:type="dxa"/>
            <w:vAlign w:val="bottom"/>
          </w:tcPr>
          <w:p>
            <w:pPr>
              <w:spacing w:after="0"/>
              <w:rPr>
                <w:sz w:val="19"/>
                <w:szCs w:val="19"/>
                <w:color w:val="auto"/>
              </w:rPr>
            </w:pPr>
          </w:p>
        </w:tc>
        <w:tc>
          <w:tcPr>
            <w:tcW w:w="1740" w:type="dxa"/>
            <w:vAlign w:val="bottom"/>
          </w:tcPr>
          <w:p>
            <w:pPr>
              <w:ind w:left="1160"/>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M. Lanfear</w:t>
            </w:r>
          </w:p>
        </w:tc>
      </w:tr>
      <w:tr>
        <w:trPr>
          <w:trHeight w:val="177"/>
        </w:trPr>
        <w:tc>
          <w:tcPr>
            <w:tcW w:w="3040" w:type="dxa"/>
            <w:vAlign w:val="bottom"/>
          </w:tcPr>
          <w:p>
            <w:pPr>
              <w:spacing w:after="0"/>
              <w:rPr>
                <w:sz w:val="15"/>
                <w:szCs w:val="15"/>
                <w:color w:val="auto"/>
              </w:rPr>
            </w:pPr>
          </w:p>
        </w:tc>
        <w:tc>
          <w:tcPr>
            <w:tcW w:w="1740" w:type="dxa"/>
            <w:vAlign w:val="bottom"/>
          </w:tcPr>
          <w:p>
            <w:pPr>
              <w:ind w:left="1160"/>
              <w:spacing w:after="0" w:line="177"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77" w:lineRule="exact"/>
              <w:rPr>
                <w:sz w:val="20"/>
                <w:szCs w:val="20"/>
                <w:color w:val="auto"/>
              </w:rPr>
            </w:pPr>
            <w:r>
              <w:rPr>
                <w:rFonts w:ascii="Arial" w:cs="Arial" w:eastAsia="Arial" w:hAnsi="Arial"/>
                <w:sz w:val="18"/>
                <w:szCs w:val="18"/>
                <w:color w:val="auto"/>
              </w:rPr>
              <w:t>Dennis M. Lanfear</w:t>
            </w:r>
          </w:p>
        </w:tc>
      </w:tr>
      <w:tr>
        <w:trPr>
          <w:trHeight w:val="239"/>
        </w:trPr>
        <w:tc>
          <w:tcPr>
            <w:tcW w:w="3040" w:type="dxa"/>
            <w:vAlign w:val="bottom"/>
          </w:tcPr>
          <w:p>
            <w:pPr>
              <w:spacing w:after="0"/>
              <w:rPr>
                <w:sz w:val="20"/>
                <w:szCs w:val="20"/>
                <w:color w:val="auto"/>
              </w:rPr>
            </w:pPr>
          </w:p>
        </w:tc>
        <w:tc>
          <w:tcPr>
            <w:tcW w:w="1740" w:type="dxa"/>
            <w:vAlign w:val="bottom"/>
          </w:tcPr>
          <w:p>
            <w:pPr>
              <w:ind w:left="1160"/>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746"/>
        </w:trPr>
        <w:tc>
          <w:tcPr>
            <w:tcW w:w="30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88265</wp:posOffset>
            </wp:positionV>
            <wp:extent cx="1508760"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0876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line="324" w:lineRule="auto"/>
        <w:rPr>
          <w:sz w:val="20"/>
          <w:szCs w:val="20"/>
          <w:color w:val="auto"/>
        </w:rPr>
      </w:pPr>
      <w:r>
        <w:rPr>
          <w:rFonts w:ascii="Arial" w:cs="Arial" w:eastAsia="Arial" w:hAnsi="Arial"/>
          <w:sz w:val="20"/>
          <w:szCs w:val="20"/>
          <w:b w:val="1"/>
          <w:bCs w:val="1"/>
          <w:i w:val="1"/>
          <w:iCs w:val="1"/>
          <w:color w:val="auto"/>
        </w:rPr>
        <w:t>Coherus Oncology Announces Compelling Tagmokitug Interim Clinical Data in Esophageal Cancer and Path to Advance Development</w:t>
      </w:r>
    </w:p>
    <w:p>
      <w:pPr>
        <w:spacing w:after="0" w:line="338" w:lineRule="exact"/>
        <w:rPr>
          <w:sz w:val="20"/>
          <w:szCs w:val="20"/>
          <w:color w:val="auto"/>
        </w:rPr>
      </w:pPr>
    </w:p>
    <w:p>
      <w:pPr>
        <w:jc w:val="center"/>
        <w:spacing w:after="0" w:line="300" w:lineRule="auto"/>
        <w:rPr>
          <w:sz w:val="20"/>
          <w:szCs w:val="20"/>
          <w:color w:val="auto"/>
        </w:rPr>
      </w:pPr>
      <w:r>
        <w:rPr>
          <w:rFonts w:ascii="Arial" w:cs="Arial" w:eastAsia="Arial" w:hAnsi="Arial"/>
          <w:sz w:val="20"/>
          <w:szCs w:val="20"/>
          <w:i w:val="1"/>
          <w:iCs w:val="1"/>
          <w:color w:val="auto"/>
        </w:rPr>
        <w:t>-1L ESCC confirmed ORR of 75% irrespective of PD-L1 status, confirmed ORR of 100% for PD-L1- positive, in evaluable patients-</w:t>
      </w:r>
    </w:p>
    <w:p>
      <w:pPr>
        <w:spacing w:after="0" w:line="33" w:lineRule="exact"/>
        <w:rPr>
          <w:sz w:val="20"/>
          <w:szCs w:val="20"/>
          <w:color w:val="auto"/>
        </w:rPr>
      </w:pPr>
    </w:p>
    <w:p>
      <w:pPr>
        <w:jc w:val="center"/>
        <w:ind w:left="1000" w:right="60"/>
        <w:spacing w:after="0" w:line="300" w:lineRule="auto"/>
        <w:rPr>
          <w:sz w:val="20"/>
          <w:szCs w:val="20"/>
          <w:color w:val="auto"/>
        </w:rPr>
      </w:pPr>
      <w:r>
        <w:rPr>
          <w:rFonts w:ascii="Arial" w:cs="Arial" w:eastAsia="Arial" w:hAnsi="Arial"/>
          <w:sz w:val="20"/>
          <w:szCs w:val="20"/>
          <w:i w:val="1"/>
          <w:iCs w:val="1"/>
          <w:color w:val="auto"/>
        </w:rPr>
        <w:t>-2L ESCC durable clinical benefit observed with a clear dose-response irrespective of PD-L1 status and in PD-1 refractory patients-</w:t>
      </w:r>
    </w:p>
    <w:p>
      <w:pPr>
        <w:spacing w:after="0" w:line="46" w:lineRule="exact"/>
        <w:rPr>
          <w:sz w:val="20"/>
          <w:szCs w:val="20"/>
          <w:color w:val="auto"/>
        </w:rPr>
      </w:pPr>
    </w:p>
    <w:p>
      <w:pPr>
        <w:ind w:left="160" w:hanging="130"/>
        <w:spacing w:after="0"/>
        <w:tabs>
          <w:tab w:leader="none" w:pos="160" w:val="left"/>
        </w:tabs>
        <w:numPr>
          <w:ilvl w:val="0"/>
          <w:numId w:val="2"/>
        </w:numPr>
        <w:rPr>
          <w:rFonts w:ascii="Arial" w:cs="Arial" w:eastAsia="Arial" w:hAnsi="Arial"/>
          <w:sz w:val="19"/>
          <w:szCs w:val="19"/>
          <w:i w:val="1"/>
          <w:iCs w:val="1"/>
          <w:color w:val="auto"/>
        </w:rPr>
      </w:pPr>
      <w:r>
        <w:rPr>
          <w:rFonts w:ascii="Arial" w:cs="Arial" w:eastAsia="Arial" w:hAnsi="Arial"/>
          <w:sz w:val="19"/>
          <w:szCs w:val="19"/>
          <w:i w:val="1"/>
          <w:iCs w:val="1"/>
          <w:color w:val="auto"/>
        </w:rPr>
        <w:t>Anti-tumor activity demonstrated across five indications and over 120 patients, including HPV-positive head and</w:t>
      </w:r>
    </w:p>
    <w:p>
      <w:pPr>
        <w:spacing w:after="0" w:line="42" w:lineRule="exact"/>
        <w:rPr>
          <w:rFonts w:ascii="Arial" w:cs="Arial" w:eastAsia="Arial" w:hAnsi="Arial"/>
          <w:sz w:val="19"/>
          <w:szCs w:val="19"/>
          <w:i w:val="1"/>
          <w:iCs w:val="1"/>
          <w:color w:val="auto"/>
        </w:rPr>
      </w:pPr>
    </w:p>
    <w:p>
      <w:pPr>
        <w:ind w:left="406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neck and GI tumors-</w:t>
      </w:r>
    </w:p>
    <w:p>
      <w:pPr>
        <w:spacing w:after="0" w:line="116" w:lineRule="exact"/>
        <w:rPr>
          <w:rFonts w:ascii="Arial" w:cs="Arial" w:eastAsia="Arial" w:hAnsi="Arial"/>
          <w:sz w:val="19"/>
          <w:szCs w:val="19"/>
          <w:i w:val="1"/>
          <w:iCs w:val="1"/>
          <w:color w:val="auto"/>
        </w:rPr>
      </w:pPr>
    </w:p>
    <w:p>
      <w:pPr>
        <w:ind w:left="160" w:hanging="124"/>
        <w:spacing w:after="0"/>
        <w:tabs>
          <w:tab w:leader="none" w:pos="160" w:val="left"/>
        </w:tabs>
        <w:numPr>
          <w:ilvl w:val="0"/>
          <w:numId w:val="2"/>
        </w:numPr>
        <w:rPr>
          <w:rFonts w:ascii="Arial" w:cs="Arial" w:eastAsia="Arial" w:hAnsi="Arial"/>
          <w:sz w:val="19"/>
          <w:szCs w:val="19"/>
          <w:i w:val="1"/>
          <w:iCs w:val="1"/>
          <w:color w:val="auto"/>
        </w:rPr>
      </w:pPr>
      <w:r>
        <w:rPr>
          <w:rFonts w:ascii="Arial" w:cs="Arial" w:eastAsia="Arial" w:hAnsi="Arial"/>
          <w:sz w:val="19"/>
          <w:szCs w:val="19"/>
          <w:i w:val="1"/>
          <w:iCs w:val="1"/>
          <w:color w:val="auto"/>
        </w:rPr>
        <w:t>Acceptable and manageable safety profile, with no new safety signals to date supports continued development-</w:t>
      </w:r>
    </w:p>
    <w:p>
      <w:pPr>
        <w:spacing w:after="0" w:line="146" w:lineRule="exact"/>
        <w:rPr>
          <w:rFonts w:ascii="Arial" w:cs="Arial" w:eastAsia="Arial" w:hAnsi="Arial"/>
          <w:sz w:val="19"/>
          <w:szCs w:val="19"/>
          <w:i w:val="1"/>
          <w:iCs w:val="1"/>
          <w:color w:val="auto"/>
        </w:rPr>
      </w:pPr>
    </w:p>
    <w:p>
      <w:pPr>
        <w:ind w:left="2800" w:hanging="131"/>
        <w:spacing w:after="0"/>
        <w:tabs>
          <w:tab w:leader="none" w:pos="2800" w:val="left"/>
        </w:tabs>
        <w:numPr>
          <w:ilvl w:val="1"/>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Company to host a webcast today at 4:30 pm EDT-</w:t>
      </w:r>
    </w:p>
    <w:p>
      <w:pPr>
        <w:spacing w:after="0" w:line="200" w:lineRule="exact"/>
        <w:rPr>
          <w:sz w:val="20"/>
          <w:szCs w:val="20"/>
          <w:color w:val="auto"/>
        </w:rPr>
      </w:pPr>
    </w:p>
    <w:p>
      <w:pPr>
        <w:spacing w:after="0" w:line="284" w:lineRule="exact"/>
        <w:rPr>
          <w:sz w:val="20"/>
          <w:szCs w:val="20"/>
          <w:color w:val="auto"/>
        </w:rPr>
      </w:pPr>
    </w:p>
    <w:p>
      <w:pPr>
        <w:ind w:right="80"/>
        <w:spacing w:after="0" w:line="249" w:lineRule="auto"/>
        <w:rPr>
          <w:sz w:val="20"/>
          <w:szCs w:val="20"/>
          <w:color w:val="auto"/>
        </w:rPr>
      </w:pPr>
      <w:r>
        <w:rPr>
          <w:rFonts w:ascii="Arial" w:cs="Arial" w:eastAsia="Arial" w:hAnsi="Arial"/>
          <w:sz w:val="20"/>
          <w:szCs w:val="20"/>
          <w:b w:val="1"/>
          <w:bCs w:val="1"/>
          <w:color w:val="auto"/>
        </w:rPr>
        <w:t xml:space="preserve">REDWOOD CITY, Calif., October 28, 2026 – Coherus Oncology, Inc. </w:t>
      </w:r>
      <w:r>
        <w:rPr>
          <w:rFonts w:ascii="Arial" w:cs="Arial" w:eastAsia="Arial" w:hAnsi="Arial"/>
          <w:sz w:val="20"/>
          <w:szCs w:val="20"/>
          <w:color w:val="auto"/>
        </w:rPr>
        <w:t>(Nasdaq: CHRS) today announced</w:t>
      </w:r>
      <w:r>
        <w:rPr>
          <w:rFonts w:ascii="Arial" w:cs="Arial" w:eastAsia="Arial" w:hAnsi="Arial"/>
          <w:sz w:val="20"/>
          <w:szCs w:val="20"/>
          <w:b w:val="1"/>
          <w:bCs w:val="1"/>
          <w:color w:val="auto"/>
        </w:rPr>
        <w:t xml:space="preserve"> </w:t>
      </w:r>
      <w:r>
        <w:rPr>
          <w:rFonts w:ascii="Arial" w:cs="Arial" w:eastAsia="Arial" w:hAnsi="Arial"/>
          <w:sz w:val="20"/>
          <w:szCs w:val="20"/>
          <w:color w:val="auto"/>
        </w:rPr>
        <w:t>interim clinical data from the TREGCHECK™ development program evaluating tagmokitug, its investigational cytolytic CCR8 antibody, in combination with toripalimab, with or without chemotherapy. Tagmokitug-based treatment demonstrated encouraging anti-tumor activity across multiple solid tumors, including responses and durable disease stabilization in pretreated and immunotherapy-resistant patients. In evaluable front-line esophageal squamous cell carcinoma (ESCC) patients, tagmokitug in combination with toripalimab and chemotherapy demonstrated a confirmed overall response rate (cORR) of 75% irrespective of PD-L1 status, and a cORR of 100% in PD-L1 positive patients as of October 14, 2026. Subsequent to the data cutoff date, two additional partial responses were confirmed, increasing the cORR to 89% of the evaluable patient dataset.</w:t>
      </w:r>
    </w:p>
    <w:p>
      <w:pPr>
        <w:spacing w:after="0" w:line="217" w:lineRule="exact"/>
        <w:rPr>
          <w:sz w:val="20"/>
          <w:szCs w:val="20"/>
          <w:color w:val="auto"/>
        </w:rPr>
      </w:pPr>
    </w:p>
    <w:p>
      <w:pPr>
        <w:ind w:right="40"/>
        <w:spacing w:after="0" w:line="286" w:lineRule="auto"/>
        <w:rPr>
          <w:sz w:val="20"/>
          <w:szCs w:val="20"/>
          <w:color w:val="auto"/>
        </w:rPr>
      </w:pPr>
      <w:r>
        <w:rPr>
          <w:rFonts w:ascii="Arial" w:cs="Arial" w:eastAsia="Arial" w:hAnsi="Arial"/>
          <w:sz w:val="20"/>
          <w:szCs w:val="20"/>
          <w:color w:val="auto"/>
        </w:rPr>
        <w:t>Activity and duration of response in second-line ESCC patients, as well as an acceptable and manageable safety profile, support the selected dose and expansion of enrollment in both ESCC cohorts.</w:t>
      </w:r>
    </w:p>
    <w:p>
      <w:pPr>
        <w:spacing w:after="0" w:line="181" w:lineRule="exact"/>
        <w:rPr>
          <w:sz w:val="20"/>
          <w:szCs w:val="20"/>
          <w:color w:val="auto"/>
        </w:rPr>
      </w:pPr>
    </w:p>
    <w:p>
      <w:pPr>
        <w:ind w:right="100"/>
        <w:spacing w:after="0" w:line="251" w:lineRule="auto"/>
        <w:rPr>
          <w:sz w:val="20"/>
          <w:szCs w:val="20"/>
          <w:color w:val="auto"/>
        </w:rPr>
      </w:pPr>
      <w:r>
        <w:rPr>
          <w:rFonts w:ascii="Arial" w:cs="Arial" w:eastAsia="Arial" w:hAnsi="Arial"/>
          <w:sz w:val="20"/>
          <w:szCs w:val="20"/>
          <w:color w:val="auto"/>
        </w:rPr>
        <w:t>“The totality of these interim data provides clinical proof of concept for tagmokitug, strengthens our confidence in the selected go-forward dose, and integrated development strategy. We are particularly encouraged by the compelling clinical activity and manageable tolerability observed in ESCC, a disease where significant unmet medical need remains. We look forward to the continued maturation and expansion of these data across both first and second-line ESCC, as we advance the development of tagmokitug for patients with difficult-to-treat cancers,” said Rosh Dias, M.D., Chief Medical Officer, Coherus Oncology.</w:t>
      </w:r>
    </w:p>
    <w:p>
      <w:pPr>
        <w:spacing w:after="0" w:line="217"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“These clinical data represent the potential for a meaningful advancement in ESCC, where there is a significant underserved patient population”, said Dan Feng, M.D., Ph.D., Assistant Professor of Medicine, Hematology and Medical Oncology, at the Icahn School of Medicine at Mount Sinai. “Esophageal cancer is a devastating disease, with limited treatment options. I am particularly impressed with the front-line response rate observed with the tagmokitug combination with a PD-1 inhibitor and chemotherapy. I am encouraged by the manageable and acceptable safety profile observed with tagmokitug in combination with toripalimab with and without chemotherapy.”</w:t>
      </w:r>
    </w:p>
    <w:p>
      <w:pPr>
        <w:spacing w:after="0" w:line="220" w:lineRule="exact"/>
        <w:rPr>
          <w:sz w:val="20"/>
          <w:szCs w:val="20"/>
          <w:color w:val="auto"/>
        </w:rPr>
      </w:pPr>
    </w:p>
    <w:p>
      <w:pPr>
        <w:ind w:right="580"/>
        <w:spacing w:after="0" w:line="255" w:lineRule="auto"/>
        <w:rPr>
          <w:sz w:val="20"/>
          <w:szCs w:val="20"/>
          <w:color w:val="auto"/>
        </w:rPr>
      </w:pPr>
      <w:r>
        <w:rPr>
          <w:rFonts w:ascii="Arial" w:cs="Arial" w:eastAsia="Arial" w:hAnsi="Arial"/>
          <w:sz w:val="20"/>
          <w:szCs w:val="20"/>
          <w:color w:val="auto"/>
        </w:rPr>
        <w:t>“This encouraging clinical evidence supports our strategy of targeting CCR8-positive regulatory T cells to overcome immune resistance in cancer, and underscores Coherus Oncology’s scientific leadership in the emerging field of CCR8 Treg depletion,” said Denny Lanfear, Chief Executive Officer of Coherus Oncology. “Importantly, the strength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473075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 w:name="page8"/>
    <w:bookmarkEnd w:id="7"/>
    <w:p>
      <w:pPr>
        <w:ind w:right="100"/>
        <w:spacing w:after="0" w:line="254" w:lineRule="auto"/>
        <w:rPr>
          <w:sz w:val="20"/>
          <w:szCs w:val="20"/>
          <w:color w:val="auto"/>
        </w:rPr>
      </w:pPr>
      <w:r>
        <w:rPr>
          <w:rFonts w:ascii="Arial" w:cs="Arial" w:eastAsia="Arial" w:hAnsi="Arial"/>
          <w:sz w:val="20"/>
          <w:szCs w:val="20"/>
          <w:color w:val="auto"/>
        </w:rPr>
        <w:t>emerging ESCC data provides a clear and efficient path for advancing the development of tagmokitug in esophageal cancer across both indications. Toripalimab is already established as a first-line treatment for ESCC in ex-US major markets, including Europe and China. Given the significant burden of this disease globally, particularly in Asia, we believe these results further strengthen the strategic and global development opportunity for tagmokitug.”</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Interim Findings</w:t>
      </w:r>
    </w:p>
    <w:p>
      <w:pPr>
        <w:spacing w:after="0" w:line="20" w:lineRule="exact"/>
        <w:rPr>
          <w:sz w:val="20"/>
          <w:szCs w:val="20"/>
          <w:color w:val="auto"/>
        </w:rPr>
      </w:pPr>
    </w:p>
    <w:p>
      <w:pPr>
        <w:ind w:right="480"/>
        <w:spacing w:after="0" w:line="267" w:lineRule="auto"/>
        <w:rPr>
          <w:sz w:val="20"/>
          <w:szCs w:val="20"/>
          <w:color w:val="auto"/>
        </w:rPr>
      </w:pPr>
      <w:r>
        <w:rPr>
          <w:rFonts w:ascii="Arial" w:cs="Arial" w:eastAsia="Arial" w:hAnsi="Arial"/>
          <w:sz w:val="20"/>
          <w:szCs w:val="20"/>
          <w:color w:val="auto"/>
        </w:rPr>
        <w:t>The totality of the interim clinical activity, dose-response findings and safety observations support continued development of tagmokitug and expansion of the first-line and second-line ESCC cohorts.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First-Line ESCC: Phase 1b TREGCHECK 102 Cohort C</w:t>
      </w:r>
    </w:p>
    <w:p>
      <w:pPr>
        <w:spacing w:after="0" w:line="94" w:lineRule="exact"/>
        <w:rPr>
          <w:sz w:val="20"/>
          <w:szCs w:val="20"/>
          <w:color w:val="auto"/>
        </w:rPr>
      </w:pPr>
    </w:p>
    <w:p>
      <w:pPr>
        <w:spacing w:after="0" w:line="293" w:lineRule="auto"/>
        <w:rPr>
          <w:sz w:val="20"/>
          <w:szCs w:val="20"/>
          <w:color w:val="auto"/>
        </w:rPr>
      </w:pPr>
      <w:r>
        <w:rPr>
          <w:rFonts w:ascii="Arial" w:cs="Arial" w:eastAsia="Arial" w:hAnsi="Arial"/>
          <w:sz w:val="19"/>
          <w:szCs w:val="19"/>
          <w:b w:val="1"/>
          <w:bCs w:val="1"/>
          <w:color w:val="auto"/>
        </w:rPr>
        <w:t xml:space="preserve">Study design. </w:t>
      </w:r>
      <w:r>
        <w:rPr>
          <w:rFonts w:ascii="Arial" w:cs="Arial" w:eastAsia="Arial" w:hAnsi="Arial"/>
          <w:sz w:val="19"/>
          <w:szCs w:val="19"/>
          <w:color w:val="auto"/>
        </w:rPr>
        <w:t>Patients with previously untreated advanced or metastatic ESCC received tagmokitug 700 mg</w:t>
      </w:r>
      <w:r>
        <w:rPr>
          <w:rFonts w:ascii="Arial" w:cs="Arial" w:eastAsia="Arial" w:hAnsi="Arial"/>
          <w:sz w:val="19"/>
          <w:szCs w:val="19"/>
          <w:b w:val="1"/>
          <w:bCs w:val="1"/>
          <w:color w:val="auto"/>
        </w:rPr>
        <w:t xml:space="preserve"> </w:t>
      </w:r>
      <w:r>
        <w:rPr>
          <w:rFonts w:ascii="Arial" w:cs="Arial" w:eastAsia="Arial" w:hAnsi="Arial"/>
          <w:sz w:val="19"/>
          <w:szCs w:val="19"/>
          <w:color w:val="auto"/>
        </w:rPr>
        <w:t>plus toripalimab, 5-fluorouracil and cisplatin. The primary endpoint is safety; secondary endpoints include ORR, duration of response, clinical benefit rate and progression-free survival. As of October 14, 2026, 10 patients were safety evaluable and 8 were efficacy evaluable, and enrollment is ongoing. Of the evaluable patient data set:</w:t>
      </w:r>
    </w:p>
    <w:p>
      <w:pPr>
        <w:spacing w:after="0" w:line="44"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2820" w:type="dxa"/>
            <w:vAlign w:val="bottom"/>
            <w:tcBorders>
              <w:top w:val="single" w:sz="8" w:color="BFBFBF"/>
              <w:left w:val="single" w:sz="8" w:color="BFBFBF"/>
              <w:right w:val="single" w:sz="8" w:color="BFBFBF"/>
            </w:tcBorders>
          </w:tcPr>
          <w:p>
            <w:pPr>
              <w:ind w:left="120"/>
              <w:spacing w:after="0"/>
              <w:rPr>
                <w:sz w:val="20"/>
                <w:szCs w:val="20"/>
                <w:color w:val="auto"/>
              </w:rPr>
            </w:pPr>
            <w:r>
              <w:rPr>
                <w:rFonts w:ascii="Arial" w:cs="Arial" w:eastAsia="Arial" w:hAnsi="Arial"/>
                <w:sz w:val="20"/>
                <w:szCs w:val="20"/>
                <w:b w:val="1"/>
                <w:bCs w:val="1"/>
                <w:color w:val="auto"/>
              </w:rPr>
              <w:t>Efficacy Measure</w:t>
            </w:r>
          </w:p>
        </w:tc>
        <w:tc>
          <w:tcPr>
            <w:tcW w:w="2080" w:type="dxa"/>
            <w:vAlign w:val="bottom"/>
            <w:tcBorders>
              <w:top w:val="single" w:sz="8" w:color="BFBFBF"/>
              <w:right w:val="single" w:sz="8" w:color="BFBFBF"/>
            </w:tcBorders>
          </w:tcPr>
          <w:p>
            <w:pPr>
              <w:jc w:val="center"/>
              <w:spacing w:after="0"/>
              <w:rPr>
                <w:sz w:val="20"/>
                <w:szCs w:val="20"/>
                <w:color w:val="auto"/>
              </w:rPr>
            </w:pPr>
            <w:r>
              <w:rPr>
                <w:rFonts w:ascii="Arial" w:cs="Arial" w:eastAsia="Arial" w:hAnsi="Arial"/>
                <w:sz w:val="20"/>
                <w:szCs w:val="20"/>
                <w:b w:val="1"/>
                <w:bCs w:val="1"/>
                <w:color w:val="auto"/>
                <w:w w:val="98"/>
              </w:rPr>
              <w:t>Interim Result</w:t>
            </w:r>
          </w:p>
        </w:tc>
        <w:tc>
          <w:tcPr>
            <w:tcW w:w="4360" w:type="dxa"/>
            <w:vAlign w:val="bottom"/>
            <w:tcBorders>
              <w:top w:val="single" w:sz="8" w:color="BFBFBF"/>
              <w:right w:val="single" w:sz="8" w:color="BFBFBF"/>
            </w:tcBorders>
          </w:tcPr>
          <w:p>
            <w:pPr>
              <w:ind w:left="80"/>
              <w:spacing w:after="0"/>
              <w:rPr>
                <w:sz w:val="20"/>
                <w:szCs w:val="20"/>
                <w:color w:val="auto"/>
              </w:rPr>
            </w:pPr>
            <w:r>
              <w:rPr>
                <w:rFonts w:ascii="Arial" w:cs="Arial" w:eastAsia="Arial" w:hAnsi="Arial"/>
                <w:sz w:val="20"/>
                <w:szCs w:val="20"/>
                <w:b w:val="1"/>
                <w:bCs w:val="1"/>
                <w:color w:val="auto"/>
              </w:rPr>
              <w:t>Key Considerations</w:t>
            </w:r>
          </w:p>
        </w:tc>
      </w:tr>
      <w:tr>
        <w:trPr>
          <w:trHeight w:val="91"/>
        </w:trPr>
        <w:tc>
          <w:tcPr>
            <w:tcW w:w="2820" w:type="dxa"/>
            <w:vAlign w:val="bottom"/>
            <w:tcBorders>
              <w:left w:val="single" w:sz="8" w:color="BFBFBF"/>
              <w:bottom w:val="single" w:sz="8" w:color="BFBFBF"/>
              <w:right w:val="single" w:sz="8" w:color="BFBFBF"/>
            </w:tcBorders>
          </w:tcPr>
          <w:p>
            <w:pPr>
              <w:spacing w:after="0"/>
              <w:rPr>
                <w:sz w:val="7"/>
                <w:szCs w:val="7"/>
                <w:color w:val="auto"/>
              </w:rPr>
            </w:pPr>
          </w:p>
        </w:tc>
        <w:tc>
          <w:tcPr>
            <w:tcW w:w="2080" w:type="dxa"/>
            <w:vAlign w:val="bottom"/>
            <w:tcBorders>
              <w:bottom w:val="single" w:sz="8" w:color="BFBFBF"/>
              <w:right w:val="single" w:sz="8" w:color="BFBFBF"/>
            </w:tcBorders>
          </w:tcPr>
          <w:p>
            <w:pPr>
              <w:spacing w:after="0"/>
              <w:rPr>
                <w:sz w:val="7"/>
                <w:szCs w:val="7"/>
                <w:color w:val="auto"/>
              </w:rPr>
            </w:pPr>
          </w:p>
        </w:tc>
        <w:tc>
          <w:tcPr>
            <w:tcW w:w="4360" w:type="dxa"/>
            <w:vAlign w:val="bottom"/>
            <w:tcBorders>
              <w:bottom w:val="single" w:sz="8" w:color="BFBFBF"/>
              <w:right w:val="single" w:sz="8" w:color="BFBFBF"/>
            </w:tcBorders>
          </w:tcPr>
          <w:p>
            <w:pPr>
              <w:spacing w:after="0"/>
              <w:rPr>
                <w:sz w:val="7"/>
                <w:szCs w:val="7"/>
                <w:color w:val="auto"/>
              </w:rPr>
            </w:pPr>
          </w:p>
        </w:tc>
      </w:tr>
      <w:tr>
        <w:trPr>
          <w:trHeight w:val="228"/>
        </w:trPr>
        <w:tc>
          <w:tcPr>
            <w:tcW w:w="2820" w:type="dxa"/>
            <w:vAlign w:val="bottom"/>
            <w:tcBorders>
              <w:left w:val="single" w:sz="8" w:color="BFBFBF"/>
              <w:right w:val="single" w:sz="8" w:color="BFBFBF"/>
            </w:tcBorders>
          </w:tcPr>
          <w:p>
            <w:pPr>
              <w:ind w:left="120"/>
              <w:spacing w:after="0" w:line="229" w:lineRule="exact"/>
              <w:rPr>
                <w:sz w:val="20"/>
                <w:szCs w:val="20"/>
                <w:color w:val="auto"/>
              </w:rPr>
            </w:pPr>
            <w:r>
              <w:rPr>
                <w:rFonts w:ascii="Arial" w:cs="Arial" w:eastAsia="Arial" w:hAnsi="Arial"/>
                <w:sz w:val="20"/>
                <w:szCs w:val="20"/>
                <w:color w:val="auto"/>
              </w:rPr>
              <w:t>cORR all comers</w:t>
            </w:r>
          </w:p>
        </w:tc>
        <w:tc>
          <w:tcPr>
            <w:tcW w:w="2080" w:type="dxa"/>
            <w:vAlign w:val="bottom"/>
            <w:tcBorders>
              <w:right w:val="single" w:sz="8" w:color="BFBFBF"/>
            </w:tcBorders>
          </w:tcPr>
          <w:p>
            <w:pPr>
              <w:jc w:val="center"/>
              <w:spacing w:after="0" w:line="229" w:lineRule="exact"/>
              <w:rPr>
                <w:sz w:val="20"/>
                <w:szCs w:val="20"/>
                <w:color w:val="auto"/>
              </w:rPr>
            </w:pPr>
            <w:r>
              <w:rPr>
                <w:rFonts w:ascii="Arial" w:cs="Arial" w:eastAsia="Arial" w:hAnsi="Arial"/>
                <w:sz w:val="20"/>
                <w:szCs w:val="20"/>
                <w:color w:val="auto"/>
                <w:w w:val="99"/>
              </w:rPr>
              <w:t>75% (6/8)</w:t>
            </w:r>
          </w:p>
        </w:tc>
        <w:tc>
          <w:tcPr>
            <w:tcW w:w="4360" w:type="dxa"/>
            <w:vAlign w:val="bottom"/>
            <w:tcBorders>
              <w:right w:val="single" w:sz="8" w:color="BFBFBF"/>
            </w:tcBorders>
          </w:tcPr>
          <w:p>
            <w:pPr>
              <w:ind w:left="80"/>
              <w:spacing w:after="0" w:line="229" w:lineRule="exact"/>
              <w:rPr>
                <w:sz w:val="20"/>
                <w:szCs w:val="20"/>
                <w:color w:val="auto"/>
              </w:rPr>
            </w:pPr>
            <w:r>
              <w:rPr>
                <w:rFonts w:ascii="Arial" w:cs="Arial" w:eastAsia="Arial" w:hAnsi="Arial"/>
                <w:sz w:val="20"/>
                <w:szCs w:val="20"/>
                <w:color w:val="auto"/>
              </w:rPr>
              <w:t>No PD-1 inhibitors approved in PD-L1-negative</w:t>
            </w:r>
          </w:p>
        </w:tc>
      </w:tr>
      <w:tr>
        <w:trPr>
          <w:trHeight w:val="261"/>
        </w:trPr>
        <w:tc>
          <w:tcPr>
            <w:tcW w:w="2820" w:type="dxa"/>
            <w:vAlign w:val="bottom"/>
            <w:tcBorders>
              <w:left w:val="single" w:sz="8" w:color="BFBFBF"/>
              <w:right w:val="single" w:sz="8" w:color="BFBFBF"/>
            </w:tcBorders>
          </w:tcPr>
          <w:p>
            <w:pPr>
              <w:spacing w:after="0"/>
              <w:rPr>
                <w:sz w:val="22"/>
                <w:szCs w:val="22"/>
                <w:color w:val="auto"/>
              </w:rPr>
            </w:pPr>
          </w:p>
        </w:tc>
        <w:tc>
          <w:tcPr>
            <w:tcW w:w="2080" w:type="dxa"/>
            <w:vAlign w:val="bottom"/>
            <w:tcBorders>
              <w:right w:val="single" w:sz="8" w:color="BFBFBF"/>
            </w:tcBorders>
          </w:tcPr>
          <w:p>
            <w:pPr>
              <w:spacing w:after="0"/>
              <w:rPr>
                <w:sz w:val="22"/>
                <w:szCs w:val="22"/>
                <w:color w:val="auto"/>
              </w:rPr>
            </w:pPr>
          </w:p>
        </w:tc>
        <w:tc>
          <w:tcPr>
            <w:tcW w:w="4360" w:type="dxa"/>
            <w:vAlign w:val="bottom"/>
            <w:tcBorders>
              <w:right w:val="single" w:sz="8" w:color="BFBFBF"/>
            </w:tcBorders>
          </w:tcPr>
          <w:p>
            <w:pPr>
              <w:ind w:left="80"/>
              <w:spacing w:after="0"/>
              <w:rPr>
                <w:sz w:val="20"/>
                <w:szCs w:val="20"/>
                <w:color w:val="auto"/>
              </w:rPr>
            </w:pPr>
            <w:r>
              <w:rPr>
                <w:rFonts w:ascii="Arial" w:cs="Arial" w:eastAsia="Arial" w:hAnsi="Arial"/>
                <w:sz w:val="20"/>
                <w:szCs w:val="20"/>
                <w:color w:val="auto"/>
              </w:rPr>
              <w:t>ESCC in the US</w:t>
            </w:r>
          </w:p>
        </w:tc>
      </w:tr>
      <w:tr>
        <w:trPr>
          <w:trHeight w:val="125"/>
        </w:trPr>
        <w:tc>
          <w:tcPr>
            <w:tcW w:w="2820" w:type="dxa"/>
            <w:vAlign w:val="bottom"/>
            <w:tcBorders>
              <w:left w:val="single" w:sz="8" w:color="BFBFBF"/>
              <w:bottom w:val="single" w:sz="8" w:color="BFBFBF"/>
              <w:right w:val="single" w:sz="8" w:color="BFBFBF"/>
            </w:tcBorders>
          </w:tcPr>
          <w:p>
            <w:pPr>
              <w:spacing w:after="0"/>
              <w:rPr>
                <w:sz w:val="10"/>
                <w:szCs w:val="10"/>
                <w:color w:val="auto"/>
              </w:rPr>
            </w:pPr>
          </w:p>
        </w:tc>
        <w:tc>
          <w:tcPr>
            <w:tcW w:w="2080" w:type="dxa"/>
            <w:vAlign w:val="bottom"/>
            <w:tcBorders>
              <w:bottom w:val="single" w:sz="8" w:color="BFBFBF"/>
              <w:right w:val="single" w:sz="8" w:color="BFBFBF"/>
            </w:tcBorders>
          </w:tcPr>
          <w:p>
            <w:pPr>
              <w:spacing w:after="0"/>
              <w:rPr>
                <w:sz w:val="10"/>
                <w:szCs w:val="10"/>
                <w:color w:val="auto"/>
              </w:rPr>
            </w:pPr>
          </w:p>
        </w:tc>
        <w:tc>
          <w:tcPr>
            <w:tcW w:w="4360" w:type="dxa"/>
            <w:vAlign w:val="bottom"/>
            <w:tcBorders>
              <w:bottom w:val="single" w:sz="8" w:color="BFBFBF"/>
              <w:right w:val="single" w:sz="8" w:color="BFBFBF"/>
            </w:tcBorders>
          </w:tcPr>
          <w:p>
            <w:pPr>
              <w:spacing w:after="0"/>
              <w:rPr>
                <w:sz w:val="10"/>
                <w:szCs w:val="10"/>
                <w:color w:val="auto"/>
              </w:rPr>
            </w:pPr>
          </w:p>
        </w:tc>
      </w:tr>
      <w:tr>
        <w:trPr>
          <w:trHeight w:val="228"/>
        </w:trPr>
        <w:tc>
          <w:tcPr>
            <w:tcW w:w="2820" w:type="dxa"/>
            <w:vAlign w:val="bottom"/>
            <w:tcBorders>
              <w:left w:val="single" w:sz="8" w:color="BFBFBF"/>
              <w:right w:val="single" w:sz="8" w:color="BFBFBF"/>
            </w:tcBorders>
          </w:tcPr>
          <w:p>
            <w:pPr>
              <w:ind w:left="120"/>
              <w:spacing w:after="0" w:line="229" w:lineRule="exact"/>
              <w:rPr>
                <w:sz w:val="20"/>
                <w:szCs w:val="20"/>
                <w:color w:val="auto"/>
              </w:rPr>
            </w:pPr>
            <w:r>
              <w:rPr>
                <w:rFonts w:ascii="Arial" w:cs="Arial" w:eastAsia="Arial" w:hAnsi="Arial"/>
                <w:sz w:val="20"/>
                <w:szCs w:val="20"/>
                <w:color w:val="auto"/>
              </w:rPr>
              <w:t>Post-data-cutoff cORR</w:t>
            </w:r>
          </w:p>
        </w:tc>
        <w:tc>
          <w:tcPr>
            <w:tcW w:w="2080" w:type="dxa"/>
            <w:vAlign w:val="bottom"/>
            <w:tcBorders>
              <w:right w:val="single" w:sz="8" w:color="BFBFBF"/>
            </w:tcBorders>
          </w:tcPr>
          <w:p>
            <w:pPr>
              <w:jc w:val="center"/>
              <w:spacing w:after="0" w:line="229" w:lineRule="exact"/>
              <w:rPr>
                <w:sz w:val="20"/>
                <w:szCs w:val="20"/>
                <w:color w:val="auto"/>
              </w:rPr>
            </w:pPr>
            <w:r>
              <w:rPr>
                <w:rFonts w:ascii="Arial" w:cs="Arial" w:eastAsia="Arial" w:hAnsi="Arial"/>
                <w:sz w:val="20"/>
                <w:szCs w:val="20"/>
                <w:color w:val="auto"/>
                <w:w w:val="99"/>
              </w:rPr>
              <w:t>89% (8/9)</w:t>
            </w:r>
          </w:p>
        </w:tc>
        <w:tc>
          <w:tcPr>
            <w:tcW w:w="4360" w:type="dxa"/>
            <w:vAlign w:val="bottom"/>
            <w:tcBorders>
              <w:right w:val="single" w:sz="8" w:color="BFBFBF"/>
            </w:tcBorders>
          </w:tcPr>
          <w:p>
            <w:pPr>
              <w:ind w:left="80"/>
              <w:spacing w:after="0" w:line="229" w:lineRule="exact"/>
              <w:rPr>
                <w:sz w:val="20"/>
                <w:szCs w:val="20"/>
                <w:color w:val="auto"/>
              </w:rPr>
            </w:pPr>
            <w:r>
              <w:rPr>
                <w:rFonts w:ascii="Arial" w:cs="Arial" w:eastAsia="Arial" w:hAnsi="Arial"/>
                <w:sz w:val="20"/>
                <w:szCs w:val="20"/>
                <w:color w:val="auto"/>
              </w:rPr>
              <w:t>Includes confirmation of a prior unconfirmed</w:t>
            </w:r>
          </w:p>
        </w:tc>
      </w:tr>
      <w:tr>
        <w:trPr>
          <w:trHeight w:val="256"/>
        </w:trPr>
        <w:tc>
          <w:tcPr>
            <w:tcW w:w="2820" w:type="dxa"/>
            <w:vAlign w:val="bottom"/>
            <w:tcBorders>
              <w:left w:val="single" w:sz="8" w:color="BFBFBF"/>
              <w:right w:val="single" w:sz="8" w:color="BFBFBF"/>
            </w:tcBorders>
          </w:tcPr>
          <w:p>
            <w:pPr>
              <w:spacing w:after="0"/>
              <w:rPr>
                <w:sz w:val="22"/>
                <w:szCs w:val="22"/>
                <w:color w:val="auto"/>
              </w:rPr>
            </w:pPr>
          </w:p>
        </w:tc>
        <w:tc>
          <w:tcPr>
            <w:tcW w:w="2080" w:type="dxa"/>
            <w:vAlign w:val="bottom"/>
            <w:tcBorders>
              <w:right w:val="single" w:sz="8" w:color="BFBFBF"/>
            </w:tcBorders>
          </w:tcPr>
          <w:p>
            <w:pPr>
              <w:spacing w:after="0"/>
              <w:rPr>
                <w:sz w:val="22"/>
                <w:szCs w:val="22"/>
                <w:color w:val="auto"/>
              </w:rPr>
            </w:pPr>
          </w:p>
        </w:tc>
        <w:tc>
          <w:tcPr>
            <w:tcW w:w="4360" w:type="dxa"/>
            <w:vAlign w:val="bottom"/>
            <w:tcBorders>
              <w:right w:val="single" w:sz="8" w:color="BFBFBF"/>
            </w:tcBorders>
          </w:tcPr>
          <w:p>
            <w:pPr>
              <w:ind w:left="80"/>
              <w:spacing w:after="0"/>
              <w:rPr>
                <w:sz w:val="20"/>
                <w:szCs w:val="20"/>
                <w:color w:val="auto"/>
              </w:rPr>
            </w:pPr>
            <w:r>
              <w:rPr>
                <w:rFonts w:ascii="Arial" w:cs="Arial" w:eastAsia="Arial" w:hAnsi="Arial"/>
                <w:sz w:val="20"/>
                <w:szCs w:val="20"/>
                <w:color w:val="auto"/>
              </w:rPr>
              <w:t>partial response (uPR) and one newly</w:t>
            </w:r>
          </w:p>
        </w:tc>
      </w:tr>
      <w:tr>
        <w:trPr>
          <w:trHeight w:val="257"/>
        </w:trPr>
        <w:tc>
          <w:tcPr>
            <w:tcW w:w="2820" w:type="dxa"/>
            <w:vAlign w:val="bottom"/>
            <w:tcBorders>
              <w:left w:val="single" w:sz="8" w:color="BFBFBF"/>
              <w:right w:val="single" w:sz="8" w:color="BFBFBF"/>
            </w:tcBorders>
          </w:tcPr>
          <w:p>
            <w:pPr>
              <w:spacing w:after="0"/>
              <w:rPr>
                <w:sz w:val="22"/>
                <w:szCs w:val="22"/>
                <w:color w:val="auto"/>
              </w:rPr>
            </w:pPr>
          </w:p>
        </w:tc>
        <w:tc>
          <w:tcPr>
            <w:tcW w:w="2080" w:type="dxa"/>
            <w:vAlign w:val="bottom"/>
            <w:tcBorders>
              <w:right w:val="single" w:sz="8" w:color="BFBFBF"/>
            </w:tcBorders>
          </w:tcPr>
          <w:p>
            <w:pPr>
              <w:spacing w:after="0"/>
              <w:rPr>
                <w:sz w:val="22"/>
                <w:szCs w:val="22"/>
                <w:color w:val="auto"/>
              </w:rPr>
            </w:pPr>
          </w:p>
        </w:tc>
        <w:tc>
          <w:tcPr>
            <w:tcW w:w="4360" w:type="dxa"/>
            <w:vAlign w:val="bottom"/>
            <w:tcBorders>
              <w:right w:val="single" w:sz="8" w:color="BFBFBF"/>
            </w:tcBorders>
          </w:tcPr>
          <w:p>
            <w:pPr>
              <w:ind w:left="80"/>
              <w:spacing w:after="0"/>
              <w:rPr>
                <w:sz w:val="20"/>
                <w:szCs w:val="20"/>
                <w:color w:val="auto"/>
              </w:rPr>
            </w:pPr>
            <w:r>
              <w:rPr>
                <w:rFonts w:ascii="Arial" w:cs="Arial" w:eastAsia="Arial" w:hAnsi="Arial"/>
                <w:sz w:val="20"/>
                <w:szCs w:val="20"/>
                <w:color w:val="auto"/>
              </w:rPr>
              <w:t>evaluable patient with a confirmed partial</w:t>
            </w:r>
          </w:p>
        </w:tc>
      </w:tr>
      <w:tr>
        <w:trPr>
          <w:trHeight w:val="261"/>
        </w:trPr>
        <w:tc>
          <w:tcPr>
            <w:tcW w:w="2820" w:type="dxa"/>
            <w:vAlign w:val="bottom"/>
            <w:tcBorders>
              <w:left w:val="single" w:sz="8" w:color="BFBFBF"/>
              <w:right w:val="single" w:sz="8" w:color="BFBFBF"/>
            </w:tcBorders>
          </w:tcPr>
          <w:p>
            <w:pPr>
              <w:spacing w:after="0"/>
              <w:rPr>
                <w:sz w:val="22"/>
                <w:szCs w:val="22"/>
                <w:color w:val="auto"/>
              </w:rPr>
            </w:pPr>
          </w:p>
        </w:tc>
        <w:tc>
          <w:tcPr>
            <w:tcW w:w="2080" w:type="dxa"/>
            <w:vAlign w:val="bottom"/>
            <w:tcBorders>
              <w:right w:val="single" w:sz="8" w:color="BFBFBF"/>
            </w:tcBorders>
          </w:tcPr>
          <w:p>
            <w:pPr>
              <w:spacing w:after="0"/>
              <w:rPr>
                <w:sz w:val="22"/>
                <w:szCs w:val="22"/>
                <w:color w:val="auto"/>
              </w:rPr>
            </w:pPr>
          </w:p>
        </w:tc>
        <w:tc>
          <w:tcPr>
            <w:tcW w:w="4360" w:type="dxa"/>
            <w:vAlign w:val="bottom"/>
            <w:tcBorders>
              <w:right w:val="single" w:sz="8" w:color="BFBFBF"/>
            </w:tcBorders>
          </w:tcPr>
          <w:p>
            <w:pPr>
              <w:ind w:left="80"/>
              <w:spacing w:after="0"/>
              <w:rPr>
                <w:sz w:val="20"/>
                <w:szCs w:val="20"/>
                <w:color w:val="auto"/>
              </w:rPr>
            </w:pPr>
            <w:r>
              <w:rPr>
                <w:rFonts w:ascii="Arial" w:cs="Arial" w:eastAsia="Arial" w:hAnsi="Arial"/>
                <w:sz w:val="20"/>
                <w:szCs w:val="20"/>
                <w:color w:val="auto"/>
              </w:rPr>
              <w:t>response (cPR)</w:t>
            </w:r>
          </w:p>
        </w:tc>
      </w:tr>
      <w:tr>
        <w:trPr>
          <w:trHeight w:val="111"/>
        </w:trPr>
        <w:tc>
          <w:tcPr>
            <w:tcW w:w="2820" w:type="dxa"/>
            <w:vAlign w:val="bottom"/>
            <w:tcBorders>
              <w:left w:val="single" w:sz="8" w:color="BFBFBF"/>
              <w:bottom w:val="single" w:sz="8" w:color="BFBFBF"/>
              <w:right w:val="single" w:sz="8" w:color="BFBFBF"/>
            </w:tcBorders>
          </w:tcPr>
          <w:p>
            <w:pPr>
              <w:spacing w:after="0"/>
              <w:rPr>
                <w:sz w:val="9"/>
                <w:szCs w:val="9"/>
                <w:color w:val="auto"/>
              </w:rPr>
            </w:pPr>
          </w:p>
        </w:tc>
        <w:tc>
          <w:tcPr>
            <w:tcW w:w="2080" w:type="dxa"/>
            <w:vAlign w:val="bottom"/>
            <w:tcBorders>
              <w:bottom w:val="single" w:sz="8" w:color="BFBFBF"/>
              <w:right w:val="single" w:sz="8" w:color="BFBFBF"/>
            </w:tcBorders>
          </w:tcPr>
          <w:p>
            <w:pPr>
              <w:spacing w:after="0"/>
              <w:rPr>
                <w:sz w:val="9"/>
                <w:szCs w:val="9"/>
                <w:color w:val="auto"/>
              </w:rPr>
            </w:pPr>
          </w:p>
        </w:tc>
        <w:tc>
          <w:tcPr>
            <w:tcW w:w="4360" w:type="dxa"/>
            <w:vAlign w:val="bottom"/>
            <w:tcBorders>
              <w:bottom w:val="single" w:sz="8" w:color="BFBFBF"/>
              <w:right w:val="single" w:sz="8" w:color="BFBFBF"/>
            </w:tcBorders>
          </w:tcPr>
          <w:p>
            <w:pPr>
              <w:spacing w:after="0"/>
              <w:rPr>
                <w:sz w:val="9"/>
                <w:szCs w:val="9"/>
                <w:color w:val="auto"/>
              </w:rPr>
            </w:pPr>
          </w:p>
        </w:tc>
      </w:tr>
      <w:tr>
        <w:trPr>
          <w:trHeight w:val="228"/>
        </w:trPr>
        <w:tc>
          <w:tcPr>
            <w:tcW w:w="2820" w:type="dxa"/>
            <w:vAlign w:val="bottom"/>
            <w:tcBorders>
              <w:left w:val="single" w:sz="8" w:color="BFBFBF"/>
              <w:right w:val="single" w:sz="8" w:color="BFBFBF"/>
            </w:tcBorders>
          </w:tcPr>
          <w:p>
            <w:pPr>
              <w:ind w:left="120"/>
              <w:spacing w:after="0" w:line="229" w:lineRule="exact"/>
              <w:rPr>
                <w:sz w:val="20"/>
                <w:szCs w:val="20"/>
                <w:color w:val="auto"/>
              </w:rPr>
            </w:pPr>
            <w:r>
              <w:rPr>
                <w:rFonts w:ascii="Arial" w:cs="Arial" w:eastAsia="Arial" w:hAnsi="Arial"/>
                <w:sz w:val="20"/>
                <w:szCs w:val="20"/>
                <w:color w:val="auto"/>
              </w:rPr>
              <w:t>Confirmed ORR in PD-L1</w:t>
            </w:r>
          </w:p>
        </w:tc>
        <w:tc>
          <w:tcPr>
            <w:tcW w:w="2080" w:type="dxa"/>
            <w:vAlign w:val="bottom"/>
            <w:tcBorders>
              <w:right w:val="single" w:sz="8" w:color="BFBFBF"/>
            </w:tcBorders>
          </w:tcPr>
          <w:p>
            <w:pPr>
              <w:jc w:val="center"/>
              <w:spacing w:after="0" w:line="229" w:lineRule="exact"/>
              <w:rPr>
                <w:sz w:val="20"/>
                <w:szCs w:val="20"/>
                <w:color w:val="auto"/>
              </w:rPr>
            </w:pPr>
            <w:r>
              <w:rPr>
                <w:rFonts w:ascii="Arial" w:cs="Arial" w:eastAsia="Arial" w:hAnsi="Arial"/>
                <w:sz w:val="20"/>
                <w:szCs w:val="20"/>
                <w:color w:val="auto"/>
                <w:w w:val="97"/>
              </w:rPr>
              <w:t>100%</w:t>
            </w:r>
          </w:p>
        </w:tc>
        <w:tc>
          <w:tcPr>
            <w:tcW w:w="4360" w:type="dxa"/>
            <w:vAlign w:val="bottom"/>
            <w:tcBorders>
              <w:right w:val="single" w:sz="8" w:color="BFBFBF"/>
            </w:tcBorders>
          </w:tcPr>
          <w:p>
            <w:pPr>
              <w:ind w:left="80"/>
              <w:spacing w:after="0" w:line="229" w:lineRule="exact"/>
              <w:rPr>
                <w:sz w:val="20"/>
                <w:szCs w:val="20"/>
                <w:color w:val="auto"/>
              </w:rPr>
            </w:pPr>
            <w:r>
              <w:rPr>
                <w:rFonts w:ascii="Arial" w:cs="Arial" w:eastAsia="Arial" w:hAnsi="Arial"/>
                <w:sz w:val="20"/>
                <w:szCs w:val="20"/>
                <w:color w:val="auto"/>
              </w:rPr>
              <w:t>US SoC Benchmark (PD-1 + chemo) cORR is</w:t>
            </w:r>
          </w:p>
        </w:tc>
      </w:tr>
      <w:tr>
        <w:trPr>
          <w:trHeight w:val="261"/>
        </w:trPr>
        <w:tc>
          <w:tcPr>
            <w:tcW w:w="2820" w:type="dxa"/>
            <w:vAlign w:val="bottom"/>
            <w:tcBorders>
              <w:left w:val="single" w:sz="8" w:color="BFBFBF"/>
              <w:right w:val="single" w:sz="8" w:color="BFBFBF"/>
            </w:tcBorders>
          </w:tcPr>
          <w:p>
            <w:pPr>
              <w:ind w:left="120"/>
              <w:spacing w:after="0"/>
              <w:rPr>
                <w:sz w:val="20"/>
                <w:szCs w:val="20"/>
                <w:color w:val="auto"/>
              </w:rPr>
            </w:pPr>
            <w:r>
              <w:rPr>
                <w:rFonts w:ascii="Arial" w:cs="Arial" w:eastAsia="Arial" w:hAnsi="Arial"/>
                <w:sz w:val="20"/>
                <w:szCs w:val="20"/>
                <w:color w:val="auto"/>
              </w:rPr>
              <w:t>positive ESCC</w:t>
            </w:r>
          </w:p>
        </w:tc>
        <w:tc>
          <w:tcPr>
            <w:tcW w:w="2080" w:type="dxa"/>
            <w:vAlign w:val="bottom"/>
            <w:tcBorders>
              <w:right w:val="single" w:sz="8" w:color="BFBFBF"/>
            </w:tcBorders>
          </w:tcPr>
          <w:p>
            <w:pPr>
              <w:spacing w:after="0"/>
              <w:rPr>
                <w:sz w:val="22"/>
                <w:szCs w:val="22"/>
                <w:color w:val="auto"/>
              </w:rPr>
            </w:pPr>
          </w:p>
        </w:tc>
        <w:tc>
          <w:tcPr>
            <w:tcW w:w="4360" w:type="dxa"/>
            <w:vAlign w:val="bottom"/>
            <w:tcBorders>
              <w:right w:val="single" w:sz="8" w:color="BFBFBF"/>
            </w:tcBorders>
          </w:tcPr>
          <w:p>
            <w:pPr>
              <w:ind w:left="80"/>
              <w:spacing w:after="0"/>
              <w:rPr>
                <w:sz w:val="20"/>
                <w:szCs w:val="20"/>
                <w:color w:val="auto"/>
              </w:rPr>
            </w:pPr>
            <w:r>
              <w:rPr>
                <w:rFonts w:ascii="Arial" w:cs="Arial" w:eastAsia="Arial" w:hAnsi="Arial"/>
                <w:sz w:val="20"/>
                <w:szCs w:val="20"/>
                <w:color w:val="auto"/>
              </w:rPr>
              <w:t>44%-59% for PD-L1 positive ESCC</w:t>
            </w:r>
          </w:p>
        </w:tc>
      </w:tr>
      <w:tr>
        <w:trPr>
          <w:trHeight w:val="125"/>
        </w:trPr>
        <w:tc>
          <w:tcPr>
            <w:tcW w:w="2820" w:type="dxa"/>
            <w:vAlign w:val="bottom"/>
            <w:tcBorders>
              <w:left w:val="single" w:sz="8" w:color="BFBFBF"/>
              <w:bottom w:val="single" w:sz="8" w:color="BFBFBF"/>
              <w:right w:val="single" w:sz="8" w:color="BFBFBF"/>
            </w:tcBorders>
          </w:tcPr>
          <w:p>
            <w:pPr>
              <w:spacing w:after="0"/>
              <w:rPr>
                <w:sz w:val="10"/>
                <w:szCs w:val="10"/>
                <w:color w:val="auto"/>
              </w:rPr>
            </w:pPr>
          </w:p>
        </w:tc>
        <w:tc>
          <w:tcPr>
            <w:tcW w:w="2080" w:type="dxa"/>
            <w:vAlign w:val="bottom"/>
            <w:tcBorders>
              <w:bottom w:val="single" w:sz="8" w:color="BFBFBF"/>
              <w:right w:val="single" w:sz="8" w:color="BFBFBF"/>
            </w:tcBorders>
          </w:tcPr>
          <w:p>
            <w:pPr>
              <w:spacing w:after="0"/>
              <w:rPr>
                <w:sz w:val="10"/>
                <w:szCs w:val="10"/>
                <w:color w:val="auto"/>
              </w:rPr>
            </w:pPr>
          </w:p>
        </w:tc>
        <w:tc>
          <w:tcPr>
            <w:tcW w:w="4360" w:type="dxa"/>
            <w:vAlign w:val="bottom"/>
            <w:tcBorders>
              <w:bottom w:val="single" w:sz="8" w:color="BFBFBF"/>
              <w:right w:val="single" w:sz="8" w:color="BFBFBF"/>
            </w:tcBorders>
          </w:tcPr>
          <w:p>
            <w:pPr>
              <w:spacing w:after="0"/>
              <w:rPr>
                <w:sz w:val="10"/>
                <w:szCs w:val="10"/>
                <w:color w:val="auto"/>
              </w:rPr>
            </w:pPr>
          </w:p>
        </w:tc>
      </w:tr>
      <w:tr>
        <w:trPr>
          <w:trHeight w:val="228"/>
        </w:trPr>
        <w:tc>
          <w:tcPr>
            <w:tcW w:w="2820" w:type="dxa"/>
            <w:vAlign w:val="bottom"/>
            <w:tcBorders>
              <w:left w:val="single" w:sz="8" w:color="BFBFBF"/>
              <w:right w:val="single" w:sz="8" w:color="BFBFBF"/>
            </w:tcBorders>
          </w:tcPr>
          <w:p>
            <w:pPr>
              <w:ind w:left="120"/>
              <w:spacing w:after="0" w:line="229" w:lineRule="exact"/>
              <w:rPr>
                <w:sz w:val="20"/>
                <w:szCs w:val="20"/>
                <w:color w:val="auto"/>
              </w:rPr>
            </w:pPr>
            <w:r>
              <w:rPr>
                <w:rFonts w:ascii="Arial" w:cs="Arial" w:eastAsia="Arial" w:hAnsi="Arial"/>
                <w:sz w:val="20"/>
                <w:szCs w:val="20"/>
                <w:color w:val="auto"/>
              </w:rPr>
              <w:t>Confirmed complete</w:t>
            </w:r>
          </w:p>
        </w:tc>
        <w:tc>
          <w:tcPr>
            <w:tcW w:w="2080" w:type="dxa"/>
            <w:vAlign w:val="bottom"/>
            <w:tcBorders>
              <w:right w:val="single" w:sz="8" w:color="BFBFBF"/>
            </w:tcBorders>
          </w:tcPr>
          <w:p>
            <w:pPr>
              <w:jc w:val="center"/>
              <w:spacing w:after="0" w:line="229" w:lineRule="exact"/>
              <w:rPr>
                <w:sz w:val="20"/>
                <w:szCs w:val="20"/>
                <w:color w:val="auto"/>
              </w:rPr>
            </w:pPr>
            <w:r>
              <w:rPr>
                <w:rFonts w:ascii="Arial" w:cs="Arial" w:eastAsia="Arial" w:hAnsi="Arial"/>
                <w:sz w:val="20"/>
                <w:szCs w:val="20"/>
                <w:color w:val="auto"/>
                <w:w w:val="98"/>
              </w:rPr>
              <w:t>1 patient</w:t>
            </w:r>
          </w:p>
        </w:tc>
        <w:tc>
          <w:tcPr>
            <w:tcW w:w="4360" w:type="dxa"/>
            <w:vAlign w:val="bottom"/>
            <w:tcBorders>
              <w:right w:val="single" w:sz="8" w:color="BFBFBF"/>
            </w:tcBorders>
          </w:tcPr>
          <w:p>
            <w:pPr>
              <w:ind w:left="80"/>
              <w:spacing w:after="0" w:line="229" w:lineRule="exact"/>
              <w:rPr>
                <w:sz w:val="20"/>
                <w:szCs w:val="20"/>
                <w:color w:val="auto"/>
              </w:rPr>
            </w:pPr>
            <w:r>
              <w:rPr>
                <w:rFonts w:ascii="Arial" w:cs="Arial" w:eastAsia="Arial" w:hAnsi="Arial"/>
                <w:sz w:val="20"/>
                <w:szCs w:val="20"/>
                <w:color w:val="auto"/>
              </w:rPr>
              <w:t>Confirmed at the data cutoff</w:t>
            </w:r>
          </w:p>
        </w:tc>
      </w:tr>
      <w:tr>
        <w:trPr>
          <w:trHeight w:val="261"/>
        </w:trPr>
        <w:tc>
          <w:tcPr>
            <w:tcW w:w="2820" w:type="dxa"/>
            <w:vAlign w:val="bottom"/>
            <w:tcBorders>
              <w:left w:val="single" w:sz="8" w:color="BFBFBF"/>
              <w:right w:val="single" w:sz="8" w:color="BFBFBF"/>
            </w:tcBorders>
          </w:tcPr>
          <w:p>
            <w:pPr>
              <w:ind w:left="120"/>
              <w:spacing w:after="0"/>
              <w:rPr>
                <w:sz w:val="20"/>
                <w:szCs w:val="20"/>
                <w:color w:val="auto"/>
              </w:rPr>
            </w:pPr>
            <w:r>
              <w:rPr>
                <w:rFonts w:ascii="Arial" w:cs="Arial" w:eastAsia="Arial" w:hAnsi="Arial"/>
                <w:sz w:val="20"/>
                <w:szCs w:val="20"/>
                <w:color w:val="auto"/>
              </w:rPr>
              <w:t>response</w:t>
            </w:r>
          </w:p>
        </w:tc>
        <w:tc>
          <w:tcPr>
            <w:tcW w:w="2080" w:type="dxa"/>
            <w:vAlign w:val="bottom"/>
            <w:tcBorders>
              <w:right w:val="single" w:sz="8" w:color="BFBFBF"/>
            </w:tcBorders>
          </w:tcPr>
          <w:p>
            <w:pPr>
              <w:spacing w:after="0"/>
              <w:rPr>
                <w:sz w:val="22"/>
                <w:szCs w:val="22"/>
                <w:color w:val="auto"/>
              </w:rPr>
            </w:pPr>
          </w:p>
        </w:tc>
        <w:tc>
          <w:tcPr>
            <w:tcW w:w="4360" w:type="dxa"/>
            <w:vAlign w:val="bottom"/>
            <w:tcBorders>
              <w:right w:val="single" w:sz="8" w:color="BFBFBF"/>
            </w:tcBorders>
          </w:tcPr>
          <w:p>
            <w:pPr>
              <w:spacing w:after="0"/>
              <w:rPr>
                <w:sz w:val="22"/>
                <w:szCs w:val="22"/>
                <w:color w:val="auto"/>
              </w:rPr>
            </w:pPr>
          </w:p>
        </w:tc>
      </w:tr>
      <w:tr>
        <w:trPr>
          <w:trHeight w:val="125"/>
        </w:trPr>
        <w:tc>
          <w:tcPr>
            <w:tcW w:w="2820" w:type="dxa"/>
            <w:vAlign w:val="bottom"/>
            <w:tcBorders>
              <w:left w:val="single" w:sz="8" w:color="BFBFBF"/>
              <w:bottom w:val="single" w:sz="8" w:color="BFBFBF"/>
              <w:right w:val="single" w:sz="8" w:color="BFBFBF"/>
            </w:tcBorders>
          </w:tcPr>
          <w:p>
            <w:pPr>
              <w:spacing w:after="0"/>
              <w:rPr>
                <w:sz w:val="10"/>
                <w:szCs w:val="10"/>
                <w:color w:val="auto"/>
              </w:rPr>
            </w:pPr>
          </w:p>
        </w:tc>
        <w:tc>
          <w:tcPr>
            <w:tcW w:w="2080" w:type="dxa"/>
            <w:vAlign w:val="bottom"/>
            <w:tcBorders>
              <w:bottom w:val="single" w:sz="8" w:color="BFBFBF"/>
              <w:right w:val="single" w:sz="8" w:color="BFBFBF"/>
            </w:tcBorders>
          </w:tcPr>
          <w:p>
            <w:pPr>
              <w:spacing w:after="0"/>
              <w:rPr>
                <w:sz w:val="10"/>
                <w:szCs w:val="10"/>
                <w:color w:val="auto"/>
              </w:rPr>
            </w:pPr>
          </w:p>
        </w:tc>
        <w:tc>
          <w:tcPr>
            <w:tcW w:w="4360" w:type="dxa"/>
            <w:vAlign w:val="bottom"/>
            <w:tcBorders>
              <w:bottom w:val="single" w:sz="8" w:color="BFBFBF"/>
              <w:right w:val="single" w:sz="8" w:color="BFBFBF"/>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154305</wp:posOffset>
            </wp:positionV>
            <wp:extent cx="4149090" cy="2322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4909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firstLine="267"/>
        <w:spacing w:after="0" w:line="394" w:lineRule="auto"/>
        <w:rPr>
          <w:sz w:val="20"/>
          <w:szCs w:val="20"/>
          <w:color w:val="auto"/>
        </w:rPr>
      </w:pPr>
      <w:r>
        <w:rPr>
          <w:rFonts w:ascii="Arial" w:cs="Arial" w:eastAsia="Arial" w:hAnsi="Arial"/>
          <w:sz w:val="20"/>
          <w:szCs w:val="20"/>
          <w:b w:val="1"/>
          <w:bCs w:val="1"/>
          <w:color w:val="auto"/>
        </w:rPr>
        <w:t>Figure 1. First-line ESCC waterfall plot from TREGCHECK 102 Cohort C. Data as of October 14, 2026 Second-Line ESCC: Phase 1b TREGCHECK 102 Cohort B</w:t>
      </w:r>
    </w:p>
    <w:p>
      <w:pPr>
        <w:spacing w:after="0" w:line="1" w:lineRule="exact"/>
        <w:rPr>
          <w:sz w:val="20"/>
          <w:szCs w:val="20"/>
          <w:color w:val="auto"/>
        </w:rPr>
      </w:pPr>
    </w:p>
    <w:p>
      <w:pPr>
        <w:jc w:val="both"/>
        <w:ind w:right="260"/>
        <w:spacing w:after="0" w:line="274" w:lineRule="auto"/>
        <w:rPr>
          <w:sz w:val="20"/>
          <w:szCs w:val="20"/>
          <w:color w:val="auto"/>
        </w:rPr>
      </w:pPr>
      <w:r>
        <w:rPr>
          <w:rFonts w:ascii="Arial" w:cs="Arial" w:eastAsia="Arial" w:hAnsi="Arial"/>
          <w:sz w:val="20"/>
          <w:szCs w:val="20"/>
          <w:b w:val="1"/>
          <w:bCs w:val="1"/>
          <w:color w:val="auto"/>
        </w:rPr>
        <w:t xml:space="preserve">Study design. </w:t>
      </w:r>
      <w:r>
        <w:rPr>
          <w:rFonts w:ascii="Arial" w:cs="Arial" w:eastAsia="Arial" w:hAnsi="Arial"/>
          <w:sz w:val="20"/>
          <w:szCs w:val="20"/>
          <w:color w:val="auto"/>
        </w:rPr>
        <w:t>Patients with recurrent or metastatic ESCC who failed first-line systemic chemotherapy with or</w:t>
      </w:r>
      <w:r>
        <w:rPr>
          <w:rFonts w:ascii="Arial" w:cs="Arial" w:eastAsia="Arial" w:hAnsi="Arial"/>
          <w:sz w:val="20"/>
          <w:szCs w:val="20"/>
          <w:b w:val="1"/>
          <w:bCs w:val="1"/>
          <w:color w:val="auto"/>
        </w:rPr>
        <w:t xml:space="preserve"> </w:t>
      </w:r>
      <w:r>
        <w:rPr>
          <w:rFonts w:ascii="Arial" w:cs="Arial" w:eastAsia="Arial" w:hAnsi="Arial"/>
          <w:sz w:val="20"/>
          <w:szCs w:val="20"/>
          <w:color w:val="auto"/>
        </w:rPr>
        <w:t>without a PD-1 inhibitor were randomized 1:1 to tagmokitug 300 mg or 700 mg plus toripalimab. As of October 14, 2026, 17 patients were safety evaluable and 8 (2 in 300 mg and 6 in 700 mg) were efficacy evaluable and enrollment is ongoing. Of the evaluable patient data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539750</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995" w:right="10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87"/>
        </w:trPr>
        <w:tc>
          <w:tcPr>
            <w:tcW w:w="2820" w:type="dxa"/>
            <w:vAlign w:val="bottom"/>
            <w:tcBorders>
              <w:top w:val="single" w:sz="8" w:color="BFBFBF"/>
              <w:left w:val="single" w:sz="8" w:color="BFBFBF"/>
              <w:right w:val="single" w:sz="8" w:color="BFBFBF"/>
            </w:tcBorders>
          </w:tcPr>
          <w:p>
            <w:pPr>
              <w:ind w:left="120"/>
              <w:spacing w:after="0"/>
              <w:rPr>
                <w:sz w:val="20"/>
                <w:szCs w:val="20"/>
                <w:color w:val="auto"/>
              </w:rPr>
            </w:pPr>
            <w:r>
              <w:rPr>
                <w:rFonts w:ascii="Arial" w:cs="Arial" w:eastAsia="Arial" w:hAnsi="Arial"/>
                <w:sz w:val="20"/>
                <w:szCs w:val="20"/>
                <w:b w:val="1"/>
                <w:bCs w:val="1"/>
                <w:color w:val="auto"/>
              </w:rPr>
              <w:t>Efficacy Measure</w:t>
            </w:r>
          </w:p>
        </w:tc>
        <w:tc>
          <w:tcPr>
            <w:tcW w:w="2080" w:type="dxa"/>
            <w:vAlign w:val="bottom"/>
            <w:tcBorders>
              <w:top w:val="single" w:sz="8" w:color="BFBFBF"/>
              <w:right w:val="single" w:sz="8" w:color="BFBFBF"/>
            </w:tcBorders>
          </w:tcPr>
          <w:p>
            <w:pPr>
              <w:jc w:val="center"/>
              <w:spacing w:after="0"/>
              <w:rPr>
                <w:sz w:val="20"/>
                <w:szCs w:val="20"/>
                <w:color w:val="auto"/>
              </w:rPr>
            </w:pPr>
            <w:r>
              <w:rPr>
                <w:rFonts w:ascii="Arial" w:cs="Arial" w:eastAsia="Arial" w:hAnsi="Arial"/>
                <w:sz w:val="20"/>
                <w:szCs w:val="20"/>
                <w:b w:val="1"/>
                <w:bCs w:val="1"/>
                <w:color w:val="auto"/>
                <w:w w:val="98"/>
              </w:rPr>
              <w:t>Interim Result</w:t>
            </w:r>
          </w:p>
        </w:tc>
        <w:tc>
          <w:tcPr>
            <w:tcW w:w="4360" w:type="dxa"/>
            <w:vAlign w:val="bottom"/>
            <w:tcBorders>
              <w:top w:val="single" w:sz="8" w:color="BFBFBF"/>
              <w:right w:val="single" w:sz="8" w:color="BFBFBF"/>
            </w:tcBorders>
          </w:tcPr>
          <w:p>
            <w:pPr>
              <w:ind w:left="80"/>
              <w:spacing w:after="0"/>
              <w:rPr>
                <w:sz w:val="20"/>
                <w:szCs w:val="20"/>
                <w:color w:val="auto"/>
              </w:rPr>
            </w:pPr>
            <w:r>
              <w:rPr>
                <w:rFonts w:ascii="Arial" w:cs="Arial" w:eastAsia="Arial" w:hAnsi="Arial"/>
                <w:sz w:val="20"/>
                <w:szCs w:val="20"/>
                <w:b w:val="1"/>
                <w:bCs w:val="1"/>
                <w:color w:val="auto"/>
              </w:rPr>
              <w:t>Key Considerations</w:t>
            </w:r>
          </w:p>
        </w:tc>
      </w:tr>
      <w:tr>
        <w:trPr>
          <w:trHeight w:val="91"/>
        </w:trPr>
        <w:tc>
          <w:tcPr>
            <w:tcW w:w="2820" w:type="dxa"/>
            <w:vAlign w:val="bottom"/>
            <w:tcBorders>
              <w:left w:val="single" w:sz="8" w:color="BFBFBF"/>
              <w:bottom w:val="single" w:sz="8" w:color="BFBFBF"/>
              <w:right w:val="single" w:sz="8" w:color="BFBFBF"/>
            </w:tcBorders>
          </w:tcPr>
          <w:p>
            <w:pPr>
              <w:spacing w:after="0"/>
              <w:rPr>
                <w:sz w:val="7"/>
                <w:szCs w:val="7"/>
                <w:color w:val="auto"/>
              </w:rPr>
            </w:pPr>
          </w:p>
        </w:tc>
        <w:tc>
          <w:tcPr>
            <w:tcW w:w="2080" w:type="dxa"/>
            <w:vAlign w:val="bottom"/>
            <w:tcBorders>
              <w:bottom w:val="single" w:sz="8" w:color="BFBFBF"/>
              <w:right w:val="single" w:sz="8" w:color="BFBFBF"/>
            </w:tcBorders>
          </w:tcPr>
          <w:p>
            <w:pPr>
              <w:spacing w:after="0"/>
              <w:rPr>
                <w:sz w:val="7"/>
                <w:szCs w:val="7"/>
                <w:color w:val="auto"/>
              </w:rPr>
            </w:pPr>
          </w:p>
        </w:tc>
        <w:tc>
          <w:tcPr>
            <w:tcW w:w="4360" w:type="dxa"/>
            <w:vAlign w:val="bottom"/>
            <w:tcBorders>
              <w:bottom w:val="single" w:sz="8" w:color="BFBFBF"/>
              <w:right w:val="single" w:sz="8" w:color="BFBFBF"/>
            </w:tcBorders>
          </w:tcPr>
          <w:p>
            <w:pPr>
              <w:spacing w:after="0"/>
              <w:rPr>
                <w:sz w:val="7"/>
                <w:szCs w:val="7"/>
                <w:color w:val="auto"/>
              </w:rPr>
            </w:pPr>
          </w:p>
        </w:tc>
      </w:tr>
      <w:tr>
        <w:trPr>
          <w:trHeight w:val="242"/>
        </w:trPr>
        <w:tc>
          <w:tcPr>
            <w:tcW w:w="2820" w:type="dxa"/>
            <w:vAlign w:val="bottom"/>
            <w:tcBorders>
              <w:left w:val="single" w:sz="8" w:color="BFBFBF"/>
              <w:right w:val="single" w:sz="8" w:color="BFBFBF"/>
            </w:tcBorders>
          </w:tcPr>
          <w:p>
            <w:pPr>
              <w:ind w:left="120"/>
              <w:spacing w:after="0"/>
              <w:rPr>
                <w:sz w:val="20"/>
                <w:szCs w:val="20"/>
                <w:color w:val="auto"/>
              </w:rPr>
            </w:pPr>
            <w:r>
              <w:rPr>
                <w:rFonts w:ascii="Arial" w:cs="Arial" w:eastAsia="Arial" w:hAnsi="Arial"/>
                <w:sz w:val="20"/>
                <w:szCs w:val="20"/>
                <w:color w:val="auto"/>
              </w:rPr>
              <w:t>Clinical Benefit Rate (CBR) in</w:t>
            </w:r>
          </w:p>
        </w:tc>
        <w:tc>
          <w:tcPr>
            <w:tcW w:w="2080" w:type="dxa"/>
            <w:vAlign w:val="bottom"/>
            <w:tcBorders>
              <w:right w:val="single" w:sz="8" w:color="BFBFBF"/>
            </w:tcBorders>
          </w:tcPr>
          <w:p>
            <w:pPr>
              <w:jc w:val="center"/>
              <w:spacing w:after="0"/>
              <w:rPr>
                <w:sz w:val="20"/>
                <w:szCs w:val="20"/>
                <w:color w:val="auto"/>
              </w:rPr>
            </w:pPr>
            <w:r>
              <w:rPr>
                <w:rFonts w:ascii="Arial" w:cs="Arial" w:eastAsia="Arial" w:hAnsi="Arial"/>
                <w:sz w:val="20"/>
                <w:szCs w:val="20"/>
                <w:color w:val="auto"/>
                <w:w w:val="98"/>
              </w:rPr>
              <w:t>33.3% (2/6)</w:t>
            </w:r>
          </w:p>
        </w:tc>
        <w:tc>
          <w:tcPr>
            <w:tcW w:w="4360" w:type="dxa"/>
            <w:vAlign w:val="bottom"/>
            <w:tcBorders>
              <w:right w:val="single" w:sz="8" w:color="BFBFBF"/>
            </w:tcBorders>
          </w:tcPr>
          <w:p>
            <w:pPr>
              <w:ind w:left="80"/>
              <w:spacing w:after="0"/>
              <w:rPr>
                <w:sz w:val="20"/>
                <w:szCs w:val="20"/>
                <w:color w:val="auto"/>
              </w:rPr>
            </w:pPr>
            <w:r>
              <w:rPr>
                <w:rFonts w:ascii="Arial" w:cs="Arial" w:eastAsia="Arial" w:hAnsi="Arial"/>
                <w:sz w:val="20"/>
                <w:szCs w:val="20"/>
                <w:color w:val="auto"/>
              </w:rPr>
              <w:t>Consistent with immuno-oncology-driven</w:t>
            </w:r>
          </w:p>
        </w:tc>
      </w:tr>
      <w:tr>
        <w:trPr>
          <w:trHeight w:val="261"/>
        </w:trPr>
        <w:tc>
          <w:tcPr>
            <w:tcW w:w="2820" w:type="dxa"/>
            <w:vAlign w:val="bottom"/>
            <w:tcBorders>
              <w:left w:val="single" w:sz="8" w:color="BFBFBF"/>
              <w:right w:val="single" w:sz="8" w:color="BFBFBF"/>
            </w:tcBorders>
          </w:tcPr>
          <w:p>
            <w:pPr>
              <w:ind w:left="120"/>
              <w:spacing w:after="0"/>
              <w:rPr>
                <w:sz w:val="20"/>
                <w:szCs w:val="20"/>
                <w:color w:val="auto"/>
              </w:rPr>
            </w:pPr>
            <w:r>
              <w:rPr>
                <w:rFonts w:ascii="Arial" w:cs="Arial" w:eastAsia="Arial" w:hAnsi="Arial"/>
                <w:sz w:val="20"/>
                <w:szCs w:val="20"/>
                <w:color w:val="auto"/>
              </w:rPr>
              <w:t>700 mg tagmokitug dose arm</w:t>
            </w:r>
          </w:p>
        </w:tc>
        <w:tc>
          <w:tcPr>
            <w:tcW w:w="2080" w:type="dxa"/>
            <w:vAlign w:val="bottom"/>
            <w:tcBorders>
              <w:right w:val="single" w:sz="8" w:color="BFBFBF"/>
            </w:tcBorders>
          </w:tcPr>
          <w:p>
            <w:pPr>
              <w:spacing w:after="0"/>
              <w:rPr>
                <w:sz w:val="22"/>
                <w:szCs w:val="22"/>
                <w:color w:val="auto"/>
              </w:rPr>
            </w:pPr>
          </w:p>
        </w:tc>
        <w:tc>
          <w:tcPr>
            <w:tcW w:w="4360" w:type="dxa"/>
            <w:vAlign w:val="bottom"/>
            <w:tcBorders>
              <w:right w:val="single" w:sz="8" w:color="BFBFBF"/>
            </w:tcBorders>
          </w:tcPr>
          <w:p>
            <w:pPr>
              <w:ind w:left="80"/>
              <w:spacing w:after="0"/>
              <w:rPr>
                <w:sz w:val="20"/>
                <w:szCs w:val="20"/>
                <w:color w:val="auto"/>
              </w:rPr>
            </w:pPr>
            <w:r>
              <w:rPr>
                <w:rFonts w:ascii="Arial" w:cs="Arial" w:eastAsia="Arial" w:hAnsi="Arial"/>
                <w:sz w:val="20"/>
                <w:szCs w:val="20"/>
                <w:color w:val="auto"/>
              </w:rPr>
              <w:t>durable stable disease (SD)</w:t>
            </w:r>
          </w:p>
        </w:tc>
      </w:tr>
      <w:tr>
        <w:trPr>
          <w:trHeight w:val="111"/>
        </w:trPr>
        <w:tc>
          <w:tcPr>
            <w:tcW w:w="2820" w:type="dxa"/>
            <w:vAlign w:val="bottom"/>
            <w:tcBorders>
              <w:left w:val="single" w:sz="8" w:color="BFBFBF"/>
              <w:bottom w:val="single" w:sz="8" w:color="BFBFBF"/>
              <w:right w:val="single" w:sz="8" w:color="BFBFBF"/>
            </w:tcBorders>
          </w:tcPr>
          <w:p>
            <w:pPr>
              <w:spacing w:after="0"/>
              <w:rPr>
                <w:sz w:val="9"/>
                <w:szCs w:val="9"/>
                <w:color w:val="auto"/>
              </w:rPr>
            </w:pPr>
          </w:p>
        </w:tc>
        <w:tc>
          <w:tcPr>
            <w:tcW w:w="2080" w:type="dxa"/>
            <w:vAlign w:val="bottom"/>
            <w:tcBorders>
              <w:bottom w:val="single" w:sz="8" w:color="BFBFBF"/>
              <w:right w:val="single" w:sz="8" w:color="BFBFBF"/>
            </w:tcBorders>
          </w:tcPr>
          <w:p>
            <w:pPr>
              <w:spacing w:after="0"/>
              <w:rPr>
                <w:sz w:val="9"/>
                <w:szCs w:val="9"/>
                <w:color w:val="auto"/>
              </w:rPr>
            </w:pPr>
          </w:p>
        </w:tc>
        <w:tc>
          <w:tcPr>
            <w:tcW w:w="4360" w:type="dxa"/>
            <w:vAlign w:val="bottom"/>
            <w:tcBorders>
              <w:bottom w:val="single" w:sz="8" w:color="BFBFBF"/>
              <w:right w:val="single" w:sz="8" w:color="BFBFBF"/>
            </w:tcBorders>
          </w:tcPr>
          <w:p>
            <w:pPr>
              <w:spacing w:after="0"/>
              <w:rPr>
                <w:sz w:val="9"/>
                <w:szCs w:val="9"/>
                <w:color w:val="auto"/>
              </w:rPr>
            </w:pPr>
          </w:p>
        </w:tc>
      </w:tr>
      <w:tr>
        <w:trPr>
          <w:trHeight w:val="242"/>
        </w:trPr>
        <w:tc>
          <w:tcPr>
            <w:tcW w:w="2820" w:type="dxa"/>
            <w:vAlign w:val="bottom"/>
            <w:tcBorders>
              <w:left w:val="single" w:sz="8" w:color="BFBFBF"/>
              <w:right w:val="single" w:sz="8" w:color="BFBFBF"/>
            </w:tcBorders>
          </w:tcPr>
          <w:p>
            <w:pPr>
              <w:ind w:left="120"/>
              <w:spacing w:after="0"/>
              <w:rPr>
                <w:sz w:val="20"/>
                <w:szCs w:val="20"/>
                <w:color w:val="auto"/>
              </w:rPr>
            </w:pPr>
            <w:r>
              <w:rPr>
                <w:rFonts w:ascii="Arial" w:cs="Arial" w:eastAsia="Arial" w:hAnsi="Arial"/>
                <w:sz w:val="20"/>
                <w:szCs w:val="20"/>
                <w:color w:val="auto"/>
              </w:rPr>
              <w:t>cORR in 700mg tagmokitug</w:t>
            </w:r>
          </w:p>
        </w:tc>
        <w:tc>
          <w:tcPr>
            <w:tcW w:w="2080" w:type="dxa"/>
            <w:vAlign w:val="bottom"/>
            <w:tcBorders>
              <w:right w:val="single" w:sz="8" w:color="BFBFBF"/>
            </w:tcBorders>
          </w:tcPr>
          <w:p>
            <w:pPr>
              <w:jc w:val="center"/>
              <w:spacing w:after="0"/>
              <w:rPr>
                <w:sz w:val="20"/>
                <w:szCs w:val="20"/>
                <w:color w:val="auto"/>
              </w:rPr>
            </w:pPr>
            <w:r>
              <w:rPr>
                <w:rFonts w:ascii="Arial" w:cs="Arial" w:eastAsia="Arial" w:hAnsi="Arial"/>
                <w:sz w:val="20"/>
                <w:szCs w:val="20"/>
                <w:color w:val="auto"/>
                <w:w w:val="98"/>
              </w:rPr>
              <w:t>16.7% (1/6)</w:t>
            </w:r>
          </w:p>
        </w:tc>
        <w:tc>
          <w:tcPr>
            <w:tcW w:w="4360" w:type="dxa"/>
            <w:vAlign w:val="bottom"/>
            <w:tcBorders>
              <w:right w:val="single" w:sz="8" w:color="BFBFBF"/>
            </w:tcBorders>
          </w:tcPr>
          <w:p>
            <w:pPr>
              <w:ind w:left="80"/>
              <w:spacing w:after="0"/>
              <w:rPr>
                <w:sz w:val="20"/>
                <w:szCs w:val="20"/>
                <w:color w:val="auto"/>
              </w:rPr>
            </w:pPr>
            <w:r>
              <w:rPr>
                <w:rFonts w:ascii="Arial" w:cs="Arial" w:eastAsia="Arial" w:hAnsi="Arial"/>
                <w:sz w:val="20"/>
                <w:szCs w:val="20"/>
                <w:color w:val="auto"/>
              </w:rPr>
              <w:t>Confirmation of 1 PR and 1 uPR</w:t>
            </w:r>
          </w:p>
        </w:tc>
      </w:tr>
      <w:tr>
        <w:trPr>
          <w:trHeight w:val="261"/>
        </w:trPr>
        <w:tc>
          <w:tcPr>
            <w:tcW w:w="2820" w:type="dxa"/>
            <w:vAlign w:val="bottom"/>
            <w:tcBorders>
              <w:left w:val="single" w:sz="8" w:color="BFBFBF"/>
              <w:right w:val="single" w:sz="8" w:color="BFBFBF"/>
            </w:tcBorders>
          </w:tcPr>
          <w:p>
            <w:pPr>
              <w:ind w:left="120"/>
              <w:spacing w:after="0"/>
              <w:rPr>
                <w:sz w:val="20"/>
                <w:szCs w:val="20"/>
                <w:color w:val="auto"/>
              </w:rPr>
            </w:pPr>
            <w:r>
              <w:rPr>
                <w:rFonts w:ascii="Arial" w:cs="Arial" w:eastAsia="Arial" w:hAnsi="Arial"/>
                <w:sz w:val="20"/>
                <w:szCs w:val="20"/>
                <w:color w:val="auto"/>
              </w:rPr>
              <w:t>dose arm</w:t>
            </w:r>
          </w:p>
        </w:tc>
        <w:tc>
          <w:tcPr>
            <w:tcW w:w="2080" w:type="dxa"/>
            <w:vAlign w:val="bottom"/>
            <w:tcBorders>
              <w:right w:val="single" w:sz="8" w:color="BFBFBF"/>
            </w:tcBorders>
          </w:tcPr>
          <w:p>
            <w:pPr>
              <w:spacing w:after="0"/>
              <w:rPr>
                <w:sz w:val="22"/>
                <w:szCs w:val="22"/>
                <w:color w:val="auto"/>
              </w:rPr>
            </w:pPr>
          </w:p>
        </w:tc>
        <w:tc>
          <w:tcPr>
            <w:tcW w:w="4360" w:type="dxa"/>
            <w:vAlign w:val="bottom"/>
            <w:tcBorders>
              <w:right w:val="single" w:sz="8" w:color="BFBFBF"/>
            </w:tcBorders>
          </w:tcPr>
          <w:p>
            <w:pPr>
              <w:spacing w:after="0"/>
              <w:rPr>
                <w:sz w:val="22"/>
                <w:szCs w:val="22"/>
                <w:color w:val="auto"/>
              </w:rPr>
            </w:pPr>
          </w:p>
        </w:tc>
      </w:tr>
      <w:tr>
        <w:trPr>
          <w:trHeight w:val="112"/>
        </w:trPr>
        <w:tc>
          <w:tcPr>
            <w:tcW w:w="2820" w:type="dxa"/>
            <w:vAlign w:val="bottom"/>
            <w:tcBorders>
              <w:left w:val="single" w:sz="8" w:color="BFBFBF"/>
              <w:bottom w:val="single" w:sz="8" w:color="BFBFBF"/>
              <w:right w:val="single" w:sz="8" w:color="BFBFBF"/>
            </w:tcBorders>
          </w:tcPr>
          <w:p>
            <w:pPr>
              <w:spacing w:after="0"/>
              <w:rPr>
                <w:sz w:val="9"/>
                <w:szCs w:val="9"/>
                <w:color w:val="auto"/>
              </w:rPr>
            </w:pPr>
          </w:p>
        </w:tc>
        <w:tc>
          <w:tcPr>
            <w:tcW w:w="2080" w:type="dxa"/>
            <w:vAlign w:val="bottom"/>
            <w:tcBorders>
              <w:bottom w:val="single" w:sz="8" w:color="BFBFBF"/>
              <w:right w:val="single" w:sz="8" w:color="BFBFBF"/>
            </w:tcBorders>
          </w:tcPr>
          <w:p>
            <w:pPr>
              <w:spacing w:after="0"/>
              <w:rPr>
                <w:sz w:val="9"/>
                <w:szCs w:val="9"/>
                <w:color w:val="auto"/>
              </w:rPr>
            </w:pPr>
          </w:p>
        </w:tc>
        <w:tc>
          <w:tcPr>
            <w:tcW w:w="4360" w:type="dxa"/>
            <w:vAlign w:val="bottom"/>
            <w:tcBorders>
              <w:bottom w:val="single" w:sz="8" w:color="BFBFBF"/>
              <w:right w:val="single" w:sz="8" w:color="BFBFBF"/>
            </w:tcBorders>
          </w:tcPr>
          <w:p>
            <w:pPr>
              <w:spacing w:after="0"/>
              <w:rPr>
                <w:sz w:val="9"/>
                <w:szCs w:val="9"/>
                <w:color w:val="auto"/>
              </w:rPr>
            </w:pPr>
          </w:p>
        </w:tc>
      </w:tr>
      <w:tr>
        <w:trPr>
          <w:trHeight w:val="242"/>
        </w:trPr>
        <w:tc>
          <w:tcPr>
            <w:tcW w:w="2820" w:type="dxa"/>
            <w:vAlign w:val="bottom"/>
            <w:tcBorders>
              <w:left w:val="single" w:sz="8" w:color="BFBFBF"/>
              <w:right w:val="single" w:sz="8" w:color="BFBFBF"/>
            </w:tcBorders>
          </w:tcPr>
          <w:p>
            <w:pPr>
              <w:ind w:left="120"/>
              <w:spacing w:after="0"/>
              <w:rPr>
                <w:sz w:val="20"/>
                <w:szCs w:val="20"/>
                <w:color w:val="auto"/>
              </w:rPr>
            </w:pPr>
            <w:r>
              <w:rPr>
                <w:rFonts w:ascii="Arial" w:cs="Arial" w:eastAsia="Arial" w:hAnsi="Arial"/>
                <w:sz w:val="20"/>
                <w:szCs w:val="20"/>
                <w:color w:val="auto"/>
              </w:rPr>
              <w:t>Median Progression-Free</w:t>
            </w:r>
          </w:p>
        </w:tc>
        <w:tc>
          <w:tcPr>
            <w:tcW w:w="2080" w:type="dxa"/>
            <w:vAlign w:val="bottom"/>
            <w:tcBorders>
              <w:right w:val="single" w:sz="8" w:color="BFBFBF"/>
            </w:tcBorders>
          </w:tcPr>
          <w:p>
            <w:pPr>
              <w:jc w:val="center"/>
              <w:spacing w:after="0"/>
              <w:rPr>
                <w:sz w:val="20"/>
                <w:szCs w:val="20"/>
                <w:color w:val="auto"/>
              </w:rPr>
            </w:pPr>
            <w:r>
              <w:rPr>
                <w:rFonts w:ascii="Arial" w:cs="Arial" w:eastAsia="Arial" w:hAnsi="Arial"/>
                <w:sz w:val="20"/>
                <w:szCs w:val="20"/>
                <w:color w:val="auto"/>
                <w:w w:val="99"/>
              </w:rPr>
              <w:t>5.5 months</w:t>
            </w:r>
          </w:p>
        </w:tc>
        <w:tc>
          <w:tcPr>
            <w:tcW w:w="4360" w:type="dxa"/>
            <w:vAlign w:val="bottom"/>
            <w:tcBorders>
              <w:right w:val="single" w:sz="8" w:color="BFBFBF"/>
            </w:tcBorders>
          </w:tcPr>
          <w:p>
            <w:pPr>
              <w:ind w:left="80"/>
              <w:spacing w:after="0"/>
              <w:rPr>
                <w:sz w:val="20"/>
                <w:szCs w:val="20"/>
                <w:color w:val="auto"/>
              </w:rPr>
            </w:pPr>
            <w:r>
              <w:rPr>
                <w:rFonts w:ascii="Arial" w:cs="Arial" w:eastAsia="Arial" w:hAnsi="Arial"/>
                <w:sz w:val="20"/>
                <w:szCs w:val="20"/>
                <w:color w:val="auto"/>
              </w:rPr>
              <w:t>US SoC Benchmark (chemo) mPFS is ~3.4</w:t>
            </w:r>
          </w:p>
        </w:tc>
      </w:tr>
      <w:tr>
        <w:trPr>
          <w:trHeight w:val="257"/>
        </w:trPr>
        <w:tc>
          <w:tcPr>
            <w:tcW w:w="2820" w:type="dxa"/>
            <w:vAlign w:val="bottom"/>
            <w:tcBorders>
              <w:left w:val="single" w:sz="8" w:color="BFBFBF"/>
              <w:right w:val="single" w:sz="8" w:color="BFBFBF"/>
            </w:tcBorders>
          </w:tcPr>
          <w:p>
            <w:pPr>
              <w:ind w:left="120"/>
              <w:spacing w:after="0"/>
              <w:rPr>
                <w:sz w:val="20"/>
                <w:szCs w:val="20"/>
                <w:color w:val="auto"/>
              </w:rPr>
            </w:pPr>
            <w:r>
              <w:rPr>
                <w:rFonts w:ascii="Arial" w:cs="Arial" w:eastAsia="Arial" w:hAnsi="Arial"/>
                <w:sz w:val="20"/>
                <w:szCs w:val="20"/>
                <w:color w:val="auto"/>
              </w:rPr>
              <w:t>Survival (mPFS) in 700mg</w:t>
            </w:r>
          </w:p>
        </w:tc>
        <w:tc>
          <w:tcPr>
            <w:tcW w:w="2080" w:type="dxa"/>
            <w:vAlign w:val="bottom"/>
            <w:tcBorders>
              <w:right w:val="single" w:sz="8" w:color="BFBFBF"/>
            </w:tcBorders>
          </w:tcPr>
          <w:p>
            <w:pPr>
              <w:spacing w:after="0"/>
              <w:rPr>
                <w:sz w:val="22"/>
                <w:szCs w:val="22"/>
                <w:color w:val="auto"/>
              </w:rPr>
            </w:pPr>
          </w:p>
        </w:tc>
        <w:tc>
          <w:tcPr>
            <w:tcW w:w="4360" w:type="dxa"/>
            <w:vAlign w:val="bottom"/>
            <w:tcBorders>
              <w:right w:val="single" w:sz="8" w:color="BFBFBF"/>
            </w:tcBorders>
          </w:tcPr>
          <w:p>
            <w:pPr>
              <w:ind w:left="80"/>
              <w:spacing w:after="0"/>
              <w:rPr>
                <w:sz w:val="20"/>
                <w:szCs w:val="20"/>
                <w:color w:val="auto"/>
              </w:rPr>
            </w:pPr>
            <w:r>
              <w:rPr>
                <w:rFonts w:ascii="Arial" w:cs="Arial" w:eastAsia="Arial" w:hAnsi="Arial"/>
                <w:sz w:val="20"/>
                <w:szCs w:val="20"/>
                <w:color w:val="auto"/>
              </w:rPr>
              <w:t>months</w:t>
            </w:r>
          </w:p>
        </w:tc>
      </w:tr>
      <w:tr>
        <w:trPr>
          <w:trHeight w:val="261"/>
        </w:trPr>
        <w:tc>
          <w:tcPr>
            <w:tcW w:w="2820" w:type="dxa"/>
            <w:vAlign w:val="bottom"/>
            <w:tcBorders>
              <w:left w:val="single" w:sz="8" w:color="BFBFBF"/>
              <w:right w:val="single" w:sz="8" w:color="BFBFBF"/>
            </w:tcBorders>
          </w:tcPr>
          <w:p>
            <w:pPr>
              <w:ind w:left="120"/>
              <w:spacing w:after="0"/>
              <w:rPr>
                <w:sz w:val="20"/>
                <w:szCs w:val="20"/>
                <w:color w:val="auto"/>
              </w:rPr>
            </w:pPr>
            <w:r>
              <w:rPr>
                <w:rFonts w:ascii="Arial" w:cs="Arial" w:eastAsia="Arial" w:hAnsi="Arial"/>
                <w:sz w:val="20"/>
                <w:szCs w:val="20"/>
                <w:color w:val="auto"/>
              </w:rPr>
              <w:t>tagmokitug dose arm</w:t>
            </w:r>
          </w:p>
        </w:tc>
        <w:tc>
          <w:tcPr>
            <w:tcW w:w="2080" w:type="dxa"/>
            <w:vAlign w:val="bottom"/>
            <w:tcBorders>
              <w:right w:val="single" w:sz="8" w:color="BFBFBF"/>
            </w:tcBorders>
          </w:tcPr>
          <w:p>
            <w:pPr>
              <w:spacing w:after="0"/>
              <w:rPr>
                <w:sz w:val="22"/>
                <w:szCs w:val="22"/>
                <w:color w:val="auto"/>
              </w:rPr>
            </w:pPr>
          </w:p>
        </w:tc>
        <w:tc>
          <w:tcPr>
            <w:tcW w:w="4360" w:type="dxa"/>
            <w:vAlign w:val="bottom"/>
            <w:tcBorders>
              <w:right w:val="single" w:sz="8" w:color="BFBFBF"/>
            </w:tcBorders>
          </w:tcPr>
          <w:p>
            <w:pPr>
              <w:spacing w:after="0"/>
              <w:rPr>
                <w:sz w:val="22"/>
                <w:szCs w:val="22"/>
                <w:color w:val="auto"/>
              </w:rPr>
            </w:pPr>
          </w:p>
        </w:tc>
      </w:tr>
      <w:tr>
        <w:trPr>
          <w:trHeight w:val="98"/>
        </w:trPr>
        <w:tc>
          <w:tcPr>
            <w:tcW w:w="2820" w:type="dxa"/>
            <w:vAlign w:val="bottom"/>
            <w:tcBorders>
              <w:left w:val="single" w:sz="8" w:color="BFBFBF"/>
              <w:bottom w:val="single" w:sz="8" w:color="BFBFBF"/>
              <w:right w:val="single" w:sz="8" w:color="BFBFBF"/>
            </w:tcBorders>
          </w:tcPr>
          <w:p>
            <w:pPr>
              <w:spacing w:after="0"/>
              <w:rPr>
                <w:sz w:val="8"/>
                <w:szCs w:val="8"/>
                <w:color w:val="auto"/>
              </w:rPr>
            </w:pPr>
          </w:p>
        </w:tc>
        <w:tc>
          <w:tcPr>
            <w:tcW w:w="2080" w:type="dxa"/>
            <w:vAlign w:val="bottom"/>
            <w:tcBorders>
              <w:bottom w:val="single" w:sz="8" w:color="BFBFBF"/>
              <w:right w:val="single" w:sz="8" w:color="BFBFBF"/>
            </w:tcBorders>
          </w:tcPr>
          <w:p>
            <w:pPr>
              <w:spacing w:after="0"/>
              <w:rPr>
                <w:sz w:val="8"/>
                <w:szCs w:val="8"/>
                <w:color w:val="auto"/>
              </w:rPr>
            </w:pPr>
          </w:p>
        </w:tc>
        <w:tc>
          <w:tcPr>
            <w:tcW w:w="4360" w:type="dxa"/>
            <w:vAlign w:val="bottom"/>
            <w:tcBorders>
              <w:bottom w:val="single" w:sz="8" w:color="BFBFBF"/>
              <w:right w:val="single" w:sz="8" w:color="BFBFBF"/>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111760</wp:posOffset>
            </wp:positionV>
            <wp:extent cx="3446145" cy="24860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4614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Figure 2. Second-line ESCC swimmer plot by randomized tagmokitug dose. </w:t>
      </w:r>
      <w:r>
        <w:rPr>
          <w:rFonts w:ascii="Arial" w:cs="Arial" w:eastAsia="Arial" w:hAnsi="Arial"/>
          <w:sz w:val="20"/>
          <w:szCs w:val="20"/>
          <w:b w:val="1"/>
          <w:bCs w:val="1"/>
          <w:i w:val="1"/>
          <w:iCs w:val="1"/>
          <w:color w:val="auto"/>
        </w:rPr>
        <w:t>Data as of October 14, 2026</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Interim Results in Other Indications</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2060" w:type="dxa"/>
            <w:vAlign w:val="bottom"/>
            <w:tcBorders>
              <w:top w:val="single" w:sz="8" w:color="BFBFBF"/>
              <w:left w:val="single" w:sz="8" w:color="BFBFBF"/>
              <w:right w:val="single" w:sz="8" w:color="BFBFBF"/>
            </w:tcBorders>
          </w:tcPr>
          <w:p>
            <w:pPr>
              <w:ind w:left="120"/>
              <w:spacing w:after="0"/>
              <w:rPr>
                <w:sz w:val="20"/>
                <w:szCs w:val="20"/>
                <w:color w:val="auto"/>
              </w:rPr>
            </w:pPr>
            <w:r>
              <w:rPr>
                <w:rFonts w:ascii="Arial" w:cs="Arial" w:eastAsia="Arial" w:hAnsi="Arial"/>
                <w:sz w:val="20"/>
                <w:szCs w:val="20"/>
                <w:b w:val="1"/>
                <w:bCs w:val="1"/>
                <w:color w:val="auto"/>
              </w:rPr>
              <w:t>Cohort</w:t>
            </w:r>
          </w:p>
        </w:tc>
        <w:tc>
          <w:tcPr>
            <w:tcW w:w="2240" w:type="dxa"/>
            <w:vAlign w:val="bottom"/>
            <w:tcBorders>
              <w:top w:val="single" w:sz="8" w:color="BFBFBF"/>
              <w:right w:val="single" w:sz="8" w:color="BFBFBF"/>
            </w:tcBorders>
          </w:tcPr>
          <w:p>
            <w:pPr>
              <w:jc w:val="center"/>
              <w:spacing w:after="0"/>
              <w:rPr>
                <w:sz w:val="20"/>
                <w:szCs w:val="20"/>
                <w:color w:val="auto"/>
              </w:rPr>
            </w:pPr>
            <w:r>
              <w:rPr>
                <w:rFonts w:ascii="Arial" w:cs="Arial" w:eastAsia="Arial" w:hAnsi="Arial"/>
                <w:sz w:val="20"/>
                <w:szCs w:val="20"/>
                <w:b w:val="1"/>
                <w:bCs w:val="1"/>
                <w:color w:val="auto"/>
                <w:w w:val="98"/>
              </w:rPr>
              <w:t>Population</w:t>
            </w:r>
          </w:p>
        </w:tc>
        <w:tc>
          <w:tcPr>
            <w:tcW w:w="4980" w:type="dxa"/>
            <w:vAlign w:val="bottom"/>
            <w:tcBorders>
              <w:top w:val="single" w:sz="8" w:color="BFBFBF"/>
              <w:right w:val="single" w:sz="8" w:color="BFBFBF"/>
            </w:tcBorders>
          </w:tcPr>
          <w:p>
            <w:pPr>
              <w:ind w:left="100"/>
              <w:spacing w:after="0"/>
              <w:rPr>
                <w:sz w:val="20"/>
                <w:szCs w:val="20"/>
                <w:color w:val="auto"/>
              </w:rPr>
            </w:pPr>
            <w:r>
              <w:rPr>
                <w:rFonts w:ascii="Arial" w:cs="Arial" w:eastAsia="Arial" w:hAnsi="Arial"/>
                <w:sz w:val="20"/>
                <w:szCs w:val="20"/>
                <w:b w:val="1"/>
                <w:bCs w:val="1"/>
                <w:color w:val="auto"/>
              </w:rPr>
              <w:t>Interim findings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60" w:type="dxa"/>
            <w:vAlign w:val="bottom"/>
            <w:tcBorders>
              <w:left w:val="single" w:sz="8" w:color="BFBFBF"/>
              <w:bottom w:val="single" w:sz="8" w:color="BFBFBF"/>
              <w:right w:val="single" w:sz="8" w:color="BFBFBF"/>
            </w:tcBorders>
          </w:tcPr>
          <w:p>
            <w:pPr>
              <w:spacing w:after="0"/>
              <w:rPr>
                <w:sz w:val="7"/>
                <w:szCs w:val="7"/>
                <w:color w:val="auto"/>
              </w:rPr>
            </w:pPr>
          </w:p>
        </w:tc>
        <w:tc>
          <w:tcPr>
            <w:tcW w:w="2240" w:type="dxa"/>
            <w:vAlign w:val="bottom"/>
            <w:tcBorders>
              <w:bottom w:val="single" w:sz="8" w:color="BFBFBF"/>
              <w:right w:val="single" w:sz="8" w:color="BFBFBF"/>
            </w:tcBorders>
          </w:tcPr>
          <w:p>
            <w:pPr>
              <w:spacing w:after="0"/>
              <w:rPr>
                <w:sz w:val="7"/>
                <w:szCs w:val="7"/>
                <w:color w:val="auto"/>
              </w:rPr>
            </w:pPr>
          </w:p>
        </w:tc>
        <w:tc>
          <w:tcPr>
            <w:tcW w:w="4980" w:type="dxa"/>
            <w:vAlign w:val="bottom"/>
            <w:tcBorders>
              <w:bottom w:val="single" w:sz="8" w:color="BFBFBF"/>
              <w:right w:val="single" w:sz="8" w:color="BFBFBF"/>
            </w:tcBorders>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60" w:type="dxa"/>
            <w:vAlign w:val="bottom"/>
            <w:tcBorders>
              <w:left w:val="single" w:sz="8" w:color="BFBFBF"/>
              <w:right w:val="single" w:sz="8" w:color="BFBFBF"/>
            </w:tcBorders>
          </w:tcPr>
          <w:p>
            <w:pPr>
              <w:ind w:left="120"/>
              <w:spacing w:after="0"/>
              <w:rPr>
                <w:sz w:val="20"/>
                <w:szCs w:val="20"/>
                <w:color w:val="auto"/>
              </w:rPr>
            </w:pPr>
            <w:r>
              <w:rPr>
                <w:rFonts w:ascii="Arial" w:cs="Arial" w:eastAsia="Arial" w:hAnsi="Arial"/>
                <w:sz w:val="20"/>
                <w:szCs w:val="20"/>
                <w:b w:val="1"/>
                <w:bCs w:val="1"/>
                <w:color w:val="auto"/>
              </w:rPr>
              <w:t>2L HNSCC</w:t>
            </w:r>
          </w:p>
        </w:tc>
        <w:tc>
          <w:tcPr>
            <w:tcW w:w="2240" w:type="dxa"/>
            <w:vAlign w:val="bottom"/>
            <w:tcBorders>
              <w:right w:val="single" w:sz="8" w:color="BFBFBF"/>
            </w:tcBorders>
          </w:tcPr>
          <w:p>
            <w:pPr>
              <w:jc w:val="center"/>
              <w:spacing w:after="0"/>
              <w:rPr>
                <w:sz w:val="20"/>
                <w:szCs w:val="20"/>
                <w:color w:val="auto"/>
              </w:rPr>
            </w:pPr>
            <w:r>
              <w:rPr>
                <w:rFonts w:ascii="Arial" w:cs="Arial" w:eastAsia="Arial" w:hAnsi="Arial"/>
                <w:sz w:val="20"/>
                <w:szCs w:val="20"/>
                <w:color w:val="auto"/>
                <w:w w:val="98"/>
              </w:rPr>
              <w:t>43 treated; 23 HPV-</w:t>
            </w:r>
          </w:p>
        </w:tc>
        <w:tc>
          <w:tcPr>
            <w:tcW w:w="4980" w:type="dxa"/>
            <w:vAlign w:val="bottom"/>
            <w:tcBorders>
              <w:right w:val="single" w:sz="8" w:color="BFBFBF"/>
            </w:tcBorders>
          </w:tcPr>
          <w:p>
            <w:pPr>
              <w:ind w:left="100"/>
              <w:spacing w:after="0"/>
              <w:rPr>
                <w:sz w:val="20"/>
                <w:szCs w:val="20"/>
                <w:color w:val="auto"/>
              </w:rPr>
            </w:pPr>
            <w:r>
              <w:rPr>
                <w:rFonts w:ascii="Arial" w:cs="Arial" w:eastAsia="Arial" w:hAnsi="Arial"/>
                <w:sz w:val="20"/>
                <w:szCs w:val="20"/>
                <w:color w:val="auto"/>
              </w:rPr>
              <w:t>In HPV-positive disease across doses, 13.0% cORR</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Borders>
              <w:left w:val="single" w:sz="8" w:color="BFBFBF"/>
              <w:right w:val="single" w:sz="8" w:color="BFBFBF"/>
            </w:tcBorders>
            <w:vMerge w:val="restart"/>
          </w:tcPr>
          <w:p>
            <w:pPr>
              <w:ind w:left="120"/>
              <w:spacing w:after="0"/>
              <w:rPr>
                <w:sz w:val="20"/>
                <w:szCs w:val="20"/>
                <w:color w:val="auto"/>
              </w:rPr>
            </w:pPr>
            <w:r>
              <w:rPr>
                <w:rFonts w:ascii="Arial" w:cs="Arial" w:eastAsia="Arial" w:hAnsi="Arial"/>
                <w:sz w:val="20"/>
                <w:szCs w:val="20"/>
                <w:color w:val="auto"/>
              </w:rPr>
              <w:t>Two tagmokitug</w:t>
            </w:r>
          </w:p>
        </w:tc>
        <w:tc>
          <w:tcPr>
            <w:tcW w:w="2240" w:type="dxa"/>
            <w:vAlign w:val="bottom"/>
            <w:tcBorders>
              <w:right w:val="single" w:sz="8" w:color="BFBFBF"/>
            </w:tcBorders>
          </w:tcPr>
          <w:p>
            <w:pPr>
              <w:jc w:val="center"/>
              <w:spacing w:after="0"/>
              <w:rPr>
                <w:sz w:val="20"/>
                <w:szCs w:val="20"/>
                <w:color w:val="auto"/>
              </w:rPr>
            </w:pPr>
            <w:r>
              <w:rPr>
                <w:rFonts w:ascii="Arial" w:cs="Arial" w:eastAsia="Arial" w:hAnsi="Arial"/>
                <w:sz w:val="20"/>
                <w:szCs w:val="20"/>
                <w:color w:val="auto"/>
                <w:w w:val="99"/>
              </w:rPr>
              <w:t>positive efficacy</w:t>
            </w:r>
          </w:p>
        </w:tc>
        <w:tc>
          <w:tcPr>
            <w:tcW w:w="4980" w:type="dxa"/>
            <w:vAlign w:val="bottom"/>
            <w:tcBorders>
              <w:right w:val="single" w:sz="8" w:color="BFBFBF"/>
            </w:tcBorders>
          </w:tcPr>
          <w:p>
            <w:pPr>
              <w:ind w:left="100"/>
              <w:spacing w:after="0"/>
              <w:rPr>
                <w:sz w:val="20"/>
                <w:szCs w:val="20"/>
                <w:color w:val="auto"/>
              </w:rPr>
            </w:pPr>
            <w:r>
              <w:rPr>
                <w:rFonts w:ascii="Arial" w:cs="Arial" w:eastAsia="Arial" w:hAnsi="Arial"/>
                <w:sz w:val="20"/>
                <w:szCs w:val="20"/>
                <w:color w:val="auto"/>
              </w:rPr>
              <w:t>(3/23) and 26.1% CBR (6/23);</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BFBFBF"/>
              <w:right w:val="single" w:sz="8" w:color="BFBFBF"/>
            </w:tcBorders>
            <w:vMerge w:val="continue"/>
          </w:tcPr>
          <w:p>
            <w:pPr>
              <w:spacing w:after="0"/>
              <w:rPr>
                <w:sz w:val="9"/>
                <w:szCs w:val="9"/>
                <w:color w:val="auto"/>
              </w:rPr>
            </w:pPr>
          </w:p>
        </w:tc>
        <w:tc>
          <w:tcPr>
            <w:tcW w:w="2240" w:type="dxa"/>
            <w:vAlign w:val="bottom"/>
            <w:tcBorders>
              <w:right w:val="single" w:sz="8" w:color="BFBFBF"/>
            </w:tcBorders>
            <w:vMerge w:val="restart"/>
          </w:tcPr>
          <w:p>
            <w:pPr>
              <w:jc w:val="center"/>
              <w:spacing w:after="0"/>
              <w:rPr>
                <w:sz w:val="20"/>
                <w:szCs w:val="20"/>
                <w:color w:val="auto"/>
              </w:rPr>
            </w:pPr>
            <w:r>
              <w:rPr>
                <w:rFonts w:ascii="Arial" w:cs="Arial" w:eastAsia="Arial" w:hAnsi="Arial"/>
                <w:sz w:val="20"/>
                <w:szCs w:val="20"/>
                <w:color w:val="auto"/>
                <w:w w:val="98"/>
              </w:rPr>
              <w:t>evaluable</w:t>
            </w:r>
          </w:p>
        </w:tc>
        <w:tc>
          <w:tcPr>
            <w:tcW w:w="4980" w:type="dxa"/>
            <w:vAlign w:val="bottom"/>
            <w:tcBorders>
              <w:right w:val="single" w:sz="8" w:color="BFBFBF"/>
            </w:tcBorders>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60" w:type="dxa"/>
            <w:vAlign w:val="bottom"/>
            <w:tcBorders>
              <w:left w:val="single" w:sz="8" w:color="BFBFBF"/>
              <w:right w:val="single" w:sz="8" w:color="BFBFBF"/>
            </w:tcBorders>
            <w:vMerge w:val="restart"/>
          </w:tcPr>
          <w:p>
            <w:pPr>
              <w:ind w:left="120"/>
              <w:spacing w:after="0"/>
              <w:rPr>
                <w:sz w:val="20"/>
                <w:szCs w:val="20"/>
                <w:color w:val="auto"/>
              </w:rPr>
            </w:pPr>
            <w:r>
              <w:rPr>
                <w:rFonts w:ascii="Arial" w:cs="Arial" w:eastAsia="Arial" w:hAnsi="Arial"/>
                <w:sz w:val="20"/>
                <w:szCs w:val="20"/>
                <w:color w:val="auto"/>
              </w:rPr>
              <w:t>doses (700 mg and</w:t>
            </w:r>
          </w:p>
        </w:tc>
        <w:tc>
          <w:tcPr>
            <w:tcW w:w="2240" w:type="dxa"/>
            <w:vAlign w:val="bottom"/>
            <w:tcBorders>
              <w:right w:val="single" w:sz="8" w:color="BFBFBF"/>
            </w:tcBorders>
            <w:vMerge w:val="continue"/>
          </w:tcPr>
          <w:p>
            <w:pPr>
              <w:spacing w:after="0"/>
              <w:rPr>
                <w:sz w:val="13"/>
                <w:szCs w:val="13"/>
                <w:color w:val="auto"/>
              </w:rPr>
            </w:pPr>
          </w:p>
        </w:tc>
        <w:tc>
          <w:tcPr>
            <w:tcW w:w="4980" w:type="dxa"/>
            <w:vAlign w:val="bottom"/>
            <w:tcBorders>
              <w:right w:val="single" w:sz="8" w:color="BFBFBF"/>
            </w:tcBorders>
            <w:vMerge w:val="restart"/>
          </w:tcPr>
          <w:p>
            <w:pPr>
              <w:ind w:left="100"/>
              <w:spacing w:after="0"/>
              <w:rPr>
                <w:sz w:val="20"/>
                <w:szCs w:val="20"/>
                <w:color w:val="auto"/>
              </w:rPr>
            </w:pPr>
            <w:r>
              <w:rPr>
                <w:rFonts w:ascii="Arial" w:cs="Arial" w:eastAsia="Arial" w:hAnsi="Arial"/>
                <w:sz w:val="20"/>
                <w:szCs w:val="20"/>
                <w:color w:val="auto"/>
              </w:rPr>
              <w:t>Additional potential enrichment strategy based on</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60" w:type="dxa"/>
            <w:vAlign w:val="bottom"/>
            <w:tcBorders>
              <w:left w:val="single" w:sz="8" w:color="BFBFBF"/>
              <w:right w:val="single" w:sz="8" w:color="BFBFBF"/>
            </w:tcBorders>
            <w:vMerge w:val="continue"/>
          </w:tcPr>
          <w:p>
            <w:pPr>
              <w:spacing w:after="0"/>
              <w:rPr>
                <w:sz w:val="8"/>
                <w:szCs w:val="8"/>
                <w:color w:val="auto"/>
              </w:rPr>
            </w:pPr>
          </w:p>
        </w:tc>
        <w:tc>
          <w:tcPr>
            <w:tcW w:w="2240" w:type="dxa"/>
            <w:vAlign w:val="bottom"/>
            <w:tcBorders>
              <w:right w:val="single" w:sz="8" w:color="BFBFBF"/>
            </w:tcBorders>
          </w:tcPr>
          <w:p>
            <w:pPr>
              <w:spacing w:after="0"/>
              <w:rPr>
                <w:sz w:val="8"/>
                <w:szCs w:val="8"/>
                <w:color w:val="auto"/>
              </w:rPr>
            </w:pPr>
          </w:p>
        </w:tc>
        <w:tc>
          <w:tcPr>
            <w:tcW w:w="4980" w:type="dxa"/>
            <w:vAlign w:val="bottom"/>
            <w:tcBorders>
              <w:right w:val="single" w:sz="8" w:color="BFBFBF"/>
            </w:tcBorders>
            <w:vMerge w:val="continue"/>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60" w:type="dxa"/>
            <w:vAlign w:val="bottom"/>
            <w:tcBorders>
              <w:left w:val="single" w:sz="8" w:color="BFBFBF"/>
              <w:right w:val="single" w:sz="8" w:color="BFBFBF"/>
            </w:tcBorders>
          </w:tcPr>
          <w:p>
            <w:pPr>
              <w:ind w:left="120"/>
              <w:spacing w:after="0"/>
              <w:rPr>
                <w:sz w:val="20"/>
                <w:szCs w:val="20"/>
                <w:color w:val="auto"/>
              </w:rPr>
            </w:pPr>
            <w:r>
              <w:rPr>
                <w:rFonts w:ascii="Arial" w:cs="Arial" w:eastAsia="Arial" w:hAnsi="Arial"/>
                <w:sz w:val="20"/>
                <w:szCs w:val="20"/>
                <w:color w:val="auto"/>
              </w:rPr>
              <w:t>300 mg) plus</w:t>
            </w:r>
          </w:p>
        </w:tc>
        <w:tc>
          <w:tcPr>
            <w:tcW w:w="2240" w:type="dxa"/>
            <w:vAlign w:val="bottom"/>
            <w:tcBorders>
              <w:right w:val="single" w:sz="8" w:color="BFBFBF"/>
            </w:tcBorders>
          </w:tcPr>
          <w:p>
            <w:pPr>
              <w:spacing w:after="0"/>
              <w:rPr>
                <w:sz w:val="22"/>
                <w:szCs w:val="22"/>
                <w:color w:val="auto"/>
              </w:rPr>
            </w:pPr>
          </w:p>
        </w:tc>
        <w:tc>
          <w:tcPr>
            <w:tcW w:w="4980" w:type="dxa"/>
            <w:vAlign w:val="bottom"/>
            <w:tcBorders>
              <w:right w:val="single" w:sz="8" w:color="BFBFBF"/>
            </w:tcBorders>
          </w:tcPr>
          <w:p>
            <w:pPr>
              <w:ind w:left="100"/>
              <w:spacing w:after="0"/>
              <w:rPr>
                <w:sz w:val="20"/>
                <w:szCs w:val="20"/>
                <w:color w:val="auto"/>
              </w:rPr>
            </w:pPr>
            <w:r>
              <w:rPr>
                <w:rFonts w:ascii="Arial" w:cs="Arial" w:eastAsia="Arial" w:hAnsi="Arial"/>
                <w:sz w:val="20"/>
                <w:szCs w:val="20"/>
                <w:color w:val="auto"/>
              </w:rPr>
              <w:t>Tumor Immune Regulatory Index (TIRI), a tumor-</w:t>
            </w: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60" w:type="dxa"/>
            <w:vAlign w:val="bottom"/>
            <w:tcBorders>
              <w:left w:val="single" w:sz="8" w:color="BFBFBF"/>
              <w:right w:val="single" w:sz="8" w:color="BFBFBF"/>
            </w:tcBorders>
          </w:tcPr>
          <w:p>
            <w:pPr>
              <w:ind w:left="120"/>
              <w:spacing w:after="0"/>
              <w:rPr>
                <w:sz w:val="20"/>
                <w:szCs w:val="20"/>
                <w:color w:val="auto"/>
              </w:rPr>
            </w:pPr>
            <w:r>
              <w:rPr>
                <w:rFonts w:ascii="Arial" w:cs="Arial" w:eastAsia="Arial" w:hAnsi="Arial"/>
                <w:sz w:val="20"/>
                <w:szCs w:val="20"/>
                <w:color w:val="auto"/>
              </w:rPr>
              <w:t>toripalimab</w:t>
            </w:r>
          </w:p>
        </w:tc>
        <w:tc>
          <w:tcPr>
            <w:tcW w:w="2240" w:type="dxa"/>
            <w:vAlign w:val="bottom"/>
            <w:tcBorders>
              <w:right w:val="single" w:sz="8" w:color="BFBFBF"/>
            </w:tcBorders>
          </w:tcPr>
          <w:p>
            <w:pPr>
              <w:spacing w:after="0"/>
              <w:rPr>
                <w:sz w:val="22"/>
                <w:szCs w:val="22"/>
                <w:color w:val="auto"/>
              </w:rPr>
            </w:pPr>
          </w:p>
        </w:tc>
        <w:tc>
          <w:tcPr>
            <w:tcW w:w="4980" w:type="dxa"/>
            <w:vAlign w:val="bottom"/>
            <w:tcBorders>
              <w:right w:val="single" w:sz="8" w:color="BFBFBF"/>
            </w:tcBorders>
          </w:tcPr>
          <w:p>
            <w:pPr>
              <w:ind w:left="100"/>
              <w:spacing w:after="0"/>
              <w:rPr>
                <w:sz w:val="20"/>
                <w:szCs w:val="20"/>
                <w:color w:val="auto"/>
              </w:rPr>
            </w:pPr>
            <w:r>
              <w:rPr>
                <w:rFonts w:ascii="Arial" w:cs="Arial" w:eastAsia="Arial" w:hAnsi="Arial"/>
                <w:sz w:val="20"/>
                <w:szCs w:val="20"/>
                <w:color w:val="auto"/>
              </w:rPr>
              <w:t>derived CCR8-containing biomarker score, under</w:t>
            </w: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60" w:type="dxa"/>
            <w:vAlign w:val="bottom"/>
            <w:tcBorders>
              <w:left w:val="single" w:sz="8" w:color="BFBFBF"/>
              <w:right w:val="single" w:sz="8" w:color="BFBFBF"/>
            </w:tcBorders>
          </w:tcPr>
          <w:p>
            <w:pPr>
              <w:spacing w:after="0"/>
              <w:rPr>
                <w:sz w:val="21"/>
                <w:szCs w:val="21"/>
                <w:color w:val="auto"/>
              </w:rPr>
            </w:pPr>
          </w:p>
        </w:tc>
        <w:tc>
          <w:tcPr>
            <w:tcW w:w="2240" w:type="dxa"/>
            <w:vAlign w:val="bottom"/>
            <w:tcBorders>
              <w:right w:val="single" w:sz="8" w:color="BFBFBF"/>
            </w:tcBorders>
          </w:tcPr>
          <w:p>
            <w:pPr>
              <w:spacing w:after="0"/>
              <w:rPr>
                <w:sz w:val="21"/>
                <w:szCs w:val="21"/>
                <w:color w:val="auto"/>
              </w:rPr>
            </w:pPr>
          </w:p>
        </w:tc>
        <w:tc>
          <w:tcPr>
            <w:tcW w:w="4980" w:type="dxa"/>
            <w:vAlign w:val="bottom"/>
            <w:tcBorders>
              <w:right w:val="single" w:sz="8" w:color="BFBFBF"/>
            </w:tcBorders>
          </w:tcPr>
          <w:p>
            <w:pPr>
              <w:ind w:left="100"/>
              <w:spacing w:after="0"/>
              <w:rPr>
                <w:sz w:val="20"/>
                <w:szCs w:val="20"/>
                <w:color w:val="auto"/>
              </w:rPr>
            </w:pPr>
            <w:r>
              <w:rPr>
                <w:rFonts w:ascii="Arial" w:cs="Arial" w:eastAsia="Arial" w:hAnsi="Arial"/>
                <w:sz w:val="20"/>
                <w:szCs w:val="20"/>
                <w:color w:val="auto"/>
              </w:rPr>
              <w:t>evaluation; HPV+ - TIRI+ patients demonstrated a</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2060" w:type="dxa"/>
            <w:vAlign w:val="bottom"/>
            <w:tcBorders>
              <w:left w:val="single" w:sz="8" w:color="BFBFBF"/>
              <w:right w:val="single" w:sz="8" w:color="BFBFBF"/>
            </w:tcBorders>
          </w:tcPr>
          <w:p>
            <w:pPr>
              <w:spacing w:after="0"/>
              <w:rPr>
                <w:sz w:val="22"/>
                <w:szCs w:val="22"/>
                <w:color w:val="auto"/>
              </w:rPr>
            </w:pPr>
          </w:p>
        </w:tc>
        <w:tc>
          <w:tcPr>
            <w:tcW w:w="2240" w:type="dxa"/>
            <w:vAlign w:val="bottom"/>
            <w:tcBorders>
              <w:right w:val="single" w:sz="8" w:color="BFBFBF"/>
            </w:tcBorders>
          </w:tcPr>
          <w:p>
            <w:pPr>
              <w:spacing w:after="0"/>
              <w:rPr>
                <w:sz w:val="22"/>
                <w:szCs w:val="22"/>
                <w:color w:val="auto"/>
              </w:rPr>
            </w:pPr>
          </w:p>
        </w:tc>
        <w:tc>
          <w:tcPr>
            <w:tcW w:w="4980" w:type="dxa"/>
            <w:vAlign w:val="bottom"/>
            <w:tcBorders>
              <w:right w:val="single" w:sz="8" w:color="BFBFBF"/>
            </w:tcBorders>
          </w:tcPr>
          <w:p>
            <w:pPr>
              <w:ind w:left="100"/>
              <w:spacing w:after="0"/>
              <w:rPr>
                <w:sz w:val="20"/>
                <w:szCs w:val="20"/>
                <w:color w:val="auto"/>
              </w:rPr>
            </w:pPr>
            <w:r>
              <w:rPr>
                <w:rFonts w:ascii="Arial" w:cs="Arial" w:eastAsia="Arial" w:hAnsi="Arial"/>
                <w:sz w:val="20"/>
                <w:szCs w:val="20"/>
                <w:color w:val="auto"/>
              </w:rPr>
              <w:t>45% CBR (5/11).</w:t>
            </w: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60" w:type="dxa"/>
            <w:vAlign w:val="bottom"/>
            <w:tcBorders>
              <w:left w:val="single" w:sz="8" w:color="BFBFBF"/>
              <w:bottom w:val="single" w:sz="8" w:color="BFBFBF"/>
              <w:right w:val="single" w:sz="8" w:color="BFBFBF"/>
            </w:tcBorders>
          </w:tcPr>
          <w:p>
            <w:pPr>
              <w:spacing w:after="0"/>
              <w:rPr>
                <w:sz w:val="9"/>
                <w:szCs w:val="9"/>
                <w:color w:val="auto"/>
              </w:rPr>
            </w:pPr>
          </w:p>
        </w:tc>
        <w:tc>
          <w:tcPr>
            <w:tcW w:w="2240" w:type="dxa"/>
            <w:vAlign w:val="bottom"/>
            <w:tcBorders>
              <w:bottom w:val="single" w:sz="8" w:color="BFBFBF"/>
              <w:right w:val="single" w:sz="8" w:color="BFBFBF"/>
            </w:tcBorders>
          </w:tcPr>
          <w:p>
            <w:pPr>
              <w:spacing w:after="0"/>
              <w:rPr>
                <w:sz w:val="9"/>
                <w:szCs w:val="9"/>
                <w:color w:val="auto"/>
              </w:rPr>
            </w:pPr>
          </w:p>
        </w:tc>
        <w:tc>
          <w:tcPr>
            <w:tcW w:w="4980" w:type="dxa"/>
            <w:vAlign w:val="bottom"/>
            <w:tcBorders>
              <w:bottom w:val="single" w:sz="8" w:color="BFBFBF"/>
              <w:right w:val="single" w:sz="8" w:color="BFBFBF"/>
            </w:tcBorders>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60" w:type="dxa"/>
            <w:vAlign w:val="bottom"/>
            <w:tcBorders>
              <w:left w:val="single" w:sz="8" w:color="BFBFBF"/>
              <w:right w:val="single" w:sz="8" w:color="BFBFBF"/>
            </w:tcBorders>
          </w:tcPr>
          <w:p>
            <w:pPr>
              <w:ind w:left="120"/>
              <w:spacing w:after="0"/>
              <w:rPr>
                <w:sz w:val="20"/>
                <w:szCs w:val="20"/>
                <w:color w:val="auto"/>
              </w:rPr>
            </w:pPr>
            <w:r>
              <w:rPr>
                <w:rFonts w:ascii="Arial" w:cs="Arial" w:eastAsia="Arial" w:hAnsi="Arial"/>
                <w:sz w:val="20"/>
                <w:szCs w:val="20"/>
                <w:b w:val="1"/>
                <w:bCs w:val="1"/>
                <w:color w:val="auto"/>
              </w:rPr>
              <w:t>2L Upper GI:</w:t>
            </w:r>
          </w:p>
        </w:tc>
        <w:tc>
          <w:tcPr>
            <w:tcW w:w="2240" w:type="dxa"/>
            <w:vAlign w:val="bottom"/>
            <w:tcBorders>
              <w:right w:val="single" w:sz="8" w:color="BFBFBF"/>
            </w:tcBorders>
          </w:tcPr>
          <w:p>
            <w:pPr>
              <w:jc w:val="center"/>
              <w:spacing w:after="0"/>
              <w:rPr>
                <w:sz w:val="20"/>
                <w:szCs w:val="20"/>
                <w:color w:val="auto"/>
              </w:rPr>
            </w:pPr>
            <w:r>
              <w:rPr>
                <w:rFonts w:ascii="Arial" w:cs="Arial" w:eastAsia="Arial" w:hAnsi="Arial"/>
                <w:sz w:val="20"/>
                <w:szCs w:val="20"/>
                <w:color w:val="auto"/>
                <w:w w:val="98"/>
              </w:rPr>
              <w:t>40 treated; 33 efficacy</w:t>
            </w:r>
          </w:p>
        </w:tc>
        <w:tc>
          <w:tcPr>
            <w:tcW w:w="4980" w:type="dxa"/>
            <w:vAlign w:val="bottom"/>
            <w:tcBorders>
              <w:right w:val="single" w:sz="8" w:color="BFBFBF"/>
            </w:tcBorders>
          </w:tcPr>
          <w:p>
            <w:pPr>
              <w:ind w:left="100"/>
              <w:spacing w:after="0"/>
              <w:rPr>
                <w:sz w:val="20"/>
                <w:szCs w:val="20"/>
                <w:color w:val="auto"/>
              </w:rPr>
            </w:pPr>
            <w:r>
              <w:rPr>
                <w:rFonts w:ascii="Arial" w:cs="Arial" w:eastAsia="Arial" w:hAnsi="Arial"/>
                <w:sz w:val="20"/>
                <w:szCs w:val="20"/>
                <w:color w:val="auto"/>
              </w:rPr>
              <w:t>At 700 mg, 4 confirmed PRs among 17 evaluable</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60" w:type="dxa"/>
            <w:vAlign w:val="bottom"/>
            <w:tcBorders>
              <w:left w:val="single" w:sz="8" w:color="BFBFBF"/>
              <w:right w:val="single" w:sz="8" w:color="BFBFBF"/>
            </w:tcBorders>
          </w:tcPr>
          <w:p>
            <w:pPr>
              <w:ind w:left="120"/>
              <w:spacing w:after="0"/>
              <w:rPr>
                <w:sz w:val="20"/>
                <w:szCs w:val="20"/>
                <w:color w:val="auto"/>
              </w:rPr>
            </w:pPr>
            <w:r>
              <w:rPr>
                <w:rFonts w:ascii="Arial" w:cs="Arial" w:eastAsia="Arial" w:hAnsi="Arial"/>
                <w:sz w:val="20"/>
                <w:szCs w:val="20"/>
                <w:b w:val="1"/>
                <w:bCs w:val="1"/>
                <w:color w:val="auto"/>
              </w:rPr>
              <w:t>GC/GEJ/EAC</w:t>
            </w:r>
          </w:p>
        </w:tc>
        <w:tc>
          <w:tcPr>
            <w:tcW w:w="2240" w:type="dxa"/>
            <w:vAlign w:val="bottom"/>
            <w:tcBorders>
              <w:right w:val="single" w:sz="8" w:color="BFBFBF"/>
            </w:tcBorders>
          </w:tcPr>
          <w:p>
            <w:pPr>
              <w:jc w:val="center"/>
              <w:spacing w:after="0"/>
              <w:rPr>
                <w:sz w:val="20"/>
                <w:szCs w:val="20"/>
                <w:color w:val="auto"/>
              </w:rPr>
            </w:pPr>
            <w:r>
              <w:rPr>
                <w:rFonts w:ascii="Arial" w:cs="Arial" w:eastAsia="Arial" w:hAnsi="Arial"/>
                <w:sz w:val="20"/>
                <w:szCs w:val="20"/>
                <w:color w:val="auto"/>
                <w:w w:val="98"/>
              </w:rPr>
              <w:t>evaluable</w:t>
            </w:r>
          </w:p>
        </w:tc>
        <w:tc>
          <w:tcPr>
            <w:tcW w:w="4980" w:type="dxa"/>
            <w:vAlign w:val="bottom"/>
            <w:tcBorders>
              <w:right w:val="single" w:sz="8" w:color="BFBFBF"/>
            </w:tcBorders>
          </w:tcPr>
          <w:p>
            <w:pPr>
              <w:ind w:left="100"/>
              <w:spacing w:after="0"/>
              <w:rPr>
                <w:sz w:val="20"/>
                <w:szCs w:val="20"/>
                <w:color w:val="auto"/>
              </w:rPr>
            </w:pPr>
            <w:r>
              <w:rPr>
                <w:rFonts w:ascii="Arial" w:cs="Arial" w:eastAsia="Arial" w:hAnsi="Arial"/>
                <w:sz w:val="20"/>
                <w:szCs w:val="20"/>
                <w:color w:val="auto"/>
              </w:rPr>
              <w:t>patient data set (23.5% cORR), including 2 PRs in</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2060" w:type="dxa"/>
            <w:vAlign w:val="bottom"/>
            <w:tcBorders>
              <w:left w:val="single" w:sz="8" w:color="BFBFBF"/>
              <w:right w:val="single" w:sz="8" w:color="BFBFBF"/>
            </w:tcBorders>
            <w:vMerge w:val="restart"/>
          </w:tcPr>
          <w:p>
            <w:pPr>
              <w:ind w:left="120"/>
              <w:spacing w:after="0"/>
              <w:rPr>
                <w:sz w:val="20"/>
                <w:szCs w:val="20"/>
                <w:color w:val="auto"/>
              </w:rPr>
            </w:pPr>
            <w:r>
              <w:rPr>
                <w:rFonts w:ascii="Arial" w:cs="Arial" w:eastAsia="Arial" w:hAnsi="Arial"/>
                <w:sz w:val="20"/>
                <w:szCs w:val="20"/>
                <w:color w:val="auto"/>
              </w:rPr>
              <w:t>Two tagmokitug</w:t>
            </w:r>
          </w:p>
        </w:tc>
        <w:tc>
          <w:tcPr>
            <w:tcW w:w="2240" w:type="dxa"/>
            <w:vAlign w:val="bottom"/>
            <w:tcBorders>
              <w:right w:val="single" w:sz="8" w:color="BFBFBF"/>
            </w:tcBorders>
          </w:tcPr>
          <w:p>
            <w:pPr>
              <w:spacing w:after="0"/>
              <w:rPr>
                <w:sz w:val="22"/>
                <w:szCs w:val="22"/>
                <w:color w:val="auto"/>
              </w:rPr>
            </w:pPr>
          </w:p>
        </w:tc>
        <w:tc>
          <w:tcPr>
            <w:tcW w:w="4980" w:type="dxa"/>
            <w:vAlign w:val="bottom"/>
            <w:tcBorders>
              <w:right w:val="single" w:sz="8" w:color="BFBFBF"/>
            </w:tcBorders>
          </w:tcPr>
          <w:p>
            <w:pPr>
              <w:ind w:left="100"/>
              <w:spacing w:after="0"/>
              <w:rPr>
                <w:sz w:val="20"/>
                <w:szCs w:val="20"/>
                <w:color w:val="auto"/>
              </w:rPr>
            </w:pPr>
            <w:r>
              <w:rPr>
                <w:rFonts w:ascii="Arial" w:cs="Arial" w:eastAsia="Arial" w:hAnsi="Arial"/>
                <w:sz w:val="20"/>
                <w:szCs w:val="20"/>
                <w:color w:val="auto"/>
              </w:rPr>
              <w:t>EAC with follow-up continuing;</w:t>
            </w: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3"/>
        </w:trPr>
        <w:tc>
          <w:tcPr>
            <w:tcW w:w="2060" w:type="dxa"/>
            <w:vAlign w:val="bottom"/>
            <w:tcBorders>
              <w:left w:val="single" w:sz="8" w:color="BFBFBF"/>
              <w:right w:val="single" w:sz="8" w:color="BFBFBF"/>
            </w:tcBorders>
            <w:vMerge w:val="continue"/>
          </w:tcPr>
          <w:p>
            <w:pPr>
              <w:spacing w:after="0"/>
              <w:rPr>
                <w:sz w:val="8"/>
                <w:szCs w:val="8"/>
                <w:color w:val="auto"/>
              </w:rPr>
            </w:pPr>
          </w:p>
        </w:tc>
        <w:tc>
          <w:tcPr>
            <w:tcW w:w="2240" w:type="dxa"/>
            <w:vAlign w:val="bottom"/>
            <w:tcBorders>
              <w:right w:val="single" w:sz="8" w:color="BFBFBF"/>
            </w:tcBorders>
          </w:tcPr>
          <w:p>
            <w:pPr>
              <w:spacing w:after="0"/>
              <w:rPr>
                <w:sz w:val="8"/>
                <w:szCs w:val="8"/>
                <w:color w:val="auto"/>
              </w:rPr>
            </w:pPr>
          </w:p>
        </w:tc>
        <w:tc>
          <w:tcPr>
            <w:tcW w:w="4980" w:type="dxa"/>
            <w:vAlign w:val="bottom"/>
            <w:tcBorders>
              <w:right w:val="single" w:sz="8" w:color="BFBFBF"/>
            </w:tcBorders>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60" w:type="dxa"/>
            <w:vAlign w:val="bottom"/>
            <w:tcBorders>
              <w:left w:val="single" w:sz="8" w:color="BFBFBF"/>
              <w:right w:val="single" w:sz="8" w:color="BFBFBF"/>
            </w:tcBorders>
          </w:tcPr>
          <w:p>
            <w:pPr>
              <w:ind w:left="120"/>
              <w:spacing w:after="0"/>
              <w:rPr>
                <w:sz w:val="20"/>
                <w:szCs w:val="20"/>
                <w:color w:val="auto"/>
              </w:rPr>
            </w:pPr>
            <w:r>
              <w:rPr>
                <w:rFonts w:ascii="Arial" w:cs="Arial" w:eastAsia="Arial" w:hAnsi="Arial"/>
                <w:sz w:val="20"/>
                <w:szCs w:val="20"/>
                <w:color w:val="auto"/>
              </w:rPr>
              <w:t>doses (700 mg and</w:t>
            </w:r>
          </w:p>
        </w:tc>
        <w:tc>
          <w:tcPr>
            <w:tcW w:w="2240" w:type="dxa"/>
            <w:vAlign w:val="bottom"/>
            <w:tcBorders>
              <w:right w:val="single" w:sz="8" w:color="BFBFBF"/>
            </w:tcBorders>
          </w:tcPr>
          <w:p>
            <w:pPr>
              <w:spacing w:after="0"/>
              <w:rPr>
                <w:sz w:val="22"/>
                <w:szCs w:val="22"/>
                <w:color w:val="auto"/>
              </w:rPr>
            </w:pPr>
          </w:p>
        </w:tc>
        <w:tc>
          <w:tcPr>
            <w:tcW w:w="4980" w:type="dxa"/>
            <w:vAlign w:val="bottom"/>
            <w:tcBorders>
              <w:right w:val="single" w:sz="8" w:color="BFBFBF"/>
            </w:tcBorders>
          </w:tcPr>
          <w:p>
            <w:pPr>
              <w:ind w:left="100"/>
              <w:spacing w:after="0"/>
              <w:rPr>
                <w:sz w:val="20"/>
                <w:szCs w:val="20"/>
                <w:color w:val="auto"/>
              </w:rPr>
            </w:pPr>
            <w:r>
              <w:rPr>
                <w:rFonts w:ascii="Arial" w:cs="Arial" w:eastAsia="Arial" w:hAnsi="Arial"/>
                <w:sz w:val="20"/>
                <w:szCs w:val="20"/>
                <w:color w:val="auto"/>
              </w:rPr>
              <w:t>Clear dose-response;</w:t>
            </w: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60" w:type="dxa"/>
            <w:vAlign w:val="bottom"/>
            <w:tcBorders>
              <w:left w:val="single" w:sz="8" w:color="BFBFBF"/>
              <w:right w:val="single" w:sz="8" w:color="BFBFBF"/>
            </w:tcBorders>
          </w:tcPr>
          <w:p>
            <w:pPr>
              <w:ind w:left="120"/>
              <w:spacing w:after="0"/>
              <w:rPr>
                <w:sz w:val="20"/>
                <w:szCs w:val="20"/>
                <w:color w:val="auto"/>
              </w:rPr>
            </w:pPr>
            <w:r>
              <w:rPr>
                <w:rFonts w:ascii="Arial" w:cs="Arial" w:eastAsia="Arial" w:hAnsi="Arial"/>
                <w:sz w:val="20"/>
                <w:szCs w:val="20"/>
                <w:color w:val="auto"/>
              </w:rPr>
              <w:t>300 mg) plus</w:t>
            </w:r>
          </w:p>
        </w:tc>
        <w:tc>
          <w:tcPr>
            <w:tcW w:w="2240" w:type="dxa"/>
            <w:vAlign w:val="bottom"/>
            <w:tcBorders>
              <w:right w:val="single" w:sz="8" w:color="BFBFBF"/>
            </w:tcBorders>
          </w:tcPr>
          <w:p>
            <w:pPr>
              <w:spacing w:after="0"/>
              <w:rPr>
                <w:sz w:val="22"/>
                <w:szCs w:val="22"/>
                <w:color w:val="auto"/>
              </w:rPr>
            </w:pPr>
          </w:p>
        </w:tc>
        <w:tc>
          <w:tcPr>
            <w:tcW w:w="4980" w:type="dxa"/>
            <w:vAlign w:val="bottom"/>
            <w:tcBorders>
              <w:right w:val="single" w:sz="8" w:color="BFBFBF"/>
            </w:tcBorders>
            <w:vMerge w:val="restart"/>
          </w:tcPr>
          <w:p>
            <w:pPr>
              <w:ind w:left="100"/>
              <w:spacing w:after="0"/>
              <w:rPr>
                <w:sz w:val="20"/>
                <w:szCs w:val="20"/>
                <w:color w:val="auto"/>
              </w:rPr>
            </w:pPr>
            <w:r>
              <w:rPr>
                <w:rFonts w:ascii="Arial" w:cs="Arial" w:eastAsia="Arial" w:hAnsi="Arial"/>
                <w:sz w:val="20"/>
                <w:szCs w:val="20"/>
                <w:color w:val="auto"/>
              </w:rPr>
              <w:t>Demonstrated PD-1 resistance rescue at 700 mg and</w:t>
            </w: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BFBFBF"/>
              <w:right w:val="single" w:sz="8" w:color="BFBFBF"/>
            </w:tcBorders>
            <w:vMerge w:val="restart"/>
          </w:tcPr>
          <w:p>
            <w:pPr>
              <w:ind w:left="120"/>
              <w:spacing w:after="0"/>
              <w:rPr>
                <w:sz w:val="20"/>
                <w:szCs w:val="20"/>
                <w:color w:val="auto"/>
              </w:rPr>
            </w:pPr>
            <w:r>
              <w:rPr>
                <w:rFonts w:ascii="Arial" w:cs="Arial" w:eastAsia="Arial" w:hAnsi="Arial"/>
                <w:sz w:val="20"/>
                <w:szCs w:val="20"/>
                <w:color w:val="auto"/>
              </w:rPr>
              <w:t>toripalimab</w:t>
            </w:r>
          </w:p>
        </w:tc>
        <w:tc>
          <w:tcPr>
            <w:tcW w:w="2240" w:type="dxa"/>
            <w:vAlign w:val="bottom"/>
            <w:tcBorders>
              <w:right w:val="single" w:sz="8" w:color="BFBFBF"/>
            </w:tcBorders>
          </w:tcPr>
          <w:p>
            <w:pPr>
              <w:spacing w:after="0"/>
              <w:rPr>
                <w:sz w:val="9"/>
                <w:szCs w:val="9"/>
                <w:color w:val="auto"/>
              </w:rPr>
            </w:pPr>
          </w:p>
        </w:tc>
        <w:tc>
          <w:tcPr>
            <w:tcW w:w="4980" w:type="dxa"/>
            <w:vAlign w:val="bottom"/>
            <w:tcBorders>
              <w:right w:val="single" w:sz="8" w:color="BFBFBF"/>
            </w:tcBorders>
            <w:vMerge w:val="continue"/>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60" w:type="dxa"/>
            <w:vAlign w:val="bottom"/>
            <w:tcBorders>
              <w:left w:val="single" w:sz="8" w:color="BFBFBF"/>
              <w:right w:val="single" w:sz="8" w:color="BFBFBF"/>
            </w:tcBorders>
            <w:vMerge w:val="continue"/>
          </w:tcPr>
          <w:p>
            <w:pPr>
              <w:spacing w:after="0"/>
              <w:rPr>
                <w:sz w:val="13"/>
                <w:szCs w:val="13"/>
                <w:color w:val="auto"/>
              </w:rPr>
            </w:pPr>
          </w:p>
        </w:tc>
        <w:tc>
          <w:tcPr>
            <w:tcW w:w="2240" w:type="dxa"/>
            <w:vAlign w:val="bottom"/>
            <w:tcBorders>
              <w:right w:val="single" w:sz="8" w:color="BFBFBF"/>
            </w:tcBorders>
          </w:tcPr>
          <w:p>
            <w:pPr>
              <w:spacing w:after="0"/>
              <w:rPr>
                <w:sz w:val="13"/>
                <w:szCs w:val="13"/>
                <w:color w:val="auto"/>
              </w:rPr>
            </w:pPr>
          </w:p>
        </w:tc>
        <w:tc>
          <w:tcPr>
            <w:tcW w:w="4980" w:type="dxa"/>
            <w:vAlign w:val="bottom"/>
            <w:tcBorders>
              <w:right w:val="single" w:sz="8" w:color="BFBFBF"/>
            </w:tcBorders>
            <w:vMerge w:val="restart"/>
          </w:tcPr>
          <w:p>
            <w:pPr>
              <w:ind w:left="100"/>
              <w:spacing w:after="0"/>
              <w:rPr>
                <w:sz w:val="20"/>
                <w:szCs w:val="20"/>
                <w:color w:val="auto"/>
              </w:rPr>
            </w:pPr>
            <w:r>
              <w:rPr>
                <w:rFonts w:ascii="Arial" w:cs="Arial" w:eastAsia="Arial" w:hAnsi="Arial"/>
                <w:sz w:val="20"/>
                <w:szCs w:val="20"/>
                <w:color w:val="auto"/>
              </w:rPr>
              <w:t>tumor shrinkage in PD-1-refractory and naive patients;</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BFBFBF"/>
              <w:right w:val="single" w:sz="8" w:color="BFBFBF"/>
            </w:tcBorders>
          </w:tcPr>
          <w:p>
            <w:pPr>
              <w:spacing w:after="0"/>
              <w:rPr>
                <w:sz w:val="9"/>
                <w:szCs w:val="9"/>
                <w:color w:val="auto"/>
              </w:rPr>
            </w:pPr>
          </w:p>
        </w:tc>
        <w:tc>
          <w:tcPr>
            <w:tcW w:w="2240" w:type="dxa"/>
            <w:vAlign w:val="bottom"/>
            <w:tcBorders>
              <w:right w:val="single" w:sz="8" w:color="BFBFBF"/>
            </w:tcBorders>
          </w:tcPr>
          <w:p>
            <w:pPr>
              <w:spacing w:after="0"/>
              <w:rPr>
                <w:sz w:val="9"/>
                <w:szCs w:val="9"/>
                <w:color w:val="auto"/>
              </w:rPr>
            </w:pPr>
          </w:p>
        </w:tc>
        <w:tc>
          <w:tcPr>
            <w:tcW w:w="4980" w:type="dxa"/>
            <w:vAlign w:val="bottom"/>
            <w:tcBorders>
              <w:right w:val="single" w:sz="8" w:color="BFBFBF"/>
            </w:tcBorders>
            <w:vMerge w:val="continue"/>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2060" w:type="dxa"/>
            <w:vAlign w:val="bottom"/>
            <w:tcBorders>
              <w:left w:val="single" w:sz="8" w:color="BFBFBF"/>
              <w:right w:val="single" w:sz="8" w:color="BFBFBF"/>
            </w:tcBorders>
          </w:tcPr>
          <w:p>
            <w:pPr>
              <w:spacing w:after="0"/>
              <w:rPr>
                <w:sz w:val="24"/>
                <w:szCs w:val="24"/>
                <w:color w:val="auto"/>
              </w:rPr>
            </w:pPr>
          </w:p>
        </w:tc>
        <w:tc>
          <w:tcPr>
            <w:tcW w:w="2240" w:type="dxa"/>
            <w:vAlign w:val="bottom"/>
            <w:tcBorders>
              <w:right w:val="single" w:sz="8" w:color="BFBFBF"/>
            </w:tcBorders>
          </w:tcPr>
          <w:p>
            <w:pPr>
              <w:spacing w:after="0"/>
              <w:rPr>
                <w:sz w:val="24"/>
                <w:szCs w:val="24"/>
                <w:color w:val="auto"/>
              </w:rPr>
            </w:pPr>
          </w:p>
        </w:tc>
        <w:tc>
          <w:tcPr>
            <w:tcW w:w="4980" w:type="dxa"/>
            <w:vAlign w:val="bottom"/>
            <w:tcBorders>
              <w:right w:val="single" w:sz="8" w:color="BFBFBF"/>
            </w:tcBorders>
          </w:tcPr>
          <w:p>
            <w:pPr>
              <w:ind w:left="100"/>
              <w:spacing w:after="0"/>
              <w:rPr>
                <w:sz w:val="20"/>
                <w:szCs w:val="20"/>
                <w:color w:val="auto"/>
              </w:rPr>
            </w:pPr>
            <w:r>
              <w:rPr>
                <w:rFonts w:ascii="Arial" w:cs="Arial" w:eastAsia="Arial" w:hAnsi="Arial"/>
                <w:sz w:val="20"/>
                <w:szCs w:val="20"/>
                <w:color w:val="auto"/>
              </w:rPr>
              <w:t>Durable clinical benefit with a chemo-free regimen.</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60" w:type="dxa"/>
            <w:vAlign w:val="bottom"/>
            <w:tcBorders>
              <w:left w:val="single" w:sz="8" w:color="BFBFBF"/>
              <w:bottom w:val="single" w:sz="8" w:color="BFBFBF"/>
              <w:right w:val="single" w:sz="8" w:color="BFBFBF"/>
            </w:tcBorders>
          </w:tcPr>
          <w:p>
            <w:pPr>
              <w:spacing w:after="0"/>
              <w:rPr>
                <w:sz w:val="9"/>
                <w:szCs w:val="9"/>
                <w:color w:val="auto"/>
              </w:rPr>
            </w:pPr>
          </w:p>
        </w:tc>
        <w:tc>
          <w:tcPr>
            <w:tcW w:w="2240" w:type="dxa"/>
            <w:vAlign w:val="bottom"/>
            <w:tcBorders>
              <w:bottom w:val="single" w:sz="8" w:color="BFBFBF"/>
              <w:right w:val="single" w:sz="8" w:color="BFBFBF"/>
            </w:tcBorders>
          </w:tcPr>
          <w:p>
            <w:pPr>
              <w:spacing w:after="0"/>
              <w:rPr>
                <w:sz w:val="9"/>
                <w:szCs w:val="9"/>
                <w:color w:val="auto"/>
              </w:rPr>
            </w:pPr>
          </w:p>
        </w:tc>
        <w:tc>
          <w:tcPr>
            <w:tcW w:w="4980" w:type="dxa"/>
            <w:vAlign w:val="bottom"/>
            <w:tcBorders>
              <w:bottom w:val="single" w:sz="8" w:color="BFBFBF"/>
              <w:right w:val="single" w:sz="8" w:color="BFBFBF"/>
            </w:tcBorders>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3"/>
        </w:trPr>
        <w:tc>
          <w:tcPr>
            <w:tcW w:w="20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997" w:right="99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2060" w:type="dxa"/>
            <w:vAlign w:val="bottom"/>
            <w:tcBorders>
              <w:top w:val="single" w:sz="8" w:color="BFBFBF"/>
              <w:left w:val="single" w:sz="8" w:color="BFBFBF"/>
              <w:right w:val="single" w:sz="8" w:color="BFBFBF"/>
            </w:tcBorders>
          </w:tcPr>
          <w:p>
            <w:pPr>
              <w:ind w:left="120"/>
              <w:spacing w:after="0"/>
              <w:rPr>
                <w:sz w:val="20"/>
                <w:szCs w:val="20"/>
                <w:color w:val="auto"/>
              </w:rPr>
            </w:pPr>
            <w:r>
              <w:rPr>
                <w:rFonts w:ascii="Arial" w:cs="Arial" w:eastAsia="Arial" w:hAnsi="Arial"/>
                <w:sz w:val="20"/>
                <w:szCs w:val="20"/>
                <w:b w:val="1"/>
                <w:bCs w:val="1"/>
                <w:color w:val="auto"/>
              </w:rPr>
              <w:t>4L+ NLM MSS CRC</w:t>
            </w:r>
          </w:p>
        </w:tc>
        <w:tc>
          <w:tcPr>
            <w:tcW w:w="2240" w:type="dxa"/>
            <w:vAlign w:val="bottom"/>
            <w:tcBorders>
              <w:top w:val="single" w:sz="8" w:color="BFBFBF"/>
              <w:right w:val="single" w:sz="8" w:color="BFBFBF"/>
            </w:tcBorders>
          </w:tcPr>
          <w:p>
            <w:pPr>
              <w:jc w:val="center"/>
              <w:spacing w:after="0"/>
              <w:rPr>
                <w:sz w:val="20"/>
                <w:szCs w:val="20"/>
                <w:color w:val="auto"/>
              </w:rPr>
            </w:pPr>
            <w:r>
              <w:rPr>
                <w:rFonts w:ascii="Arial" w:cs="Arial" w:eastAsia="Arial" w:hAnsi="Arial"/>
                <w:sz w:val="20"/>
                <w:szCs w:val="20"/>
                <w:color w:val="auto"/>
                <w:w w:val="98"/>
              </w:rPr>
              <w:t>20 treated; 17 efficacy</w:t>
            </w:r>
          </w:p>
        </w:tc>
        <w:tc>
          <w:tcPr>
            <w:tcW w:w="4960" w:type="dxa"/>
            <w:vAlign w:val="bottom"/>
            <w:tcBorders>
              <w:top w:val="single" w:sz="8" w:color="BFBFBF"/>
              <w:right w:val="single" w:sz="8" w:color="BFBFBF"/>
            </w:tcBorders>
          </w:tcPr>
          <w:p>
            <w:pPr>
              <w:ind w:left="100"/>
              <w:spacing w:after="0"/>
              <w:rPr>
                <w:sz w:val="20"/>
                <w:szCs w:val="20"/>
                <w:color w:val="auto"/>
              </w:rPr>
            </w:pPr>
            <w:r>
              <w:rPr>
                <w:rFonts w:ascii="Arial" w:cs="Arial" w:eastAsia="Arial" w:hAnsi="Arial"/>
                <w:sz w:val="20"/>
                <w:szCs w:val="20"/>
                <w:color w:val="auto"/>
              </w:rPr>
              <w:t>5.9% cORR and 11.8% CBR, with antitumor activity</w:t>
            </w:r>
          </w:p>
        </w:tc>
        <w:tc>
          <w:tcPr>
            <w:tcW w:w="0" w:type="dxa"/>
            <w:vAlign w:val="bottom"/>
          </w:tcPr>
          <w:p>
            <w:pPr>
              <w:spacing w:after="0"/>
              <w:rPr>
                <w:sz w:val="1"/>
                <w:szCs w:val="1"/>
                <w:color w:val="auto"/>
              </w:rPr>
            </w:pPr>
          </w:p>
        </w:tc>
      </w:tr>
      <w:tr>
        <w:trPr>
          <w:trHeight w:val="256"/>
        </w:trPr>
        <w:tc>
          <w:tcPr>
            <w:tcW w:w="2060" w:type="dxa"/>
            <w:vAlign w:val="bottom"/>
            <w:tcBorders>
              <w:left w:val="single" w:sz="8" w:color="BFBFBF"/>
              <w:right w:val="single" w:sz="8" w:color="BFBFBF"/>
            </w:tcBorders>
            <w:vMerge w:val="restart"/>
          </w:tcPr>
          <w:p>
            <w:pPr>
              <w:ind w:left="120"/>
              <w:spacing w:after="0"/>
              <w:rPr>
                <w:sz w:val="20"/>
                <w:szCs w:val="20"/>
                <w:color w:val="auto"/>
              </w:rPr>
            </w:pPr>
            <w:r>
              <w:rPr>
                <w:rFonts w:ascii="Arial" w:cs="Arial" w:eastAsia="Arial" w:hAnsi="Arial"/>
                <w:sz w:val="20"/>
                <w:szCs w:val="20"/>
                <w:color w:val="auto"/>
              </w:rPr>
              <w:t>700 mg tagmokitug</w:t>
            </w:r>
          </w:p>
        </w:tc>
        <w:tc>
          <w:tcPr>
            <w:tcW w:w="2240" w:type="dxa"/>
            <w:vAlign w:val="bottom"/>
            <w:tcBorders>
              <w:right w:val="single" w:sz="8" w:color="BFBFBF"/>
            </w:tcBorders>
          </w:tcPr>
          <w:p>
            <w:pPr>
              <w:jc w:val="center"/>
              <w:spacing w:after="0"/>
              <w:rPr>
                <w:sz w:val="20"/>
                <w:szCs w:val="20"/>
                <w:color w:val="auto"/>
              </w:rPr>
            </w:pPr>
            <w:r>
              <w:rPr>
                <w:rFonts w:ascii="Arial" w:cs="Arial" w:eastAsia="Arial" w:hAnsi="Arial"/>
                <w:sz w:val="20"/>
                <w:szCs w:val="20"/>
                <w:color w:val="auto"/>
                <w:w w:val="98"/>
              </w:rPr>
              <w:t>evaluable</w:t>
            </w:r>
          </w:p>
        </w:tc>
        <w:tc>
          <w:tcPr>
            <w:tcW w:w="4960" w:type="dxa"/>
            <w:vAlign w:val="bottom"/>
            <w:tcBorders>
              <w:right w:val="single" w:sz="8" w:color="BFBFBF"/>
            </w:tcBorders>
          </w:tcPr>
          <w:p>
            <w:pPr>
              <w:ind w:left="100"/>
              <w:spacing w:after="0"/>
              <w:rPr>
                <w:sz w:val="20"/>
                <w:szCs w:val="20"/>
                <w:color w:val="auto"/>
              </w:rPr>
            </w:pPr>
            <w:r>
              <w:rPr>
                <w:rFonts w:ascii="Arial" w:cs="Arial" w:eastAsia="Arial" w:hAnsi="Arial"/>
                <w:sz w:val="20"/>
                <w:szCs w:val="20"/>
                <w:color w:val="auto"/>
              </w:rPr>
              <w:t>and molecular response (ctDNA) observed in a highly</w:t>
            </w:r>
          </w:p>
        </w:tc>
        <w:tc>
          <w:tcPr>
            <w:tcW w:w="0" w:type="dxa"/>
            <w:vAlign w:val="bottom"/>
          </w:tcPr>
          <w:p>
            <w:pPr>
              <w:spacing w:after="0"/>
              <w:rPr>
                <w:sz w:val="1"/>
                <w:szCs w:val="1"/>
                <w:color w:val="auto"/>
              </w:rPr>
            </w:pPr>
          </w:p>
        </w:tc>
      </w:tr>
      <w:tr>
        <w:trPr>
          <w:trHeight w:val="108"/>
        </w:trPr>
        <w:tc>
          <w:tcPr>
            <w:tcW w:w="2060" w:type="dxa"/>
            <w:vAlign w:val="bottom"/>
            <w:tcBorders>
              <w:left w:val="single" w:sz="8" w:color="BFBFBF"/>
              <w:right w:val="single" w:sz="8" w:color="BFBFBF"/>
            </w:tcBorders>
            <w:vMerge w:val="continue"/>
          </w:tcPr>
          <w:p>
            <w:pPr>
              <w:spacing w:after="0"/>
              <w:rPr>
                <w:sz w:val="9"/>
                <w:szCs w:val="9"/>
                <w:color w:val="auto"/>
              </w:rPr>
            </w:pPr>
          </w:p>
        </w:tc>
        <w:tc>
          <w:tcPr>
            <w:tcW w:w="2240" w:type="dxa"/>
            <w:vAlign w:val="bottom"/>
            <w:tcBorders>
              <w:right w:val="single" w:sz="8" w:color="BFBFBF"/>
            </w:tcBorders>
          </w:tcPr>
          <w:p>
            <w:pPr>
              <w:spacing w:after="0"/>
              <w:rPr>
                <w:sz w:val="9"/>
                <w:szCs w:val="9"/>
                <w:color w:val="auto"/>
              </w:rPr>
            </w:pPr>
          </w:p>
        </w:tc>
        <w:tc>
          <w:tcPr>
            <w:tcW w:w="4960" w:type="dxa"/>
            <w:vAlign w:val="bottom"/>
            <w:tcBorders>
              <w:right w:val="single" w:sz="8" w:color="BFBFBF"/>
            </w:tcBorders>
            <w:vMerge w:val="restart"/>
          </w:tcPr>
          <w:p>
            <w:pPr>
              <w:ind w:left="100"/>
              <w:spacing w:after="0"/>
              <w:rPr>
                <w:sz w:val="20"/>
                <w:szCs w:val="20"/>
                <w:color w:val="auto"/>
              </w:rPr>
            </w:pPr>
            <w:r>
              <w:rPr>
                <w:rFonts w:ascii="Arial" w:cs="Arial" w:eastAsia="Arial" w:hAnsi="Arial"/>
                <w:sz w:val="20"/>
                <w:szCs w:val="20"/>
                <w:color w:val="auto"/>
              </w:rPr>
              <w:t>refractory, IO-nonresponsive population with follow-up</w:t>
            </w:r>
          </w:p>
        </w:tc>
        <w:tc>
          <w:tcPr>
            <w:tcW w:w="0" w:type="dxa"/>
            <w:vAlign w:val="bottom"/>
          </w:tcPr>
          <w:p>
            <w:pPr>
              <w:spacing w:after="0"/>
              <w:rPr>
                <w:sz w:val="1"/>
                <w:szCs w:val="1"/>
                <w:color w:val="auto"/>
              </w:rPr>
            </w:pPr>
          </w:p>
        </w:tc>
      </w:tr>
      <w:tr>
        <w:trPr>
          <w:trHeight w:val="135"/>
        </w:trPr>
        <w:tc>
          <w:tcPr>
            <w:tcW w:w="2060" w:type="dxa"/>
            <w:vAlign w:val="bottom"/>
            <w:tcBorders>
              <w:left w:val="single" w:sz="8" w:color="BFBFBF"/>
              <w:right w:val="single" w:sz="8" w:color="BFBFBF"/>
            </w:tcBorders>
            <w:vMerge w:val="restart"/>
          </w:tcPr>
          <w:p>
            <w:pPr>
              <w:ind w:left="120"/>
              <w:spacing w:after="0"/>
              <w:rPr>
                <w:sz w:val="20"/>
                <w:szCs w:val="20"/>
                <w:color w:val="auto"/>
              </w:rPr>
            </w:pPr>
            <w:r>
              <w:rPr>
                <w:rFonts w:ascii="Arial" w:cs="Arial" w:eastAsia="Arial" w:hAnsi="Arial"/>
                <w:sz w:val="20"/>
                <w:szCs w:val="20"/>
                <w:color w:val="auto"/>
              </w:rPr>
              <w:t>dose plus</w:t>
            </w:r>
          </w:p>
        </w:tc>
        <w:tc>
          <w:tcPr>
            <w:tcW w:w="2240" w:type="dxa"/>
            <w:vAlign w:val="bottom"/>
            <w:tcBorders>
              <w:right w:val="single" w:sz="8" w:color="BFBFBF"/>
            </w:tcBorders>
          </w:tcPr>
          <w:p>
            <w:pPr>
              <w:spacing w:after="0"/>
              <w:rPr>
                <w:sz w:val="11"/>
                <w:szCs w:val="11"/>
                <w:color w:val="auto"/>
              </w:rPr>
            </w:pPr>
          </w:p>
        </w:tc>
        <w:tc>
          <w:tcPr>
            <w:tcW w:w="4960" w:type="dxa"/>
            <w:vAlign w:val="bottom"/>
            <w:tcBorders>
              <w:right w:val="single" w:sz="8" w:color="BFBFB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BFBFBF"/>
              <w:right w:val="single" w:sz="8" w:color="BFBFBF"/>
            </w:tcBorders>
            <w:vMerge w:val="continue"/>
          </w:tcPr>
          <w:p>
            <w:pPr>
              <w:spacing w:after="0"/>
              <w:rPr>
                <w:sz w:val="9"/>
                <w:szCs w:val="9"/>
                <w:color w:val="auto"/>
              </w:rPr>
            </w:pPr>
          </w:p>
        </w:tc>
        <w:tc>
          <w:tcPr>
            <w:tcW w:w="2240" w:type="dxa"/>
            <w:vAlign w:val="bottom"/>
            <w:tcBorders>
              <w:right w:val="single" w:sz="8" w:color="BFBFBF"/>
            </w:tcBorders>
          </w:tcPr>
          <w:p>
            <w:pPr>
              <w:spacing w:after="0"/>
              <w:rPr>
                <w:sz w:val="9"/>
                <w:szCs w:val="9"/>
                <w:color w:val="auto"/>
              </w:rPr>
            </w:pPr>
          </w:p>
        </w:tc>
        <w:tc>
          <w:tcPr>
            <w:tcW w:w="4960" w:type="dxa"/>
            <w:vAlign w:val="bottom"/>
            <w:tcBorders>
              <w:right w:val="single" w:sz="8" w:color="BFBFBF"/>
            </w:tcBorders>
            <w:vMerge w:val="restart"/>
          </w:tcPr>
          <w:p>
            <w:pPr>
              <w:ind w:left="100"/>
              <w:spacing w:after="0"/>
              <w:rPr>
                <w:sz w:val="20"/>
                <w:szCs w:val="20"/>
                <w:color w:val="auto"/>
              </w:rPr>
            </w:pPr>
            <w:r>
              <w:rPr>
                <w:rFonts w:ascii="Arial" w:cs="Arial" w:eastAsia="Arial" w:hAnsi="Arial"/>
                <w:sz w:val="20"/>
                <w:szCs w:val="20"/>
                <w:color w:val="auto"/>
              </w:rPr>
              <w:t>continuing.</w:t>
            </w:r>
          </w:p>
        </w:tc>
        <w:tc>
          <w:tcPr>
            <w:tcW w:w="0" w:type="dxa"/>
            <w:vAlign w:val="bottom"/>
          </w:tcPr>
          <w:p>
            <w:pPr>
              <w:spacing w:after="0"/>
              <w:rPr>
                <w:sz w:val="1"/>
                <w:szCs w:val="1"/>
                <w:color w:val="auto"/>
              </w:rPr>
            </w:pPr>
          </w:p>
        </w:tc>
      </w:tr>
      <w:tr>
        <w:trPr>
          <w:trHeight w:val="153"/>
        </w:trPr>
        <w:tc>
          <w:tcPr>
            <w:tcW w:w="2060" w:type="dxa"/>
            <w:vAlign w:val="bottom"/>
            <w:tcBorders>
              <w:left w:val="single" w:sz="8" w:color="BFBFBF"/>
              <w:right w:val="single" w:sz="8" w:color="BFBFBF"/>
            </w:tcBorders>
            <w:vMerge w:val="restart"/>
          </w:tcPr>
          <w:p>
            <w:pPr>
              <w:ind w:left="120"/>
              <w:spacing w:after="0"/>
              <w:rPr>
                <w:sz w:val="20"/>
                <w:szCs w:val="20"/>
                <w:color w:val="auto"/>
              </w:rPr>
            </w:pPr>
            <w:r>
              <w:rPr>
                <w:rFonts w:ascii="Arial" w:cs="Arial" w:eastAsia="Arial" w:hAnsi="Arial"/>
                <w:sz w:val="20"/>
                <w:szCs w:val="20"/>
                <w:color w:val="auto"/>
              </w:rPr>
              <w:t>toripalimab</w:t>
            </w:r>
          </w:p>
        </w:tc>
        <w:tc>
          <w:tcPr>
            <w:tcW w:w="2240" w:type="dxa"/>
            <w:vAlign w:val="bottom"/>
            <w:tcBorders>
              <w:right w:val="single" w:sz="8" w:color="BFBFBF"/>
            </w:tcBorders>
          </w:tcPr>
          <w:p>
            <w:pPr>
              <w:spacing w:after="0"/>
              <w:rPr>
                <w:sz w:val="13"/>
                <w:szCs w:val="13"/>
                <w:color w:val="auto"/>
              </w:rPr>
            </w:pPr>
          </w:p>
        </w:tc>
        <w:tc>
          <w:tcPr>
            <w:tcW w:w="4960" w:type="dxa"/>
            <w:vAlign w:val="bottom"/>
            <w:tcBorders>
              <w:right w:val="single" w:sz="8" w:color="BFBFB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BFBFBF"/>
              <w:right w:val="single" w:sz="8" w:color="BFBFBF"/>
            </w:tcBorders>
            <w:vMerge w:val="continue"/>
          </w:tcPr>
          <w:p>
            <w:pPr>
              <w:spacing w:after="0"/>
              <w:rPr>
                <w:sz w:val="9"/>
                <w:szCs w:val="9"/>
                <w:color w:val="auto"/>
              </w:rPr>
            </w:pPr>
          </w:p>
        </w:tc>
        <w:tc>
          <w:tcPr>
            <w:tcW w:w="2240" w:type="dxa"/>
            <w:vAlign w:val="bottom"/>
            <w:tcBorders>
              <w:right w:val="single" w:sz="8" w:color="BFBFBF"/>
            </w:tcBorders>
          </w:tcPr>
          <w:p>
            <w:pPr>
              <w:spacing w:after="0"/>
              <w:rPr>
                <w:sz w:val="9"/>
                <w:szCs w:val="9"/>
                <w:color w:val="auto"/>
              </w:rPr>
            </w:pPr>
          </w:p>
        </w:tc>
        <w:tc>
          <w:tcPr>
            <w:tcW w:w="4960" w:type="dxa"/>
            <w:vAlign w:val="bottom"/>
            <w:tcBorders>
              <w:right w:val="single" w:sz="8" w:color="BFBFBF"/>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60" w:type="dxa"/>
            <w:vAlign w:val="bottom"/>
            <w:tcBorders>
              <w:left w:val="single" w:sz="8" w:color="BFBFBF"/>
              <w:bottom w:val="single" w:sz="8" w:color="BFBFBF"/>
              <w:right w:val="single" w:sz="8" w:color="BFBFBF"/>
            </w:tcBorders>
          </w:tcPr>
          <w:p>
            <w:pPr>
              <w:spacing w:after="0"/>
              <w:rPr>
                <w:sz w:val="9"/>
                <w:szCs w:val="9"/>
                <w:color w:val="auto"/>
              </w:rPr>
            </w:pPr>
          </w:p>
        </w:tc>
        <w:tc>
          <w:tcPr>
            <w:tcW w:w="2240" w:type="dxa"/>
            <w:vAlign w:val="bottom"/>
            <w:tcBorders>
              <w:bottom w:val="single" w:sz="8" w:color="BFBFBF"/>
              <w:right w:val="single" w:sz="8" w:color="BFBFBF"/>
            </w:tcBorders>
          </w:tcPr>
          <w:p>
            <w:pPr>
              <w:spacing w:after="0"/>
              <w:rPr>
                <w:sz w:val="9"/>
                <w:szCs w:val="9"/>
                <w:color w:val="auto"/>
              </w:rPr>
            </w:pPr>
          </w:p>
        </w:tc>
        <w:tc>
          <w:tcPr>
            <w:tcW w:w="4960" w:type="dxa"/>
            <w:vAlign w:val="bottom"/>
            <w:tcBorders>
              <w:bottom w:val="single" w:sz="8" w:color="BFBFBF"/>
              <w:right w:val="single" w:sz="8" w:color="BFBFBF"/>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Safety and Tolerability</w:t>
      </w:r>
    </w:p>
    <w:p>
      <w:pPr>
        <w:spacing w:after="0" w:line="3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Tagmokitug demonstrated a manageable safety profile across the TREGCHECK™ clinical program. In 33 patients with monotherapy, no dose-limiting toxicities were observed through the 1200 mg every-three-week dose level, and no Grade 5 treatment-related adverse events were reported.</w:t>
      </w:r>
    </w:p>
    <w:p>
      <w:pPr>
        <w:spacing w:after="0" w:line="233" w:lineRule="exact"/>
        <w:rPr>
          <w:sz w:val="20"/>
          <w:szCs w:val="20"/>
          <w:color w:val="auto"/>
        </w:rPr>
      </w:pPr>
    </w:p>
    <w:p>
      <w:pPr>
        <w:ind w:right="100"/>
        <w:spacing w:after="0" w:line="249" w:lineRule="auto"/>
        <w:rPr>
          <w:sz w:val="20"/>
          <w:szCs w:val="20"/>
          <w:color w:val="auto"/>
        </w:rPr>
      </w:pPr>
      <w:r>
        <w:rPr>
          <w:rFonts w:ascii="Arial" w:cs="Arial" w:eastAsia="Arial" w:hAnsi="Arial"/>
          <w:sz w:val="20"/>
          <w:szCs w:val="20"/>
          <w:color w:val="auto"/>
        </w:rPr>
        <w:t>In more than 120 patients treated with tagmokitug in combination with toripalimab, no new safety signals beyond those associated with PD-1/immune checkpoint inhibitor therapy were identified. Most adverse events were Grade 1 or 2 and resolved, and safety was comparable across tagmokitug dose levels. Among 120 patients treated with tagmokitug plus toripalimab, the overall rate of immune-related adverse events (irAEs) was 40% (for all grades), with 20% experiencing Grade 3-5 irAEs. The most commonly reported TRAEs were infusion-related reactions (25.0%), fatigue (19.2%) and rash (15.8%). No Grade 5 treatment-related adverse events were reported.</w:t>
      </w:r>
    </w:p>
    <w:p>
      <w:pPr>
        <w:spacing w:after="0" w:line="220" w:lineRule="exact"/>
        <w:rPr>
          <w:sz w:val="20"/>
          <w:szCs w:val="20"/>
          <w:color w:val="auto"/>
        </w:rPr>
      </w:pPr>
    </w:p>
    <w:p>
      <w:pPr>
        <w:ind w:right="380"/>
        <w:spacing w:after="0" w:line="259" w:lineRule="auto"/>
        <w:rPr>
          <w:sz w:val="20"/>
          <w:szCs w:val="20"/>
          <w:color w:val="auto"/>
        </w:rPr>
      </w:pPr>
      <w:r>
        <w:rPr>
          <w:rFonts w:ascii="Arial" w:cs="Arial" w:eastAsia="Arial" w:hAnsi="Arial"/>
          <w:sz w:val="20"/>
          <w:szCs w:val="20"/>
          <w:color w:val="auto"/>
        </w:rPr>
        <w:t>In the first-line ESCC cohort, 10 patients treated with tagmokitug in combination with toripalimab and chemotherapy demonstrated a manageable safety profile, with no new safety signals or Grade 5 treatment-emergent adverse events observed. Most adverse events were attributed to chemotherapy and the treatment discontinuation rate is similar to the approved regimens for PD-1 inhibitors with chemotherapy.</w:t>
      </w:r>
    </w:p>
    <w:p>
      <w:pPr>
        <w:spacing w:after="0" w:line="209" w:lineRule="exact"/>
        <w:rPr>
          <w:sz w:val="20"/>
          <w:szCs w:val="20"/>
          <w:color w:val="auto"/>
        </w:rPr>
      </w:pPr>
    </w:p>
    <w:p>
      <w:pPr>
        <w:ind w:right="620"/>
        <w:spacing w:after="0" w:line="271" w:lineRule="auto"/>
        <w:rPr>
          <w:sz w:val="20"/>
          <w:szCs w:val="20"/>
          <w:color w:val="auto"/>
        </w:rPr>
      </w:pPr>
      <w:r>
        <w:rPr>
          <w:rFonts w:ascii="Arial" w:cs="Arial" w:eastAsia="Arial" w:hAnsi="Arial"/>
          <w:sz w:val="20"/>
          <w:szCs w:val="20"/>
          <w:color w:val="auto"/>
        </w:rPr>
        <w:t>Tagmokitug is an investigational product candidate and has not been approved by the U.S. Food and Drug Administration or any other regulatory authority. Its safety and efficacy have not been established.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Toripalimab is an investigational product candidate in these indications in the United States.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Clinical Development and Next Steps</w:t>
      </w:r>
    </w:p>
    <w:p>
      <w:pPr>
        <w:spacing w:after="0" w:line="33" w:lineRule="exact"/>
        <w:rPr>
          <w:sz w:val="20"/>
          <w:szCs w:val="20"/>
          <w:color w:val="auto"/>
        </w:rPr>
      </w:pPr>
    </w:p>
    <w:p>
      <w:pPr>
        <w:ind w:right="680"/>
        <w:spacing w:after="0" w:line="244" w:lineRule="auto"/>
        <w:rPr>
          <w:sz w:val="20"/>
          <w:szCs w:val="20"/>
          <w:color w:val="auto"/>
        </w:rPr>
      </w:pPr>
      <w:r>
        <w:rPr>
          <w:rFonts w:ascii="Arial" w:cs="Arial" w:eastAsia="Arial" w:hAnsi="Arial"/>
          <w:sz w:val="20"/>
          <w:szCs w:val="20"/>
          <w:color w:val="auto"/>
        </w:rPr>
        <w:t>Based on the interim findings, Coherus plans to expand enrollment in first-line and second-line ESCC and continue to evaluate the durability of response, progression-free survival and biomarker findings across indications as the data mature.</w:t>
      </w:r>
    </w:p>
    <w:p>
      <w:pPr>
        <w:spacing w:after="0" w:line="1" w:lineRule="exact"/>
        <w:rPr>
          <w:sz w:val="20"/>
          <w:szCs w:val="20"/>
          <w:color w:val="auto"/>
        </w:rPr>
      </w:pPr>
    </w:p>
    <w:p>
      <w:pPr>
        <w:ind w:right="740"/>
        <w:spacing w:after="0" w:line="267" w:lineRule="auto"/>
        <w:rPr>
          <w:sz w:val="20"/>
          <w:szCs w:val="20"/>
          <w:color w:val="auto"/>
        </w:rPr>
      </w:pPr>
      <w:r>
        <w:rPr>
          <w:rFonts w:ascii="Arial" w:cs="Arial" w:eastAsia="Arial" w:hAnsi="Arial"/>
          <w:sz w:val="20"/>
          <w:szCs w:val="20"/>
          <w:color w:val="auto"/>
        </w:rPr>
        <w:t>Coherus is also advancing tagmokitug in combinations beyond PD-1 inhibition, including a planned study evaluating the safety of tagmokitug with a T-cell engager in mCRPC.</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 Information</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When: Wednesday, October 28, 2026, from 4:30 p.m. to 6:00 p.m. Eastern Daylight Time.</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To access the webcast, please pre-register through the following link to receive dial-in information and a personal</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PIN to access the live call: </w:t>
      </w:r>
      <w:r>
        <w:rPr>
          <w:rFonts w:ascii="Arial" w:cs="Arial" w:eastAsia="Arial" w:hAnsi="Arial"/>
          <w:sz w:val="20"/>
          <w:szCs w:val="20"/>
          <w:color w:val="0070C0"/>
        </w:rPr>
        <w:t>https://register-conf.media-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0070C0"/>
        </w:rPr>
        <w:t>server.com/register/BI40122fadb7e849969b28a667a784d035.</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Webcast: </w:t>
      </w:r>
      <w:r>
        <w:rPr>
          <w:rFonts w:ascii="Arial" w:cs="Arial" w:eastAsia="Arial" w:hAnsi="Arial"/>
          <w:sz w:val="20"/>
          <w:szCs w:val="20"/>
          <w:color w:val="0070C0"/>
        </w:rPr>
        <w:t>https://edge.media-server.com/mmc/p/wygfpdac.</w:t>
      </w:r>
    </w:p>
    <w:p>
      <w:pPr>
        <w:spacing w:after="0" w:line="256" w:lineRule="exact"/>
        <w:rPr>
          <w:sz w:val="20"/>
          <w:szCs w:val="20"/>
          <w:color w:val="auto"/>
        </w:rPr>
      </w:pPr>
    </w:p>
    <w:p>
      <w:pPr>
        <w:jc w:val="both"/>
        <w:ind w:right="1220"/>
        <w:spacing w:after="0" w:line="250" w:lineRule="auto"/>
        <w:rPr>
          <w:sz w:val="20"/>
          <w:szCs w:val="20"/>
          <w:color w:val="auto"/>
        </w:rPr>
      </w:pPr>
      <w:r>
        <w:rPr>
          <w:rFonts w:ascii="Arial" w:cs="Arial" w:eastAsia="Arial" w:hAnsi="Arial"/>
          <w:sz w:val="20"/>
          <w:szCs w:val="20"/>
          <w:color w:val="auto"/>
        </w:rPr>
        <w:t xml:space="preserve">A live and archived webcast will be available on the “Investors” section of the Coherus website and accompanying materials will be available after the webcast at </w:t>
      </w:r>
      <w:r>
        <w:rPr>
          <w:rFonts w:ascii="Arial" w:cs="Arial" w:eastAsia="Arial" w:hAnsi="Arial"/>
          <w:sz w:val="20"/>
          <w:szCs w:val="20"/>
          <w:color w:val="0070C0"/>
        </w:rPr>
        <w:t>https://investors.coherus.com/events-presentations.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Please log in approximately 15 minutes before the start of the webcast to ensure a timely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662305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997" w:right="99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Disclosure Information</w:t>
      </w:r>
    </w:p>
    <w:p>
      <w:pPr>
        <w:spacing w:after="0" w:line="20"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color w:val="auto"/>
        </w:rPr>
        <w:t xml:space="preserve">Coherus uses the </w:t>
      </w:r>
      <w:r>
        <w:rPr>
          <w:rFonts w:ascii="Arial" w:cs="Arial" w:eastAsia="Arial" w:hAnsi="Arial"/>
          <w:sz w:val="20"/>
          <w:szCs w:val="20"/>
          <w:color w:val="0070C0"/>
        </w:rPr>
        <w:t>https://investors.coherus.com </w:t>
      </w:r>
      <w:r>
        <w:rPr>
          <w:rFonts w:ascii="Arial" w:cs="Arial" w:eastAsia="Arial" w:hAnsi="Arial"/>
          <w:sz w:val="20"/>
          <w:szCs w:val="20"/>
          <w:color w:val="auto"/>
        </w:rPr>
        <w:t>website as a means of disclosing material non-public information and for complying with its disclosure obligations under Regulation FD. </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Tagmokitug</w:t>
      </w:r>
    </w:p>
    <w:p>
      <w:pPr>
        <w:spacing w:after="0" w:line="33"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 xml:space="preserve">Tagmokitug is an investigational monoclonal antibody that selectively targets CCR8, a receptor highly enriched on regulatory T cells within the tumor microenvironment. Tagmokitug is currently being evaluated in Phase 1b/2a clinical trials (TREGCHECK™ 101: </w:t>
      </w:r>
      <w:r>
        <w:rPr>
          <w:rFonts w:ascii="Arial" w:cs="Arial" w:eastAsia="Arial" w:hAnsi="Arial"/>
          <w:sz w:val="20"/>
          <w:szCs w:val="20"/>
          <w:color w:val="0070C0"/>
        </w:rPr>
        <w:t>NCT05635643</w:t>
      </w:r>
      <w:r>
        <w:rPr>
          <w:rFonts w:ascii="Arial" w:cs="Arial" w:eastAsia="Arial" w:hAnsi="Arial"/>
          <w:sz w:val="20"/>
          <w:szCs w:val="20"/>
          <w:color w:val="auto"/>
        </w:rPr>
        <w:t xml:space="preserve">; TREGCHECK™ 102: </w:t>
      </w:r>
      <w:r>
        <w:rPr>
          <w:rFonts w:ascii="Arial" w:cs="Arial" w:eastAsia="Arial" w:hAnsi="Arial"/>
          <w:sz w:val="20"/>
          <w:szCs w:val="20"/>
          <w:color w:val="0070C0"/>
        </w:rPr>
        <w:t>NCT06657144</w:t>
      </w:r>
      <w:r>
        <w:rPr>
          <w:rFonts w:ascii="Arial" w:cs="Arial" w:eastAsia="Arial" w:hAnsi="Arial"/>
          <w:sz w:val="20"/>
          <w:szCs w:val="20"/>
          <w:color w:val="auto"/>
        </w:rPr>
        <w:t>) in patients with solid tumors in combination with the PD-1 inhibitor toripalimab and chemotherapy. It is part of Coherus Oncology’s next-generation immunotherapy pipeline being evaluated across multiple solid tumor settings.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Coherus Oncology</w:t>
      </w:r>
    </w:p>
    <w:p>
      <w:pPr>
        <w:spacing w:after="0" w:line="245"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color w:val="auto"/>
        </w:rPr>
        <w:t>Coherus Oncology is a fully integrated commercial-stage innovative oncology company with an approved next-generation programmed death receptor-1 (“PD-1”) inhibitor, LOQTORZI® (toripalimab-tpzi), and a pipeline that includes two mid-stage clinical candidates targeting liver, prostate, head and neck, colorectal and other cancers. The Company’s strategy is to grow sales of LOQTORZI in R/M Nasopharyngeal Carcinoma and advance the development of its two pipeline candidates in combination with LOQTORZI and through strategic partnerships.</w:t>
      </w:r>
    </w:p>
    <w:p>
      <w:pPr>
        <w:spacing w:after="0" w:line="197"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color w:val="auto"/>
        </w:rPr>
        <w:t>Coherus’ innovative oncology pipeline includes multiple antibody immunotherapy candidates focused on enhancing the innate and adaptive immune responses to enable a robust antitumor response and improve outcomes for patients with cancer. Tagmokitug is a highly selective cytolytic anti-CCR8 antibody currently in Phase 1b/2a studies in patients with advanced solid tumors; including head and neck squamous cell carcinoma, colorectal cancer, gastric, gastroesophageal junction, esophageal adenocarcinoma and esophageal squamous cell carcinoma. Casdozokitug is a novel IL-27 antagonistic antibody currently being evaluated in a Phase 2 study in patients with first-line hepatocellular carcinoma.</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LOQTORZI® is a registered trademark of Coherus Oncology,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©2026 Coherus Oncology, Inc. All rights reserved.</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0"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Except for the historical information contained herein, the matters set forth in this presentation and any accompanying commentary from the management of Coherus Oncology, Inc. (“Coherus”) are forward-looking statements within the meaning of the “safe harbor” provisions of the Private Securities Litigation Reform Act of 1995. Forward-looking statements contained in this presentation may be identified by the use of words such as “anticipate,” “may,” “will,” “should,” “expect,” “could,” “intend,” “project,” “target,” “estimate,” “predict,” or “potential” or the negative of these terms or other similar expressions. These statements include, but are not limited to statements about the development plan for tagmokitug; ability of any of Coherus’s pipeline product candidates to be first-to-market, first-to-data or first in-class or best in class; the initiation, timing and progress of preclinical and clinical studies; future data readouts or catalysts based on the clinical trials of Coherus; market size, market value, addressable market or opportunity and the number of patients or incidence for particular indications; standard of care expectations; future collaborations; the degree of unmet need for particular indications; and the assumptions underlying or relating to such statements.</w:t>
      </w:r>
    </w:p>
    <w:p>
      <w:pPr>
        <w:spacing w:after="0" w:line="1"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Such forward-looking statements involve substantial risks and uncertainties that could cause Coherus’s actual results, performance or achievements to differ significantly from any future results, performance or achievements expressed or implied by the forward-looking statements. Such risks and uncertainties include, among other things, the risks and uncertainties inherent with clinical research and commercialization; the risks and uncertainties of the clinical development and regulatory approval process; risks related to Coherus’s ability to increase sales of LOQTORZI or expand LOQTORZI into other indications; the risk that Coherus is unable to complete commercial transactions in a timely manner or at all; risks and uncertainties in executing collaboration agreements and other joint ventures, including particular risks of working with international partners; the risk of Coherus’s dependence on an ability to raise funds, which may not be available on acceptable terms or at all; the risks and uncertainties of the degree of market acceptance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479425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993" w:right="1039" w:bottom="1440" w:gutter="0" w:footer="0" w:header="0"/>
        </w:sectPr>
      </w:pPr>
    </w:p>
    <w:bookmarkStart w:id="11" w:name="page12"/>
    <w:bookmarkEnd w:id="11"/>
    <w:p>
      <w:pPr>
        <w:spacing w:after="0" w:line="248" w:lineRule="auto"/>
        <w:rPr>
          <w:sz w:val="20"/>
          <w:szCs w:val="20"/>
          <w:color w:val="auto"/>
        </w:rPr>
      </w:pPr>
      <w:r>
        <w:rPr>
          <w:rFonts w:ascii="Arial" w:cs="Arial" w:eastAsia="Arial" w:hAnsi="Arial"/>
          <w:sz w:val="20"/>
          <w:szCs w:val="20"/>
          <w:color w:val="auto"/>
        </w:rPr>
        <w:t>for Coherus’s product and product candidates by physicians, healthcare providers and patients; and the risks and uncertainties of litigation. For a further discussion of these and other factors that could cause Coherus’s future results to differ materially from any forward-looking statements see the section entitled “Risk Factors” in Coherus’s Quarterly Report on Form 10-Q for the quarter ended June 30, 2026, filed with the Securities and Exchange Commission (“SEC”) on August 5, 2026, as updated by Coherus’s subsequent reports filed with the SEC. Any forward-looking statements speak only as of the date of this presentation and are made based on the current plans, estimates, good faith beliefs and judgments of Coherus management, and the reader is cautioned not to rely on any forward-looking statements made by Coherus. Unless required by law, Coherus is not under any duty and undertakes no obligation to publicly update or revise any forward-looking statement to reflect changes in underlying assumptions or factors, of new information, data or methods, future events or other changes. Coherus’s past performance should not be considered to be a guarantee of future results.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Coherus Oncology Contact Information:</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For Investors: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Carrie Graham</w:t>
      </w:r>
    </w:p>
    <w:p>
      <w:pPr>
        <w:spacing w:after="0"/>
        <w:rPr>
          <w:sz w:val="20"/>
          <w:szCs w:val="20"/>
          <w:color w:val="auto"/>
        </w:rPr>
      </w:pPr>
      <w:r>
        <w:rPr>
          <w:rFonts w:ascii="Arial" w:cs="Arial" w:eastAsia="Arial" w:hAnsi="Arial"/>
          <w:sz w:val="20"/>
          <w:szCs w:val="20"/>
          <w:color w:val="auto"/>
        </w:rPr>
        <w:t>Vice President, Investor Relations &amp; Advocacy</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IR@coherus.com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490855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00"/>
      </w:cols>
      <w:pgMar w:left="980" w:top="995"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2026-10-29T07:11:51Z</dcterms:created>
  <dcterms:modified xsi:type="dcterms:W3CDTF">2026-10-29T07:11:51Z</dcterms:modified>
</cp:coreProperties>
</file>