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944-1_424b5.htm"/>
        <w:bookmarkStart w:id="1" w:name="kstm2623944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283"/>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283"/>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333-291520</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 Prospectus dated December 8, 2025)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9813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81325" cy="7239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a sales agreement with Leerink Partners LLC, or Leerink Partners, dated as of August 28, 2026, relating to shares of our common stock, $0.0001 par value per share, offered by this prospectus supplement and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Market under the symbol “CHRS.” On August 27, 2026, the last reported sale price of our common stock on the Nasdaq Global Market was $1.46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sales agreement, Leerink Partners may sell the common stock by any methods deemed to be an “at the market” offering as defined in Rule 415 promulgated under the Securities Act of 1933, as amended, or the Securities Act, including sales made directly on the Nasdaq Global Market, or as otherwise agreed upon by Leerink Partners and us. Leerink Partners is not required to sell any specific amount of securities, but will act as sales agent using its commercially reasonable efforts consistent with its normal trading and sales practices, on mutually agreed terms between Leerink Partners and us. There is no arrangement for funds to be received in any escrow, trust or similar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to Leerink Partners for sales of common stock sold pursuant to the sales agreement will be an amount up to 3.0% of the gross proceeds of any shares of common stock sold under the sales agreement. In connection with the sale of the common stock on our behalf, Leerink Partners will be deemed to be an “underwriter” within the meaning of the Securities Act and the compensation of Leerink Partners will be deemed to be underwriting commissions or discounts. We have agreed to reimburse Leerink Partners for certain of its out-of-pocket expenses. We have also agreed to provide indemnification and contribution to Leerink Partners with respect to certain liabilities, including liabilities under the Securities Act or the Securities Exchange Act of 1934, as amended, or the Exchange Act.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a high degree of risk. Before making an investment decision, please read the information under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20"/>
        </w:rPr>
        <w:t xml:space="preserve"> of this prospectus supplement and in the documents incorporated by reference into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Leerink Partners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August 28,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12"/>
        <w:gridCol w:w="109"/>
        <w:gridCol w:w="109"/>
        <w:gridCol w:w="109"/>
        <w:gridCol w:w="109"/>
        <w:gridCol w:w="57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6" w:type="dxa"/>
            <w:tcBorders/>
            <w:shd w:fill="CCEEFF" w:val="clear"/>
            <w:vAlign w:val="center"/>
          </w:tcPr>
          <w:p>
            <w:pPr>
              <w:pStyle w:val="TableContents"/>
              <w:bidi w:val="0"/>
              <w:spacing w:before="0" w:after="283"/>
              <w:jc w:val="right"/>
              <w:rPr/>
            </w:pPr>
            <w:hyperlink w:anchor="sATPS">
              <w:r>
                <w:rPr>
                  <w:rStyle w:val="InternetLink"/>
                  <w:spacing w:val="4"/>
                </w:rPr>
                <w:t>S-1</w:t>
              </w:r>
            </w:hyperlink>
            <w:hyperlink w:anchor="s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hyperlink w:anchor="sPSS">
              <w:r>
                <w:rPr>
                  <w:rStyle w:val="InternetLink"/>
                  <w:spacing w:val="4"/>
                </w:rPr>
                <w:t>S-3</w:t>
              </w:r>
            </w:hyperlink>
            <w:hyperlink w:anchor="sPS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6" w:type="dxa"/>
            <w:tcBorders/>
            <w:shd w:fill="CCEEFF" w:val="cle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s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hyperlink w:anchor="sCNRF">
              <w:r>
                <w:rPr>
                  <w:rStyle w:val="InternetLink"/>
                  <w:spacing w:val="4"/>
                </w:rPr>
                <w:t>S-7</w:t>
              </w:r>
            </w:hyperlink>
            <w:hyperlink w:anchor="s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6" w:type="dxa"/>
            <w:tcBorders/>
            <w:shd w:fill="CCEEFF" w:val="clear"/>
            <w:vAlign w:val="center"/>
          </w:tcPr>
          <w:p>
            <w:pPr>
              <w:pStyle w:val="TableContents"/>
              <w:bidi w:val="0"/>
              <w:spacing w:before="0" w:after="283"/>
              <w:jc w:val="right"/>
              <w:rPr/>
            </w:pPr>
            <w:hyperlink w:anchor="sUOP">
              <w:r>
                <w:rPr>
                  <w:rStyle w:val="InternetLink"/>
                  <w:spacing w:val="4"/>
                </w:rPr>
                <w:t>S-9</w:t>
              </w:r>
            </w:hyperlink>
            <w:hyperlink w:anchor="s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hyperlink w:anchor="sPOD">
              <w:r>
                <w:rPr>
                  <w:rStyle w:val="InternetLink"/>
                  <w:spacing w:val="4"/>
                </w:rPr>
                <w:t>S-10</w:t>
              </w:r>
            </w:hyperlink>
            <w:hyperlink w:anchor="s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6" w:type="dxa"/>
            <w:tcBorders/>
            <w:shd w:fill="CCEEFF" w:val="clear"/>
            <w:vAlign w:val="center"/>
          </w:tcPr>
          <w:p>
            <w:pPr>
              <w:pStyle w:val="TableContents"/>
              <w:bidi w:val="0"/>
              <w:spacing w:before="0" w:after="283"/>
              <w:jc w:val="right"/>
              <w:rPr/>
            </w:pPr>
            <w:hyperlink w:anchor="sLEMA">
              <w:r>
                <w:rPr>
                  <w:rStyle w:val="InternetLink"/>
                  <w:spacing w:val="4"/>
                </w:rPr>
                <w:t>S-11</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hyperlink w:anchor="sEXP">
              <w:r>
                <w:rPr>
                  <w:rStyle w:val="InternetLink"/>
                  <w:spacing w:val="4"/>
                </w:rPr>
                <w:t>S-12</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6" w:type="dxa"/>
            <w:tcBorders/>
            <w:shd w:fill="CCEEFF" w:val="clear"/>
            <w:vAlign w:val="center"/>
          </w:tcPr>
          <w:p>
            <w:pPr>
              <w:pStyle w:val="TableContents"/>
              <w:bidi w:val="0"/>
              <w:spacing w:before="0" w:after="283"/>
              <w:jc w:val="right"/>
              <w:rPr/>
            </w:pPr>
            <w:hyperlink w:anchor="sWYCF">
              <w:r>
                <w:rPr>
                  <w:rStyle w:val="InternetLink"/>
                  <w:spacing w:val="4"/>
                </w:rPr>
                <w:t>S-13</w:t>
              </w:r>
            </w:hyperlink>
            <w:hyperlink w:anchor="s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sINBR">
              <w:r>
                <w:rPr>
                  <w:rStyle w:val="InternetLink"/>
                  <w:spacing w:val="4"/>
                </w:rPr>
                <w:t xml:space="preserve">INFORMATION INCORPORATED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6" w:type="dxa"/>
            <w:tcBorders/>
            <w:vAlign w:val="center"/>
          </w:tcPr>
          <w:p>
            <w:pPr>
              <w:pStyle w:val="TableContents"/>
              <w:bidi w:val="0"/>
              <w:spacing w:before="0" w:after="283"/>
              <w:jc w:val="right"/>
              <w:rPr/>
            </w:pPr>
            <w:hyperlink w:anchor="sINBR">
              <w:r>
                <w:rPr>
                  <w:rStyle w:val="InternetLink"/>
                  <w:spacing w:val="4"/>
                </w:rPr>
                <w:t>S-14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6"/>
        <w:gridCol w:w="109"/>
        <w:gridCol w:w="109"/>
        <w:gridCol w:w="109"/>
        <w:gridCol w:w="109"/>
        <w:gridCol w:w="39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CNRF">
              <w:r>
                <w:rPr>
                  <w:rStyle w:val="InternetLink"/>
                  <w:spacing w:val="4"/>
                </w:rPr>
                <w:t>2</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WYCF">
              <w:r>
                <w:rPr>
                  <w:rStyle w:val="InternetLink"/>
                  <w:spacing w:val="4"/>
                </w:rPr>
                <w:t>4</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THCO">
              <w:r>
                <w:rPr>
                  <w:rStyle w:val="InternetLink"/>
                  <w:spacing w:val="4"/>
                </w:rPr>
                <w:t>6</w:t>
              </w:r>
            </w:hyperlink>
            <w:hyperlink w:anchor="tTH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RIFA">
              <w:r>
                <w:rPr>
                  <w:rStyle w:val="InternetLink"/>
                  <w:spacing w:val="4"/>
                </w:rPr>
                <w:t>7</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UOP">
              <w:r>
                <w:rPr>
                  <w:rStyle w:val="InternetLink"/>
                  <w:spacing w:val="4"/>
                </w:rPr>
                <w:t>8</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DOCS">
              <w:r>
                <w:rPr>
                  <w:rStyle w:val="InternetLink"/>
                  <w:spacing w:val="4"/>
                </w:rPr>
                <w:t>9</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DODS">
              <w:r>
                <w:rPr>
                  <w:rStyle w:val="InternetLink"/>
                  <w:spacing w:val="4"/>
                </w:rPr>
                <w:t>13</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DOW">
              <w:r>
                <w:rPr>
                  <w:rStyle w:val="InternetLink"/>
                  <w:spacing w:val="4"/>
                </w:rPr>
                <w:t>20</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DOU">
              <w:r>
                <w:rPr>
                  <w:rStyle w:val="InternetLink"/>
                  <w:spacing w:val="4"/>
                </w:rPr>
                <w:t>21</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GLSE">
              <w:r>
                <w:rPr>
                  <w:rStyle w:val="InternetLink"/>
                  <w:spacing w:val="4"/>
                </w:rPr>
                <w:t xml:space="preserve">GLOBAL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GLSE">
              <w:r>
                <w:rPr>
                  <w:rStyle w:val="InternetLink"/>
                  <w:spacing w:val="4"/>
                </w:rPr>
                <w:t>22</w:t>
              </w:r>
            </w:hyperlink>
            <w:hyperlink w:anchor="tGL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POD">
              <w:r>
                <w:rPr>
                  <w:rStyle w:val="InternetLink"/>
                  <w:spacing w:val="4"/>
                </w:rPr>
                <w:t>26</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LEMA">
              <w:r>
                <w:rPr>
                  <w:rStyle w:val="InternetLink"/>
                  <w:spacing w:val="4"/>
                </w:rPr>
                <w:t>28</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EXP">
              <w:r>
                <w:rPr>
                  <w:rStyle w:val="InternetLink"/>
                  <w:spacing w:val="4"/>
                </w:rPr>
                <w:t>29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describes the specific terms of this offering of our common stock and also adds to and updates the information contained in the accompanying prospectus and the documents incorporated by reference into this prospectus supplement and the accompanying prospectus. The second part is the accompanying prospectus dated December 8, 2025, included in our registration statement on </w:t>
      </w:r>
      <w:hyperlink r:id="rId3">
        <w:r>
          <w:rPr>
            <w:rStyle w:val="InternetLink"/>
          </w:rPr>
          <w:t>Form S-3 (File No. 333-291520)</w:t>
        </w:r>
      </w:hyperlink>
      <w:r>
        <w:rPr>
          <w:rFonts w:ascii="Times New Roman;Times;serif" w:hAnsi="Times New Roman;Times;serif"/>
          <w:b w:val="false"/>
          <w:i w:val="false"/>
          <w:caps w:val="false"/>
          <w:smallCaps w:val="false"/>
          <w:color w:val="000000"/>
          <w:spacing w:val="4"/>
          <w:sz w:val="20"/>
        </w:rPr>
        <w:t xml:space="preserve">, along with the documents incorporated by reference therein, which provides more general information, some of which may not apply to this offering.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(the “SEC”) before the date of this prospectus supplement, on the other hand, you should rely on the information contained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part of a “shelf” registration statement that we filed with the SEC. Under this shelf registration process, we may offer from time to time various securities, of which this offering of shares of our common stock is a part.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herein and therein, and the exhibits filed with the SEC in their entirety before making an investment decision.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Leerink Partners has not, authorized anyone to provide you with information, or to make any representation, different from that contained or incorporated by reference in this prospectus supplement and the accompanying prospectus. We and Leerink Partners take no responsibility for, and can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is accurate only as of the respective dates of those documents. Our business, financial condition, results of operations and prospects may have changed since those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and Leerink Partners is not, making an offer to sell our common stock in any jurisdiction where the offer or sale is not permitted. Neither this prospectus supplement nor the accompanying prospectus constitute, and may not be used in connection with, an offer to sell, or a solicitation of an offer to buy, any securities offered by this prospectus supplement by any person in any jurisdiction in which it is unlawful for such person to make such an offer or solicitation. You must comply with all applicable laws and regulations in force in any applicable jurisdiction and you must obtain any consent, approval or permission required by you for the purchase, offer or sale of the common stock under the laws and regulations in force in the jurisdiction to which you are subject or in which you make your purchase, offer or sale, and neither we nor Leerink Partners will have any responsibility therefor. When we refer to “Coherus,” “we,” “our,” “us” and the “Company” in this prospectus supplement, we mean Coherus Oncology, Inc. and its consolidated subsidiaries, unless otherwise specified. When we refer to “you,” we mean the potential holders of the applicable series of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Coherus Oncology, our logo and our other trade names, trademarks or service marks appearing in this prospectus supplement and documents incorporated herein by reference are the property of Coherus. This prospectus supplement and the documents incorporated by reference in this prospectus supplement also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0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contain trademarks, trade names and service marks of other companies, which are the property of their respective owners. Solely for convenience, trademarks, trade names and service marks referred to in this prospectus supplement and the documents incorporated by reference in this prospectus supplement may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TM or SM symbols, but such references are not intended to indicate, in any way, that we will not assert, to the fullest extent under applicable law, our rights or the rights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supplement and the documents incorporated by reference herein contain industry and market data obtained from periodic industry publications, third-party surveys and studies, and government and industry sources. Industry publications and surveys generally state that the information contained therein has been obtained from sources believed to be reliable. Although we believe the industry and market data to be reliable as of the date of this prospectus supplement,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Each publication, study and report speaks as of its original publication date (and not as of the date of this prospectus supplement). In addition, we do not know all of the assumptions regarding general economic conditions or growth that were used in preparing the forecasts from the sources relied upon or cited herein.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PS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this offering and selected information contained elsewhere in or incorporated by reference into this prospectus supplement or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the information incorporated by reference herein and therein, which are described under the heading “Where You Can Find More Information; Incorporation by Reference” in this prospectus supplement. You should also carefully consider the matters discussed in the sections in this prospectus supplement and in the accompanying prospectus titled “Risk Factors” and the other information that we incorporate by reference into this prospectus supplement, including the section titled “Risk Factors” in our </w:t>
      </w:r>
      <w:hyperlink r:id="rId4">
        <w:r>
          <w:rPr>
            <w:rStyle w:val="InternetLink"/>
          </w:rPr>
          <w:t>Quarterly Report on Form 10-Q for the quarterly period ended June 30, 2026</w:t>
        </w:r>
      </w:hyperlink>
      <w:r>
        <w:rPr>
          <w:rFonts w:ascii="Times New Roman;Times;serif" w:hAnsi="Times New Roman;Time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fully integrated commercial-stage innovative oncology company with an approved next-generation PD-1 inhibitor, LOQTORZI</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and a pipeline that includes two mid-stage clinical candidates targeting liver, prostate, head &amp; neck, colorectal and other cancers. Our strategy is to grow sales of LOQTORZI in nasopharyngeal cancer while advancing the development of our two pipeline candidates in combination with LOQTORZI and/or with other novel agents, and through strategic partnerships. We have global rights to both clinical-stage candidates and plan to execute ex-U.S. licensing deals as the clinical data supports such transactions. We primarily operate in the United States and partner with companies that operate in other countries.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in the State of Delaware in September 2010 under the name BioGenerics, Inc. We subsequently changed the name of the corporation in April 2012 to Coherus BioSciences, Inc. On May 29, 2025 we changed our corporate name to Coherus Oncology, Inc. to better align with our exclusive focus on proprietary innovative immuno-oncology medicines following the completion of divestitures of our biosimilar businesses and the transition to an exclusive focus on immuno-oncology. Our principal executive offices are located at 333 Twin Dolphin Drive, Suite 600, Redwood City, California 94065, and our telephone number is (650) 649-3530. Our website address is https://www.coherus.com. The information contained in or that can be accessed through our website is not part of this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us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having an aggregate offering price of up to $50,000,000.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Plan of Distribution </w:t>
      </w:r>
    </w:p>
    <w:p>
      <w:pPr>
        <w:pStyle w:val="TextBody"/>
        <w:bidi w:val="0"/>
        <w:spacing w:lineRule="atLeast" w:line="240" w:before="0" w:after="283"/>
        <w:ind w:left="4753" w:right="0" w:hanging="0"/>
        <w:jc w:val="left"/>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At the market offering” that may be made from time to time through our sales agent, Leerink Partners. See “Plan of Distribution” on page </w:t>
      </w:r>
      <w:hyperlink w:anchor="sPOD">
        <w:r>
          <w:rPr>
            <w:rStyle w:val="InternetLink"/>
          </w:rPr>
          <w:t>S-10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from this offering, if any, for general corporate purposes. See “Use of Proceeds” on page </w:t>
      </w:r>
      <w:hyperlink w:anchor="sUOP">
        <w:r>
          <w:rPr>
            <w:rStyle w:val="InternetLink"/>
          </w:rPr>
          <w:t>S-9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read the “Risk Factors” section of this prospectus supplement, the accompanying prospectus, and the documents incorporated by reference in this prospectus supplement and the accompanying prospectus for a discussion of factors to consider before deciding to purchase shares of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Symbol on the Nasdaq Global Market </w:t>
      </w:r>
    </w:p>
    <w:p>
      <w:pPr>
        <w:pStyle w:val="TextBody"/>
        <w:bidi w:val="0"/>
        <w:spacing w:lineRule="atLeast" w:line="240" w:before="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CHRS”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consider carefully the risks described below and discussed under the section captioned “Risk Factors” contained in our most recent annual report on Form 10-K and quarterly report on Form 10-Q, as updated by our subsequent filings under the Exchange Act, each of which is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team may invest or spend the proceeds of this offering in ways with which you may not agree or in ways which may not yield a significant return.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have broad discretion over the use of proceeds from this offering. We intend to use the net proceeds from this offering for general corporate purposes, which may include, among other things, increasing our working capital and funding research and development, commercial activities, and capital expenditures.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dilution.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the price per share of common stock being offered in this offering is higher than the net tangible book value per share of our outstanding common stock at the time you are purchasing shares in this offering, you will experience immediate dilution, and such dilution may be substantial.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or settlement of outstanding warrants, convertible notes and equity awards, or sale of shares under our employee stock purchase plan, would also result in further dilution of your investment.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actual number of shares of common stock we will issue under the sales agreement, at any one time or in total, is uncertain.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in the sales agreement and compliance with applicable law, we have the discretion to deliver a placement notice to our sales agent at any time throughout the term of the sales agreement. The per share price of the shares of common stock that are sold by the sales agent after delivering a placement notice will fluctuate based on the market price of our common stock during the sales period and limits we set with our sales agent. Because the price per share of each share of common stock sold will fluctuate based on the market price of our common stock during the sales period, it is not possible at this stage to predict the number of shares of common stock that will ultimately be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common stock offered hereby will be sold in “at the market offerings,” and investors who purchase shares at different times will likely pay different prices.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who purchase shares in this offering at different times will likely pay different prices, and therefore may experience different outcomes in their investment results. Although we will act in good faith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best interests of the Company, we will have discretion, subject to market demand, to vary the timing, prices and number of shares sold. In addition, subject to any restrictions we may place in any applicable placement notice delivered to Leerink Partners, there is no minimum or maximum sales price for shares to be sold in this offering. Investors may experience a decline in the value of their shares as a result of share sales made at prices lower than the prices they paid.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indebtedness could adversely affect our financial condition, our ability to raise additional capital to fund our operations, our ability to operate our business, our ability to react to changes in the economy or our industry and our ability to pay our debts and could divert our cash flow from operations for debt payments.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and debt service obligations could adversely impact our business, including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impairing our ability to generate cash sufficient to pay interest or principal, including periodic principal payments; </w:t>
      </w:r>
      <w:r>
        <mc:AlternateContent>
          <mc:Choice Requires="wps">
            <w:drawing>
              <wp:anchor behindDoc="0" distT="762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our vulnerability to general adverse economic and industry conditions;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our need to meet minimum net sales requirements when our future sales are uncertain;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requiring the dedication of a portion of our cash flow from operations to service our debt, thereby reducing the amount of our cash flow available for other purposes, including funds for clinical development or to pursue future business opportunities;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requiring us to sell debt or equity securities or to sell some of our core assets, possibly on unfavorable terms, to meet payment obligations;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limiting our flexibility in planning for, or reacting to, changes in our business and the industries in which we compete; and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placing us at a possible competitive disadvantage with less leveraged competitors and competitors that may have better access to capital resources.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foregoing factors could have negative consequences on our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indebtedness could be due sooner upon the triggering of certain covenants in our debt agreements and or upon the occurrence of an event of default. If and when our indebtedness becomes due, if we do not have sufficient cash or access to capital to pay such indebtedness, we will default on our obligations which will adversely harm our business. We entered into a Loan and Security Agreement with Innovatus Life Sciences Lending Fund I, LP, as collateral agent (the “Loan Agreement”), that contains affirmative and negative covenants that restrict our operations, including, among other restrictions, the requirement to maintain certain levels of cash and cash equivalents. Further, the Loan Agreement includes certain other affirmative covenants and negative covenants, including, covenants and restrictions that among other things, restrict our ability to incur liens, incur additional indebtedness, make investments, engage in certain mergers and acquisitions or asset sales, and declare dividends or redeem or repurchase capital stock. We may need to request waivers from time to time with respect to the Loan Agreement and if we are unable to obtain a waiver that we need it could materially impact our business and financial results.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C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documents incorporated herein by reference contain forward-looking statements, within the meaning of the Private Securities Litigation Reform Act of 1995, which reflect our current views with respect to, among other things, our operations and financial performance. Any statements that are not statements of historical facts contained in this prospectus supplement may be deemed to be forward-looking statements. In some cases, you can identify forward-looking statements by words such as “aim,” “anticipate,” “assume,” “attempt,” “believe,” “contemplate,” “continue,” “could,” “due,” “estimate,” “expect,” “goal,” “intend,” “may,” “objective,” “plan,” “predict,” “potential,” “seek,” “should,” “strive,” “target,” “will,” “would” and other similar expressions that are predictions of or indicate future events and future trends, or the negative of these terms or other comparable terminology.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statements about: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available cash, cash equivalents and marketable securities, and product sales will be sufficient to fund our planned expenditures and meet our obligations in the future; </w:t>
      </w:r>
      <w:r>
        <mc:AlternateContent>
          <mc:Choice Requires="wps">
            <w:drawing>
              <wp:anchor behindDoc="0" distT="7874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whether we will be able to continue to maintain or increase sales for our product LOQTORZI</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(toripalimab-tpzi); </w:t>
      </w:r>
      <w:r>
        <mc:AlternateContent>
          <mc:Choice Requires="wps">
            <w:drawing>
              <wp:anchor behindDoc="0" distT="787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ability to develop and commercialize our product candidates; </w:t>
      </w:r>
      <w:r>
        <mc:AlternateContent>
          <mc:Choice Requires="wps">
            <w:drawing>
              <wp:anchor behindDoc="0" distT="787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regulatory approval for our product and our ability to obtain and maintain regulatory approval of our product candidates, if and when approved; </w:t>
      </w:r>
      <w:r>
        <mc:AlternateContent>
          <mc:Choice Requires="wps">
            <w:drawing>
              <wp:anchor behindDoc="0" distT="787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government and third-party payer coverage and reimbursement; </w:t>
      </w:r>
      <w:r>
        <mc:AlternateContent>
          <mc:Choice Requires="wps">
            <w:drawing>
              <wp:anchor behindDoc="0" distT="787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manufacture our product and product candidates in conformity with regulatory requirements and to scale up manufacturing capacity of our product and product candidates for commercial supply; </w:t>
      </w:r>
      <w:r>
        <mc:AlternateContent>
          <mc:Choice Requires="wps">
            <w:drawing>
              <wp:anchor behindDoc="0" distT="787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third-party contract manufacturers to supply our product candidates and product for us; </w:t>
      </w:r>
      <w:r>
        <mc:AlternateContent>
          <mc:Choice Requires="wps">
            <w:drawing>
              <wp:anchor behindDoc="0" distT="787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potential market size and the size of the patient populations for our product and product candidates, if approved for commercial use, and expectations regarding our ability to capture a certain percentage of those markets;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about making required future interest and principal payments as they become due in connection with our debt obligations; </w:t>
      </w:r>
      <w:r>
        <mc:AlternateContent>
          <mc:Choice Requires="wps">
            <w:drawing>
              <wp:anchor behindDoc="0" distT="787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including, but not limited to, projected net revenue, cost of goods sold, research and development expenses, selling and general administrative expense, and interest expense; </w:t>
      </w:r>
      <w:r>
        <mc:AlternateContent>
          <mc:Choice Requires="wps">
            <w:drawing>
              <wp:anchor behindDoc="0" distT="787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of strategic plans for our business, product and product candidates;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initiation, timing, progress and results of future preclinical and clinical studies and our research and development programs;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of us receiving either of the $37.5 million payments we are eligible to receive as part of our divestiture of the UDENYCA franchise, depending on post-closing net sales of UDENYCA;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of protection we are able to establish and maintain for intellectual property rights covering our product and product candidates;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scope or enforceability of third-party intellectual property rights, or the applicability of such rights to our product and product candidates; </w:t>
      </w:r>
      <w:r>
        <mc:AlternateContent>
          <mc:Choice Requires="wps">
            <w:drawing>
              <wp:anchor behindDoc="0" distT="0" distB="0" distL="254000" distR="0" simplePos="0" locked="0" layoutInCell="1" allowOverlap="1" relativeHeight="26">
                <wp:simplePos x="0" y="0"/>
                <wp:positionH relativeFrom="column">
                  <wp:align>left</wp:align>
                </wp:positionH>
                <wp:positionV relativeFrom="line">
                  <wp:posOffset>635</wp:posOffset>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timing and outcomes of litigation involving our product and product candidates;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third-party contract research organizations to conduct clinical trials of our product candidates;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benefits of the use of our product and product candidates;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about potential risks, disruptions and losses from future cyberattacks and security incidents;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of our current or any future product and product candidates;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with companies who currently are producing competitor products or will produce them in the future;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and projections relating to our competitors, our market opportunity and our industry; and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the continuation of the war in Ukraine and conflicts in the Middle East on our business and prospects.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these forward-looking statements on our current expectations about future events. These statements are not guarantees of future performance and involve risks, uncertainties and assumptions that are difficult to predict. Our actual results may differ materially from those suggested by these forward-looking statements for various reasons. Given these risks and uncertainties, you are cautioned not to place undue reliance on forward-looking statements. The forward-looking statements included in this prospectus supplement are made only as of the date hereof. Except as required under federal securities laws and the rules and regulations of the SEC, we do not undertake, and specifically decline, any obligation to update any of these statements or to publicly announce the results of any revisions to any forward-looking statements after the distribution of this prospectus supplement, whether as a result of new information, future events, changes in assumptions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also contains estimates, projections, market opportunity estimates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publicly filed reports and similar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proceeds from this offering will depend upon the number of shares of our common stock sold and the market price at which they are sold. There can be no assurance that we will be able to sell any shares under or fully utilize the sales agreement with Leerink Partners as a source of financing. We intend to use the net proceeds, if any, from this offering for general corporate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and timing of our actual expenditures will depend on numerous factors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short-term, investment-grade, interest-bearing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PO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 sales agreement with Leerink Partners, under which we may issue and sell from time to time shares of our common stock through or to Leerink Partners as our sales agent or principal. Sales of our common stock, if any, will be made at market prices by any method that is deemed to be an “at the market offering” as defined in Rule 415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Leerink Partners will offer our common stock subject to the terms and conditions of the sales agreement on a daily basis or as otherwise agreed upon by us and Leerink Partners. We will designate the maximum amount of common stock to be sold through Leerink Partners on a daily basis or otherwise determine such maximum amount together with Leerink Partners. Subject to the terms and conditions of the sales agreement, Leerink Partners will use its commercially reasonable efforts to sell on our behalf all of the shares of common stock requested to be sold by us. We may instruct Leerink Partners not to sell common stock if the sales cannot be effected at or above the price designated by us in any such instruction. Leerink Partners or we may suspend the offering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compensation payable to Leerink Partners as sales agent will be up to 3.0% of the gross sales price of the shares sold through it pursuant to the sales agreement. We have also agreed to reimburse Leerink Partners up to $100,000 (in addition to certain ongoing disbursements) of actual outside legal expenses incurred by Leerink Partners in connection with this offering. We estimate that the total expenses of the offering payable by us, excluding commissions payable to Leerink Partners under the sales agreement, will be approximately $450,000.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Leerink Partners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and the net proceeds to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report at least quarterly the number of shares of common stock sold through Leerink Partners under the sales agreement and the net proceeds to us in connection with the sales of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sales of our common stock on our behalf, Leerink Partners will be deemed to be an “underwriter” within the meaning of the Securities Act, and the compensation paid to Leerink Partners will be deemed to be underwriting commissions or discounts. We have agreed in the sales agreement to provide indemnification and contribution to Leerink Partners against certain liabilities, including liabilities under the Securities Act. As sales agent, Leerink Partners will not engage in any transactions that stabilizes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Market and trades under the symbol “CHRS.” The transfer agent of our common stock is Equiniti Trust Company Shareowner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Leerink Partners and/or its affiliates have provided, and may in the future provide, various investment banking and other financial services for us for which services they have received and, may in the future receive, customary fees.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LEM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Latham &amp; Watkins LLP will pass upon certain legal matters relating to the issuance and sale of the securities offered hereby on behalf of Coherus Oncology, Inc. Leerink Partners LLC is being represented in connection with this offering by Davis Polk &amp; Wardwell LLP, Redwood City, California.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EX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Coherus Oncology, Inc. appearing in Coherus Oncology, Inc.’s </w:t>
      </w:r>
      <w:hyperlink r:id="rId5">
        <w:r>
          <w:rPr>
            <w:rStyle w:val="InternetLink"/>
          </w:rPr>
          <w:t>Annual Report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effectiveness of Coherus Oncology,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WYC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of which this prospectus supplement forms a part. The rules and regulations of the SEC allow us to omit from this prospectus supplement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the registration statement or otherwise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reports, proxy statements and other information with the SEC under the Exchange Act. You may read and copy this information from the Public Reference Room of the SEC, 100 F Street, N.E., Room 1580, Washington, D.C. 20549, at prescribed rates.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website is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INB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those documents instead of having to repeat the information in this prospectus supplement. The information incorporated by reference is considered to be part of this prospectus supplement, and later information that we file with the SEC will automatically update and supersede this information. We incorporate by reference the documents listed below and any future information filed (rather than furnished) with the SEC under Sections 13(a), 13(c), 14, or 15(d) of the Exchange Act between the date of this prospectus supplement and the termination of this offering, provided, however, that we are not incorporating any information furnished under Item 2.02 or Item 7.01 of any current report on Form 8-K: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incorporate by reference the documents set forth below that have previously been filed with the SEC: </w:t>
      </w:r>
    </w:p>
    <w:p>
      <w:pPr>
        <w:pStyle w:val="TextBody"/>
        <w:bidi w:val="0"/>
        <w:spacing w:lineRule="atLeast" w:line="240" w:before="120" w:after="0"/>
        <w:ind w:left="1993" w:right="0" w:hanging="0"/>
        <w:jc w:val="left"/>
        <w:rPr/>
      </w:pPr>
      <w:hyperlink r:id="rId6">
        <w:r>
          <w:rPr>
            <w:rStyle w:val="InternetLink"/>
          </w:rPr>
          <w:t>Our Annual Report on Form 10-K for the year ended December 31, 2025, filed with the SEC on March 9,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w:t>
      </w:r>
      <w:hyperlink r:id="rId7">
        <w:r>
          <w:rPr>
            <w:rStyle w:val="InternetLink"/>
          </w:rPr>
          <w:t>Definitive Proxy Statement on Schedule 14A, filed with the SEC on April 20,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 ended March 31, 2026, filed with the SEC on </w:t>
      </w:r>
      <w:hyperlink r:id="rId8">
        <w:r>
          <w:rPr>
            <w:rStyle w:val="InternetLink"/>
          </w:rPr>
          <w:t>May 11, 2026</w:t>
        </w:r>
      </w:hyperlink>
      <w:r>
        <w:rPr>
          <w:rFonts w:ascii="Times New Roman;Times;serif" w:hAnsi="Times New Roman;Times;serif"/>
          <w:b w:val="false"/>
          <w:i w:val="false"/>
          <w:caps w:val="false"/>
          <w:smallCaps w:val="false"/>
          <w:color w:val="000000"/>
          <w:spacing w:val="4"/>
          <w:sz w:val="20"/>
        </w:rPr>
        <w:t xml:space="preserve">, and for the quarter ended June 30, 2026, filed with the SEC on </w:t>
      </w:r>
      <w:hyperlink r:id="rId9">
        <w:r>
          <w:rPr>
            <w:rStyle w:val="InternetLink"/>
          </w:rPr>
          <w:t>August 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0">
        <w:r>
          <w:rPr>
            <w:rStyle w:val="InternetLink"/>
          </w:rPr>
          <w:t>January 23,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February 4,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February 17,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June 1,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June 15,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August 17, 2026</w:t>
        </w:r>
      </w:hyperlink>
      <w:r>
        <w:rPr>
          <w:rFonts w:ascii="Times New Roman;Times;serif" w:hAnsi="Times New Roman;Times;serif"/>
          <w:b w:val="false"/>
          <w:i w:val="false"/>
          <w:caps w:val="false"/>
          <w:smallCaps w:val="false"/>
          <w:color w:val="000000"/>
          <w:spacing w:val="4"/>
          <w:sz w:val="20"/>
        </w:rPr>
        <w:t xml:space="preserve"> and </w:t>
      </w:r>
      <w:hyperlink r:id="rId16">
        <w:r>
          <w:rPr>
            <w:rStyle w:val="InternetLink"/>
          </w:rPr>
          <w:t>August 17, 2026</w:t>
        </w:r>
      </w:hyperlink>
      <w:r>
        <w:rPr>
          <w:rFonts w:ascii="Times New Roman;Times;serif" w:hAnsi="Times New Roman;Times;serif"/>
          <w:b w:val="false"/>
          <w:i w:val="false"/>
          <w:caps w:val="false"/>
          <w:smallCaps w:val="false"/>
          <w:color w:val="000000"/>
          <w:spacing w:val="4"/>
          <w:sz w:val="20"/>
        </w:rPr>
        <w:t xml:space="preserve"> (only with respect to Item 8.01 and related exhibits filed under Item 9.01); and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w:t>
      </w:r>
      <w:hyperlink r:id="rId17">
        <w:r>
          <w:rPr>
            <w:rStyle w:val="InternetLink"/>
          </w:rPr>
          <w:t>Form 8-A, filed with the SEC on November 3, 2014</w:t>
        </w:r>
      </w:hyperlink>
      <w:r>
        <w:rPr>
          <w:rFonts w:ascii="Times New Roman;Times;serif" w:hAnsi="Times New Roman;Times;serif"/>
          <w:b w:val="false"/>
          <w:i w:val="false"/>
          <w:caps w:val="false"/>
          <w:smallCaps w:val="false"/>
          <w:color w:val="000000"/>
          <w:spacing w:val="4"/>
          <w:sz w:val="20"/>
        </w:rPr>
        <w:t xml:space="preserve">, and any amendment or report filed with the SEC for the purpose of updating the description.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reports and other documents we subsequently file pursuant to Section 13(a), 13(c), 14 or 15(d) of the Securities Exchange Act of 1934, as amended, which we refer to as the “Exchange Act” in this prospectus supplement,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documents.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supplement by writing or telephoning us at the following 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Coherus Oncology,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Twin Dolphin Drive,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Redwood City, CA 94065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(650) 649-3530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Exhibits to the filings will not be sent, however, unless those exhibits have specifically been incorporated by reference in this prospectus supplement and the accompanying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Coherus Oncology,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981325" cy="723900"/>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18"/>
                    <a:stretch>
                      <a:fillRect/>
                    </a:stretch>
                  </pic:blipFill>
                  <pic:spPr bwMode="auto">
                    <a:xfrm>
                      <a:off x="0" y="0"/>
                      <a:ext cx="2981325" cy="7239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up to $150.0 million in the aggregate of the securities identified above from time to time in one or more offerings. This prospectus provides you with a general description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RISKS. SEE THE “</w:t>
      </w:r>
      <w:r>
        <w:rPr>
          <w:rFonts w:ascii="Times New Roman;Times;serif" w:hAnsi="Times New Roman;Times;serif"/>
          <w:b/>
          <w:i w:val="false"/>
          <w:caps w:val="false"/>
          <w:smallCaps w:val="false"/>
          <w:color w:val="000000"/>
          <w:spacing w:val="-4"/>
          <w:sz w:val="20"/>
          <w:u w:val="single"/>
        </w:rPr>
        <w:t>RISK FACTORS</w:t>
      </w:r>
      <w:r>
        <w:rPr>
          <w:rFonts w:ascii="Times New Roman;Times;serif" w:hAnsi="Times New Roman;Times;serif"/>
          <w:b/>
          <w:i w:val="false"/>
          <w:caps w:val="false"/>
          <w:smallCaps w:val="false"/>
          <w:color w:val="000000"/>
          <w:spacing w:val="-4"/>
          <w:sz w:val="20"/>
        </w:rPr>
        <w:t>” ON PAGE </w:t>
      </w:r>
      <w:hyperlink w:anchor="tRIFA">
        <w:r>
          <w:rPr>
            <w:rStyle w:val="InternetLink"/>
          </w:rPr>
          <w:t>7</w:t>
        </w:r>
      </w:hyperlink>
      <w:r>
        <w:rPr>
          <w:rFonts w:ascii="Times New Roman;Times;serif" w:hAnsi="Times New Roman;Times;serif"/>
          <w:b/>
          <w:i w:val="false"/>
          <w:caps w:val="false"/>
          <w:smallCaps w:val="false"/>
          <w:color w:val="000000"/>
          <w:spacing w:val="-4"/>
          <w:sz w:val="20"/>
        </w:rPr>
        <w:t xml:space="preserve"> OF THIS PROSPECTUS AND ANY SIMILAR SECTION CONTAINED IN THE APPLICABLE PROSPECTUS SUPPLEMENT CONCERNING FACTORS YOU SHOULD CONSIDER BEFORE INVESTING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Market under the symbol “CHRS.” On November 12, 2025, the last reported sale price of our common stock on the Nasdaq Global Market was $1.36 per share.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December 8, 2025.</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OC3"/>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6"/>
        <w:gridCol w:w="109"/>
        <w:gridCol w:w="109"/>
        <w:gridCol w:w="109"/>
        <w:gridCol w:w="109"/>
        <w:gridCol w:w="39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CNRF">
              <w:r>
                <w:rPr>
                  <w:rStyle w:val="InternetLink"/>
                  <w:spacing w:val="4"/>
                </w:rPr>
                <w:t>2</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WYCF">
              <w:r>
                <w:rPr>
                  <w:rStyle w:val="InternetLink"/>
                  <w:spacing w:val="4"/>
                </w:rPr>
                <w:t>4</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THCO">
              <w:r>
                <w:rPr>
                  <w:rStyle w:val="InternetLink"/>
                  <w:spacing w:val="4"/>
                </w:rPr>
                <w:t>6</w:t>
              </w:r>
            </w:hyperlink>
            <w:hyperlink w:anchor="tTH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RIFA">
              <w:r>
                <w:rPr>
                  <w:rStyle w:val="InternetLink"/>
                  <w:spacing w:val="4"/>
                </w:rPr>
                <w:t>7</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UOP">
              <w:r>
                <w:rPr>
                  <w:rStyle w:val="InternetLink"/>
                  <w:spacing w:val="4"/>
                </w:rPr>
                <w:t>8</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DOCS">
              <w:r>
                <w:rPr>
                  <w:rStyle w:val="InternetLink"/>
                  <w:spacing w:val="4"/>
                </w:rPr>
                <w:t>9</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DODS">
              <w:r>
                <w:rPr>
                  <w:rStyle w:val="InternetLink"/>
                  <w:spacing w:val="4"/>
                </w:rPr>
                <w:t>13</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DOW">
              <w:r>
                <w:rPr>
                  <w:rStyle w:val="InternetLink"/>
                  <w:spacing w:val="4"/>
                </w:rPr>
                <w:t>20</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DOU">
              <w:r>
                <w:rPr>
                  <w:rStyle w:val="InternetLink"/>
                  <w:spacing w:val="4"/>
                </w:rPr>
                <w:t>21</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GLSE">
              <w:r>
                <w:rPr>
                  <w:rStyle w:val="InternetLink"/>
                  <w:spacing w:val="4"/>
                </w:rPr>
                <w:t xml:space="preserve">GLOBAL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GLSE">
              <w:r>
                <w:rPr>
                  <w:rStyle w:val="InternetLink"/>
                  <w:spacing w:val="4"/>
                </w:rPr>
                <w:t>22</w:t>
              </w:r>
            </w:hyperlink>
            <w:hyperlink w:anchor="tGL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POD">
              <w:r>
                <w:rPr>
                  <w:rStyle w:val="InternetLink"/>
                  <w:spacing w:val="4"/>
                </w:rPr>
                <w:t>26</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LEMA">
              <w:r>
                <w:rPr>
                  <w:rStyle w:val="InternetLink"/>
                  <w:spacing w:val="4"/>
                </w:rPr>
                <w:t>28</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EXP">
              <w:r>
                <w:rPr>
                  <w:rStyle w:val="InternetLink"/>
                  <w:spacing w:val="4"/>
                </w:rPr>
                <w:t>29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AT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“Coherus,” “we,” “our,” “us” and the “Company” in this prospectus, we mean Coherus Oncology, Inc. and its consolidated subsidiaries, unless otherwise specified. When we refer to “you,” we mean the potential holders of the applicable series of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Coherus Oncology</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our logo and our other trade names, trademarks or service marks appearing in this prospectus are the property of Coherus. This prospectus and the documents incorporated by reference herein also include trademarks, tradenames and service marks that are the property of other organizations. Solely for convenience, our trademarks and tradenames referred to in this prospectus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and ™ symbols, but those references are not intended to indicate, in any way, that we will not assert, to the fullest extent under applicable law, our rights or the right of the applicable licensor to these trademarks and tradenames.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NR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which reflect our current views with respect to, among other things, our operations and financial performance. Any statements that are not statements of historical facts contained in this prospectus may be deemed to be forward-looking statements. In some cases, you can identify forward-looking statements by words such as “aim,” “anticipate,” “assume,” “attempt,” “believe,” “contemplate,” “continue,” “could,” “due,” “estimate,” “expect,” “goal,” “intend,” “may,” “objective,” “plan,” “predict,” “potential,” “seek,” “should,” “strive,” “target,” “will,” “would” and other similar expressions that are predictions of or indicate future events and future trends, or the negative of these terms or other comparable terminology.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of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statements about: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available cash, cash equivalents and marketable securities, product sales, and ATM Offering proceeds received to date will be sufficient to fund our planned expenditures and meet our obligations in the future;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will be able to continue to maintain or increase sales for our product;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ability to develop and commercialize our product candidates;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regulatory approval for our product and our ability to obtain and maintain regulatory approval of our product candidates, if and when approved;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government and third-party payer coverage and reimbursement;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manufacture our product and product candidates in conformity with regulatory requirements and to scale up manufacturing capacity of our product and product candidates for commercial supply;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third-party contract manufacturers to supply our product candidates and product for us; </w:t>
      </w:r>
      <w:r>
        <mc:AlternateContent>
          <mc:Choice Requires="wps">
            <w:drawing>
              <wp:anchor behindDoc="0" distT="7747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potential market size and the size of the patient populations for our product and product candidates, if approved for commercial use;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about making required future interest and principal payments as they become due in connection with our debt obligations;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including, but not limited to, projected net revenue, cost of goods sold, research and development expenses, selling and general administrative expense, and interest expense;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of strategic plans for our business, product and product candidates;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initiation, timing, progress and results of future preclinical and clinical studies and our research and development programs;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of us receiving either of the $37.5 million payments we are eligible to receive as part of our divestiture of the UDENYCA franchise, depending on post-closing net sales of UDENYCA;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of protection we are able to establish and maintain for intellectual property rights covering our product and product candidates;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scope or enforceability of third-party intellectual property rights, or the applicability of such rights to our product and product candidates;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timing and outcomes of litigation involving our product and product candidates; </w:t>
      </w:r>
      <w:r>
        <mc:AlternateContent>
          <mc:Choice Requires="wps">
            <w:drawing>
              <wp:anchor behindDoc="0" distT="0" distB="0" distL="254000" distR="0" simplePos="0" locked="0" layoutInCell="1" allowOverlap="1" relativeHeight="55">
                <wp:simplePos x="0" y="0"/>
                <wp:positionH relativeFrom="column">
                  <wp:align>left</wp:align>
                </wp:positionH>
                <wp:positionV relativeFrom="line">
                  <wp:posOffset>635</wp:posOffset>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third-party contract research organizations to conduct clinical trials of our product candidates;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benefits of the use of our product and product candidates;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about potential risks, disruptions and losses from future cyberattacks and security incidents;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of our current or any future product and product candidates;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with companies who currently are producing competitor products or will produce them in the future;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and projections relating to our competitors, our market opportunity and our industry; and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the continuation of the war in Ukraine and conflicts in the Middle East on our business and prospects.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these forward-looking statements on our current expectations about future events. These statements are not guarantees of future performance and involve risks, uncertainties and assumptions that are difficult to predict. Our actual results may differ materially from those suggested by these forward-looking statements for various reasons. Given these risks and uncertainties, you are cautioned not to place undue reliance on forward-looking statements. The forward-looking statements included in this prospectus are made only as of the date hereof. Except as required under federal securities laws and the rules and regulations of the Securities and Exchange Commission (“SEC”), we do not undertake, and specifically decline, any obligation to update any of these statements or to publicly announce the results of any revisions to any forward-looking statements after the distribution of this prospectus, whether as a result of new information, future events, changes in assumptions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also contains estimates, projections, market opportunity estimates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publicly filed reports and similar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WYCF"/>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web site address is </w:t>
      </w:r>
      <w:r>
        <w:rPr>
          <w:rFonts w:ascii="Times New Roman;Times;serif" w:hAnsi="Times New Roman;Times;serif"/>
          <w:b w:val="false"/>
          <w:i/>
          <w:caps w:val="false"/>
          <w:smallCaps w:val="false"/>
          <w:color w:val="000000"/>
          <w:spacing w:val="4"/>
          <w:sz w:val="20"/>
        </w:rPr>
        <w:t>https://www.coherus.com</w:t>
      </w:r>
      <w:r>
        <w:rPr>
          <w:rFonts w:ascii="Times New Roman;Times;serif" w:hAnsi="Times New Roman;Times;serif"/>
          <w:b w:val="false"/>
          <w:i w:val="false"/>
          <w:caps w:val="false"/>
          <w:smallCaps w:val="false"/>
          <w:color w:val="000000"/>
          <w:spacing w:val="4"/>
          <w:sz w:val="20"/>
        </w:rPr>
        <w:t xml:space="preserve">. The information on our web site, however, is not, and should not be deemed to be, a part of this prospectus. We also use our website as a means of disclosing material non-public information and for complying with our disclosure obligations under Regulation FD.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prospectus supplement or a subsequently filed document incorporated by reference modifies or replaces that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accompanying prospectus supplement incorporate by reference the documents set forth below that have previously been filed with the SEC: </w:t>
      </w:r>
    </w:p>
    <w:p>
      <w:pPr>
        <w:pStyle w:val="TextBody"/>
        <w:bidi w:val="0"/>
        <w:spacing w:lineRule="atLeast" w:line="240" w:before="120" w:after="0"/>
        <w:ind w:left="1993" w:right="0" w:hanging="0"/>
        <w:jc w:val="left"/>
        <w:rPr/>
      </w:pPr>
      <w:hyperlink r:id="rId19">
        <w:r>
          <w:rPr>
            <w:rStyle w:val="InternetLink"/>
          </w:rPr>
          <w:t>Our Annual Report on Form 10-K for the year ended December 31, 2024, filed with the SEC on March 17, 2025</w:t>
        </w:r>
      </w:hyperlink>
      <w:r>
        <w:rPr>
          <w:rFonts w:ascii="Times New Roman;Times;serif" w:hAnsi="Times New Roman;Times;serif"/>
          <w:b w:val="false"/>
          <w:i w:val="false"/>
          <w:caps w:val="false"/>
          <w:smallCaps w:val="false"/>
          <w:color w:val="000000"/>
          <w:spacing w:val="4"/>
          <w:sz w:val="20"/>
        </w:rPr>
        <w:t xml:space="preserve">, as updated through our Current Report on </w:t>
      </w:r>
      <w:hyperlink r:id="rId20">
        <w:r>
          <w:rPr>
            <w:rStyle w:val="InternetLink"/>
          </w:rPr>
          <w:t>Form 8-K filed with the SEC on November 13, 2025</w:t>
        </w:r>
      </w:hyperlink>
      <w:r>
        <w:rPr>
          <w:rFonts w:ascii="Times New Roman;Times;serif" w:hAnsi="Times New Roman;Times;serif"/>
          <w:b w:val="false"/>
          <w:i w:val="false"/>
          <w:caps w:val="false"/>
          <w:smallCaps w:val="false"/>
          <w:color w:val="000000"/>
          <w:spacing w:val="4"/>
          <w:sz w:val="20"/>
        </w:rPr>
        <w:t xml:space="preserve"> solely to recast certain financial information and related disclosures included in our Annual Report.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w:t>
      </w:r>
      <w:hyperlink r:id="rId21">
        <w:r>
          <w:rPr>
            <w:rStyle w:val="InternetLink"/>
          </w:rPr>
          <w:t>Definitive Proxy Statement on Schedule 14A, filed with the SEC on April 29,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 ended March 31, 2025, filed with the SEC on </w:t>
      </w:r>
      <w:hyperlink r:id="rId22">
        <w:r>
          <w:rPr>
            <w:rStyle w:val="InternetLink"/>
          </w:rPr>
          <w:t>May 12, 2025</w:t>
        </w:r>
      </w:hyperlink>
      <w:r>
        <w:rPr>
          <w:rFonts w:ascii="Times New Roman;Times;serif" w:hAnsi="Times New Roman;Times;serif"/>
          <w:b w:val="false"/>
          <w:i w:val="false"/>
          <w:caps w:val="false"/>
          <w:smallCaps w:val="false"/>
          <w:color w:val="000000"/>
          <w:spacing w:val="4"/>
          <w:sz w:val="20"/>
        </w:rPr>
        <w:t xml:space="preserve">, for the quarter ended June 30, 2025, filed with the SEC on </w:t>
      </w:r>
      <w:hyperlink r:id="rId23">
        <w:r>
          <w:rPr>
            <w:rStyle w:val="InternetLink"/>
          </w:rPr>
          <w:t>August 7, 2025</w:t>
        </w:r>
      </w:hyperlink>
      <w:r>
        <w:rPr>
          <w:rFonts w:ascii="Times New Roman;Times;serif" w:hAnsi="Times New Roman;Times;serif"/>
          <w:b w:val="false"/>
          <w:i w:val="false"/>
          <w:caps w:val="false"/>
          <w:smallCaps w:val="false"/>
          <w:color w:val="000000"/>
          <w:spacing w:val="4"/>
          <w:sz w:val="20"/>
        </w:rPr>
        <w:t xml:space="preserve">, and for the quarter ended September 30, 2025, filed with the SEC on </w:t>
      </w:r>
      <w:hyperlink r:id="rId24">
        <w:r>
          <w:rPr>
            <w:rStyle w:val="InternetLink"/>
          </w:rPr>
          <w:t>November 6,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5">
        <w:r>
          <w:rPr>
            <w:rStyle w:val="InternetLink"/>
          </w:rPr>
          <w:t>March 4, 2025</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March 13, 2025</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April 1, 2025</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April 22, 2025</w:t>
        </w:r>
      </w:hyperlink>
      <w:r>
        <w:rPr>
          <w:rFonts w:ascii="Times New Roman;Times;serif" w:hAnsi="Times New Roman;Times;serif"/>
          <w:b w:val="false"/>
          <w:i w:val="false"/>
          <w:caps w:val="false"/>
          <w:smallCaps w:val="false"/>
          <w:color w:val="000000"/>
          <w:spacing w:val="4"/>
          <w:sz w:val="20"/>
        </w:rPr>
        <w:t xml:space="preserve">, </w:t>
      </w:r>
      <w:hyperlink r:id="rId29">
        <w:r>
          <w:rPr>
            <w:rStyle w:val="InternetLink"/>
          </w:rPr>
          <w:t>April 25, 2025</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May 30, 2025</w:t>
        </w:r>
      </w:hyperlink>
      <w:r>
        <w:rPr>
          <w:rFonts w:ascii="Times New Roman;Times;serif" w:hAnsi="Times New Roman;Times;serif"/>
          <w:b w:val="false"/>
          <w:i w:val="false"/>
          <w:caps w:val="false"/>
          <w:smallCaps w:val="false"/>
          <w:color w:val="000000"/>
          <w:spacing w:val="4"/>
          <w:sz w:val="20"/>
        </w:rPr>
        <w:t xml:space="preserve"> (only with respect to Item 5.03), </w:t>
      </w:r>
      <w:hyperlink r:id="rId31">
        <w:r>
          <w:rPr>
            <w:rStyle w:val="InternetLink"/>
          </w:rPr>
          <w:t>June 13, 2025</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July 3, 2025</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September 8, 2025</w:t>
        </w:r>
      </w:hyperlink>
      <w:r>
        <w:rPr>
          <w:rFonts w:ascii="Times New Roman;Times;serif" w:hAnsi="Times New Roman;Times;serif"/>
          <w:b w:val="false"/>
          <w:i w:val="false"/>
          <w:caps w:val="false"/>
          <w:smallCaps w:val="false"/>
          <w:color w:val="000000"/>
          <w:spacing w:val="4"/>
          <w:sz w:val="20"/>
        </w:rPr>
        <w:t xml:space="preserve">, and </w:t>
      </w:r>
      <w:hyperlink r:id="rId34">
        <w:r>
          <w:rPr>
            <w:rStyle w:val="InternetLink"/>
          </w:rPr>
          <w:t>November 13,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w:t>
      </w:r>
      <w:hyperlink r:id="rId35">
        <w:r>
          <w:rPr>
            <w:rStyle w:val="InternetLink"/>
          </w:rPr>
          <w:t>Form 8-A, filed with the SEC on November 3, 2014</w:t>
        </w:r>
      </w:hyperlink>
      <w:r>
        <w:rPr>
          <w:rFonts w:ascii="Times New Roman;Times;serif" w:hAnsi="Times New Roman;Times;serif"/>
          <w:b w:val="false"/>
          <w:i w:val="false"/>
          <w:caps w:val="false"/>
          <w:smallCaps w:val="false"/>
          <w:color w:val="000000"/>
          <w:spacing w:val="4"/>
          <w:sz w:val="20"/>
        </w:rPr>
        <w:t xml:space="preserve">, and any amendment or report filed with the SEC for the purpose of updating the description.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Coherus Oncology,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Twin Dolphin Drive,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Redwood City, CA 94065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(650) 649-3530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Exhibits to the filings will not be sent, however, unless those exhibits have specifically been incorporated by reference in this prospectus or any accompanying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THCO"/>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fully integrated commercial-stage innovative oncology company with an approved next-generation PD-1 inhibitor, LOQTORZI, and a pipeline that includes two mid-stage clinical candidates targeting liver, head &amp; neck, and other cancers. Our strategy is to expand the use of LOQTORZI in NPC and advance the development of new indications for LOQTORZI in combination with both our pipeline candidates as well as our industry partners, driving synergies from proprietary combinations, including first-in-class anticancer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were incorporated in the State of Delaware in September 2010 under the name BioGenerics, Inc. We subsequently changed the name of the corporation in April 2012 to Coherus BioSciences, Inc. On May 29, 2025 we changed our corporate name to Coherus Oncology, Inc. Our principal executive offices are located at 333 Twin Dolphin Drive, Suite 600, Redwood City, California 94065, and our telephone number is (650) 649-3530. Our website address is https://www.coherus.com. The information contained in or that can be accessed through our website is not, and should not be deemed to be, part of this prospectus. We also use our website as a means of disclosing material non-public information and for complying with our disclosure obligations under Regulation FD.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RIF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in any of our securities offered pursuant to this prospectus and the applicable prospectus supplement involves a high degree of risk. Before deciding whether to invest in our securities, you should carefully consider the risks described under the caption “Risk Factors” contained in our most recent Quarterly Report on Form 10-Q and any subsequent Annual Reports on Form 10-K, Quarterly Reports on Form 10-Q or Current Reports on Form 8-K, and all other information contained or incorporated by reference into this prospectus, as updated by our subsequent filings under the Exchange Act, and the risks described under the caption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Note Regarding Forward-Looking Statements” included in our most recent Annual Report on Form 10-K and any subsequent Quarterly Reports on Form 10-Q or Current Reports on Form 8-K.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UO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use the net proceeds from the sale of the securities as set forth in the applicable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OCS"/>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or certificate of incorporation, and our amended and restated bylaws, or bylaws, both of which have been publicly filed with the SEC. See “Where You Can Find More Information; Incorporation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authorizes 300,000,000 shares of common stock, $0.0001 par value per share.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common stock is entitled to one vote for each share on all matters submitted to a vote of the stockholders, including the election of directors. Our common stockholders do not have cumulative voting rights in the election of directors. Accordingly, holders of a majority of the voting shares are able to elect all of the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be applicable to any then outstanding preferred stock, holders of common stock are entitled to receive ratably those dividends, if any, as may be declared from time to time by the board of directors out of legally available funds.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and Preferences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Fully Paid and Nonassessable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shares of common stock are fully paid and non-assessable.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Stockholder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and bylaws provide that annual stockholder meetings will be held at a date, place (if any) and time as designated by resolution of the board of directors from time to time. To the extent permitted under applicable law, we may but are not obligated to conduct meetings by remote communications, including by webcast.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Delaware law and the certificate of incorporation and bylaws could make the following transactions difficult: acquisition by means of a tender offer; acquisition by means of a proxy contest or otherwise; or removal of incumbent officers and directors. It is possible that these provisions could make it more difficult to accomplish or could deter transactions that stockholders may otherwise consider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in their best interest or in the best interests of the company, including transactions that might result in a premium over the market price for shares of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summarized below, are expected to discourage coercive takeover practices and inadequate takeover bids. These provisions are also designed to encourage persons seeking to acquire control to first negotiate with our board of directors. We believe that the benefits of protection to the company’s potential ability to negotiate with the proponent of an unfriendly or unsolicited proposal to acquire or restructure the company outweigh the disadvantages of discouraging these proposals because negotiation of these proposals could result in an improvement of their terms.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203 of the DGCL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Undesignated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certificate of incorporation, our board of directors has the authority, without action by our stockholders, to designate and issue up to 5,000,000 shares of preferred stock, par value $0.0001 per share, in one or more series and to designate the rights, preferences and privileges of each series, any or all of which may be greater than the rights of our common stock. It is not possible to state the actual effect of the issuance of any shares of preferred stock upon the rights of holders of our common stock until our board of directors determines the specific rights of the holders of preferred stock. However, the effects might include, among other things, restricting dividends on the common stock, diluting the voting power of the common stock, impairing the liquidation rights of the common stock and delaying or preventing a change in control of our common stock without further action by our stockholders and may adversely affect the market price of our common stock. As of October 31, 2025, no shares of our preferred stock were outstanding.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provide that a special meeting of stockholders may be called by our corporate secretary only at the direction of the board of directors pursuant to a resolution adopted by a majority of the board of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Stockholder Nominations and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set forth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Composition of the Board of Directors; Election and Removal of Directors; Filling Vacancies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Furthermore, the size of the board of directors shall be determined from time to time exclusively by the board of directors pursuant to a resolution adopted by the board of directors, provided the board of directors may not consist of fewer than one member. In addition, a vote of the majority of all the then outstanding shares of voting stock is required for removal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director with cause and not less than sixty-six and two-thirds percent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all the then outstanding shares of voting stock is required for removal of a director without cause. Furthermore, any vacancy on the board of directors, including a vacancy resulting from an increase in the size of the board, may be filled only by a majority vote of the board of directors then in office, although less than a quorum, or by a sole remaining director. This system of electing and removing directors and filling vacancies may tend to discourage a third party from making a tender offer or otherwise attempting to obtain control of the company, because it generally makes it more difficult for stockholders to replace a majority of the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the 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Amendment of any of the above anti-takeover provisions set forth in the certificate of incorporation, except for the provision making it possible for the board to issue “blank check” preferred stock, would require approval by holders of at least sixty-six and two-thirds percent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of the voting power of the then outstanding voting stock. Subject to limitations set forth in the bylaws or the certificate of incorporation, the board is expressly empowered to adopt, amend or repeal the bylaws. Stockholders shall have the power to amend the bylaws provided that any such amendment would require approval by holders of at least sixty-six and two-thirds percent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the then outstanding voting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DGCL, the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management of our company. It is possible that these provisions could make it more difficult to accomplish transactions that stockholders may otherwise deem to be in their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of Liability and Indemnification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contains provisions that limit the liability of the directors and officers for monetary damages to the fullest extent permitted by Delaware law. Consequently, directors and officers are not personally liable to us or our stockholders for monetary damages for any breach of fiduciary duties as directors, except liability for: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or officer’s duty of loyalty to us or our stockholders;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unlawful payments of dividends or unlawful stock repurchases or redemptions as provided in Section 174 of the DGCL; or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or officer derived an improper personal benefit.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certificate of incorporation and bylaws provides that we are required to indemnify the directors and officers, in each case to the fullest extent permitted by Delaware law. The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to indemnify the directors, executive officers and other employees as determined by the board of directors.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We also maintain directors’ and officers’ liability insurance.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and indemnification provisions in the certificate of incorporation and bylaws may discourage stockholders from bringing a lawsuit against the directors and officers for breach of their fiduciary duty. They may also reduce the likelihood of derivative litigation against the directors and officers, even though an action, if successful, might benefit us and our stockholders. Furthermore, a stockholder’s investment may be adversely affected to the extent that we pay the costs of settlement and damage.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Exclusive Jurisdiction of Certain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provide that, to the fullest extent permitted by law,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of to us or our stockholders, (iii) any action asserting a claim arising pursuant to any provision of the DGCL, or (iv) any action asserting a claim governed by the internal affairs doctrine, in all cases subject to the court’s having personal jurisdiction over the indispensable parties named as defendants, to the fullest extent permitted by law or, if such court does not have subject matter jurisdiction thereof, the federal district court of the State of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bylaws also provide that, unless we consent in writing to the selection of an alternative forum, to the fullest extent permitted by law, the federal district courts of the United States of America shall be the sole and exclusive forum for resolving any complaint asserting a cause of action arising under the Securities Act. Notwithstanding the foregoing, our bylaws provide that the exclusive forum provision will not apply to suits brought to enforce any liability or duty created by the Securities Exchange Act of 1934, as amended.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Exchange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common stock are listed on Nasdaq under the symbol “CHRS.”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Sinking Fund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common stock have no sinking fund provisions.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Shareowner Services. The transfer agent and registrar’s address is Equiniti Trust Company Shareowner Services, P.O. Box 64854, St. Paul, MN 55164-0854.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OD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section only, “Coherus,” “we,” “our” or “us” refer to Coherus Oncology, Inc. excluding our subsidiaries, unless expressly stated or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ranking of the debt securities (including the terms of any subordination provisions); </w:t>
      </w:r>
      <w:r>
        <mc:AlternateContent>
          <mc:Choice Requires="wps">
            <w:drawing>
              <wp:anchor behindDoc="0" distT="787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(expressed as a percentage of the principal amount) at which we will sell the debt securities;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securities of the series is payable; </w:t>
      </w:r>
      <w:r>
        <mc:AlternateContent>
          <mc:Choice Requires="wps">
            <w:drawing>
              <wp:anchor behindDoc="0" distT="7874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r>
        <mc:AlternateContent>
          <mc:Choice Requires="wps">
            <w:drawing>
              <wp:anchor behindDoc="0" distT="7874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r>
        <mc:AlternateContent>
          <mc:Choice Requires="wps">
            <w:drawing>
              <wp:anchor behindDoc="0" distT="7874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we may redeem the debt securities; </w:t>
      </w:r>
      <w:r>
        <mc:AlternateContent>
          <mc:Choice Requires="wps">
            <w:drawing>
              <wp:anchor behindDoc="0" distT="787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r>
        <mc:AlternateContent>
          <mc:Choice Requires="wps">
            <w:drawing>
              <wp:anchor behindDoc="0" distT="0" distB="0" distL="254000" distR="0" simplePos="0" locked="0" layoutInCell="1" allowOverlap="1" relativeHeight="79">
                <wp:simplePos x="0" y="0"/>
                <wp:positionH relativeFrom="column">
                  <wp:align>left</wp:align>
                </wp:positionH>
                <wp:positionV relativeFrom="line">
                  <wp:posOffset>635</wp:posOffset>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and the price or prices at which we will repurchase debt securities at the option of the holders of debt securities and other detailed terms and provisions of these repurchase obligations; </w:t>
      </w:r>
      <w:r>
        <mc:AlternateContent>
          <mc:Choice Requires="wps">
            <w:drawing>
              <wp:anchor behindDoc="0" distT="6858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if other than denominations of $1,000 and any integral multiple thereof; </w:t>
      </w:r>
      <w:r>
        <mc:AlternateContent>
          <mc:Choice Requires="wps">
            <w:drawing>
              <wp:anchor behindDoc="0" distT="6858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the form of certificated debt securities or global debt securities; </w:t>
      </w:r>
      <w:r>
        <mc:AlternateContent>
          <mc:Choice Requires="wps">
            <w:drawing>
              <wp:anchor behindDoc="0" distT="6858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principal amount of the debt securities payable upon declaration of acceleration of the maturity date, if other than the principal amount; </w:t>
      </w:r>
      <w:r>
        <mc:AlternateContent>
          <mc:Choice Requires="wps">
            <w:drawing>
              <wp:anchor behindDoc="0" distT="6858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r>
        <mc:AlternateContent>
          <mc:Choice Requires="wps">
            <w:drawing>
              <wp:anchor behindDoc="0" distT="6858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principal of, premium and interest on the debt securities will be made; </w:t>
      </w:r>
      <w:r>
        <mc:AlternateContent>
          <mc:Choice Requires="wps">
            <w:drawing>
              <wp:anchor behindDoc="0" distT="6858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r>
        <mc:AlternateContent>
          <mc:Choice Requires="wps">
            <w:drawing>
              <wp:anchor behindDoc="0" distT="6731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r>
        <mc:AlternateContent>
          <mc:Choice Requires="wps">
            <w:drawing>
              <wp:anchor behindDoc="0" distT="6731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security provided for the debt securities; </w:t>
      </w:r>
      <w:r>
        <mc:AlternateContent>
          <mc:Choice Requires="wps">
            <w:drawing>
              <wp:anchor behindDoc="0" distT="6731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r>
        <mc:AlternateContent>
          <mc:Choice Requires="wps">
            <w:drawing>
              <wp:anchor behindDoc="0" distT="6731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covenants described in this prospectus or in the indenture with respect to the debt securities; </w:t>
      </w:r>
      <w:r>
        <mc:AlternateContent>
          <mc:Choice Requires="wps">
            <w:drawing>
              <wp:anchor behindDoc="0" distT="6731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depositaries, interest rate calculation agents, exchange rate calculation agents or other agents with respect to the debt securities; </w:t>
      </w:r>
      <w:r>
        <mc:AlternateContent>
          <mc:Choice Requires="wps">
            <w:drawing>
              <wp:anchor behindDoc="0" distT="6731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r>
        <mc:AlternateContent>
          <mc:Choice Requires="wps">
            <w:drawing>
              <wp:anchor behindDoc="0" distT="6731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r>
        <mc:AlternateContent>
          <mc:Choice Requires="wps">
            <w:drawing>
              <wp:anchor behindDoc="0" distT="6731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of our direct or indirect subsidiaries will guarantee the debt securities of that series, including the terms of subordination, if any, of such guarantees. (Section 2.2) </w:t>
      </w:r>
      <w:r>
        <mc:AlternateContent>
          <mc:Choice Requires="wps">
            <w:drawing>
              <wp:anchor behindDoc="0" distT="6731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denominate the purchase price of any of the debt securities in a foreign currency or currencies or a foreign currency unit or units, or if the principal of and any premium and interest on any series of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any restrictive covenants applicable to any issue of debt securities. (Article IV)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Protection in the Event of a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consolidate with or merge with or into, or convey, transfer or lease all or substantially all of our properties and assets to any person, or a successor person, unless: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surviving entity or the successor person (if other than Coherus) is a corporation, partnership, trust or other entity organized and validly existing under the laws of any U.S. domestic jurisdiction and expressly assumes our obligations on the debt securities and under the indenture; and </w:t>
      </w:r>
      <w:r>
        <mc:AlternateContent>
          <mc:Choice Requires="wps">
            <w:drawing>
              <wp:anchor behindDoc="0" distT="914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shall have occurred and be continuing. </w:t>
      </w:r>
      <w:r>
        <mc:AlternateContent>
          <mc:Choice Requires="wps">
            <w:drawing>
              <wp:anchor behindDoc="0" distT="914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above, any of our subsidiaries may consolidate with, merge into or transfer all or part of its properties to us. (Section 5.1)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Event of Default” means with respect to any series of debt securities, any of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r>
        <mc:AlternateContent>
          <mc:Choice Requires="wps">
            <w:drawing>
              <wp:anchor behindDoc="0" distT="7874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principal of any security of that series at its maturity; </w:t>
      </w:r>
      <w:r>
        <mc:AlternateContent>
          <mc:Choice Requires="wps">
            <w:drawing>
              <wp:anchor behindDoc="0" distT="7874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Coherus and the trustee receive written notice from the holders of not less than 25% in principal amount of the outstanding debt securities of that series as provided in the indenture; </w:t>
      </w:r>
      <w:r>
        <mc:AlternateContent>
          <mc:Choice Requires="wps">
            <w:drawing>
              <wp:anchor behindDoc="0" distT="787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voluntary or involuntary events of bankruptcy, insolvency or reorganization of Coherus;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with respect to debt securities of that series that is described in the applicable prospectus supplement. (Section 6.1)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debt securities of that series; and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modify, amend or supplement the indenture or the debt securities of any series without the consent of any holder of any debt security: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covenants in the indenture described above under the heading “Consolidation, Merger and Sale of Assets”;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securities in addition to or in place of certificated securities;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guarantees with respect to debt securities of any series or secure debt securities of any series;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surrender any of our rights or powers under the indenture;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covenants or events of default for the benefit of the holders of debt securities of any series;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applicable procedures of the applicable depositary;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of debt securities;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issuance of and establish the form and terms and conditions of debt securities of any series as permitted by the indenture;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effect the appointment of a successor trustee with respect to the debt securities of any series and to add to or change any of the provisions of the indenture to provide for or facilitate administration by more than one trustee; or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requirements of the SEC in order to effect or maintain the qualification of the indenture under the Trust Indenture Act. (Section 9.1)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affected debt security then outstanding if that amendment will: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debt securities whose holders must consent to an amendment, supplement or waiver;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for payment of interest (including default interest) on any debt security;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discount securities payable upon acceleration of maturity;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principal of or premium or interest on any debt security payable in currency other than that stated in the debt security;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redemption payment with respect to any debt security. (Section 9.3)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of Debt Securities and Certain Covenants in Certain Circumstances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Defeasance</w:t>
      </w:r>
      <w:r>
        <w:rPr>
          <w:rFonts w:ascii="Times New Roman;Times;serif" w:hAnsi="Times New Roman;Times;serif"/>
          <w:b w:val="false"/>
          <w:i w:val="false"/>
          <w:caps w:val="false"/>
          <w:smallCaps w:val="false"/>
          <w:color w:val="000000"/>
          <w:spacing w:val="4"/>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 of Certain Covenants</w:t>
      </w:r>
      <w:r>
        <w:rPr>
          <w:rFonts w:ascii="Times New Roman;Times;serif" w:hAnsi="Times New Roman;Times;serif"/>
          <w:b w:val="false"/>
          <w:i w:val="false"/>
          <w:caps w:val="false"/>
          <w:smallCaps w:val="false"/>
          <w:color w:val="000000"/>
          <w:spacing w:val="4"/>
          <w:sz w:val="20"/>
        </w:rPr>
        <w:t xml:space="preserve">.   The indenture provides that, unless otherwise provided by the terms of the applicable series of debt securities, upon compliance with certain conditions: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r>
        <mc:AlternateContent>
          <mc:Choice Requires="wps">
            <w:drawing>
              <wp:anchor behindDoc="0" distT="774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omission to comply with those covenants will not constitute a Default or an Event of Default with respect to the debt securities of that series, or covenant defeasance. </w:t>
      </w:r>
      <w:r>
        <mc:AlternateContent>
          <mc:Choice Requires="wps">
            <w:drawing>
              <wp:anchor behindDoc="0" distT="7747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include: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r>
        <mc:AlternateContent>
          <mc:Choice Requires="wps">
            <w:drawing>
              <wp:anchor behindDoc="0" distT="7747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 of Directors, Officers, Employees or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DOW"/>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particular terms of any issue of warrants will be described in the prospectus supplement relating to the issue. Those terms may include: </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or preferred stock purchasable upon the exercise of warrants to purchase such shares and the price at which such number of shares may be purchased upon such exercise; </w:t>
      </w:r>
      <w:r>
        <mc:AlternateContent>
          <mc:Choice Requires="wps">
            <w:drawing>
              <wp:anchor behindDoc="0" distT="609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and terms (including, without limitation, liquidation, dividend, conversion and voting rights) of the series of preferred stock purchasable upon exercise of warrants to purchase preferred stock; </w:t>
      </w:r>
      <w:r>
        <mc:AlternateContent>
          <mc:Choice Requires="wps">
            <w:drawing>
              <wp:anchor behindDoc="0" distT="609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debt securities that may be purchased upon exercise of a debt warrant and the exercise price for the warrants, which may be payable in cash, securities or other property; </w:t>
      </w:r>
      <w:r>
        <mc:AlternateContent>
          <mc:Choice Requires="wps">
            <w:drawing>
              <wp:anchor behindDoc="0" distT="609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warrants and the related debt securities, preferred stock or common stock will be separately transferable; </w:t>
      </w:r>
      <w:r>
        <mc:AlternateContent>
          <mc:Choice Requires="wps">
            <w:drawing>
              <wp:anchor behindDoc="0" distT="609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609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right will expire; </w:t>
      </w:r>
      <w:r>
        <mc:AlternateContent>
          <mc:Choice Requires="wps">
            <w:drawing>
              <wp:anchor behindDoc="0" distT="609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consequences applicable to the warrants; and </w:t>
      </w:r>
      <w:r>
        <mc:AlternateContent>
          <mc:Choice Requires="wps">
            <w:drawing>
              <wp:anchor behindDoc="0" distT="609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exercise and settlement of the warrants. </w:t>
      </w:r>
      <w:r>
        <mc:AlternateContent>
          <mc:Choice Requires="wps">
            <w:drawing>
              <wp:anchor behindDoc="0" distT="609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equity warrants will not be entitled: </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consent or receive dividends; </w:t>
      </w:r>
      <w:r>
        <mc:AlternateContent>
          <mc:Choice Requires="wps">
            <w:drawing>
              <wp:anchor behindDoc="0" distT="609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notice as stockholders with respect to any meeting of stockholders for the election of our directors or any other matter; or </w:t>
      </w:r>
      <w:r>
        <mc:AlternateContent>
          <mc:Choice Requires="wps">
            <w:drawing>
              <wp:anchor behindDoc="0" distT="609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exercise any rights as stockholders of Coherus. </w:t>
      </w:r>
      <w:r>
        <mc:AlternateContent>
          <mc:Choice Requires="wps">
            <w:drawing>
              <wp:anchor behindDoc="0" distT="609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U"/>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any units, certain terms of that series of units will be described in the applicable prospectus supplement, including, without limitation, the following, as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series of units;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identification and description of the separate constituent securities comprising the units;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the units will be issued;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constituent securities comprising the units will be separately transferable;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certain United States federal income tax considerations applicable to the units; and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other terms of the units and their constituent securities.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GLSE"/>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is: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limited-purpose trust company organized under the New York Banking Law; </w:t>
      </w:r>
      <w:r>
        <mc:AlternateContent>
          <mc:Choice Requires="wps">
            <w:drawing>
              <wp:anchor behindDoc="0" distT="7239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“banking organization” within the meaning of the New York Banking Law; </w:t>
      </w:r>
      <w:r>
        <mc:AlternateContent>
          <mc:Choice Requires="wps">
            <w:drawing>
              <wp:anchor behindDoc="0" distT="7239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the Federal Reserve System;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corporation” within the meaning of the New York Uniform Commercial Code; and </w:t>
      </w:r>
      <w:r>
        <mc:AlternateContent>
          <mc:Choice Requires="wps">
            <w:drawing>
              <wp:anchor behindDoc="0" distT="7239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agency” registered pursuant to the provisions of Section 17A of the Exchange Act. </w:t>
      </w:r>
      <w:r>
        <mc:AlternateContent>
          <mc:Choice Requires="wps">
            <w:drawing>
              <wp:anchor behindDoc="0" distT="7239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beneficial owners of a particular series of securities generally will not receive certificates representing their ownership interests in those securities. However,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in our sole discretion, not to have such securities represented by one or more global securities; or </w:t>
      </w:r>
      <w:r>
        <mc:AlternateContent>
          <mc:Choice Requires="wps">
            <w:drawing>
              <wp:anchor behindDoc="0" distT="0" distB="0" distL="254000" distR="0" simplePos="0" locked="0" layoutInCell="1" allowOverlap="1" relativeHeight="150">
                <wp:simplePos x="0" y="0"/>
                <wp:positionH relativeFrom="column">
                  <wp:align>left</wp:align>
                </wp:positionH>
                <wp:positionV relativeFrom="line">
                  <wp:posOffset>635</wp:posOffset>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has occurred and is continuing with respect to such series of securities,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Euroclear and Clearstream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OD"/>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from time to time pursuant to underwritten public offerings, “at the market” offerings, negotiated transactions, block trades or a combination of these methods or through underwriters or dealers, through agents and/or directly to one or more purchasers. The securities may be distributed from time to time in one or more transactions: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as amended, or to contribute to payments they may be required to make in respect thereof and to reimburse those persons for certain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engage in at the market offerings into an existing trading market in accordance with Rule 415(a)(4) under the Securities Act, as amended.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any lock-up provisions in respect of any given offering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dealers and agents may engage in transactions with us, or perform services for us, in the ordinary course of business for which they receive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LEM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Latham &amp; Watkins LLP will pass upon certain legal matters relating to the issuance and sale of the securities offered hereby on behalf of Coherus Oncology, Inc. Additional legal matters may be passed upon for us or any underwriters, dealers or agents, by counsel that we will name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X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Coherus Oncology, Inc. appearing in Coherus Oncology, Inc.’s </w:t>
      </w:r>
      <w:hyperlink r:id="rId36">
        <w:r>
          <w:rPr>
            <w:rStyle w:val="InternetLink"/>
          </w:rPr>
          <w:t>Current Report (Form 8-K) dated November 13, 2025</w:t>
        </w:r>
      </w:hyperlink>
      <w:r>
        <w:rPr>
          <w:rFonts w:ascii="Times New Roman;Times;serif" w:hAnsi="Times New Roman;Times;serif"/>
          <w:b w:val="false"/>
          <w:i w:val="false"/>
          <w:caps w:val="false"/>
          <w:smallCaps w:val="false"/>
          <w:color w:val="000000"/>
          <w:spacing w:val="4"/>
          <w:sz w:val="20"/>
        </w:rPr>
        <w:t>, and the effectiveness of Coherus Oncology, Inc.’s internal control over financial reporting as of December 31, 2024, have been audited by Ernst &amp; Young LLP, independent registered public accounting firm, as set forth in its reports thereon, which conclude, among other things, that Coherus Oncology, Inc. did not maintain effective internal control over financial reporting as of December 31, 2024, based on Internal Control — 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24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440" w:after="283"/>
        <w:jc w:val="center"/>
        <w:rPr>
          <w:caps w:val="false"/>
          <w:smallCaps w:val="false"/>
          <w:color w:val="000000"/>
        </w:rPr>
      </w:pPr>
      <w:r>
        <w:rPr>
          <w:caps w:val="false"/>
          <w:smallCaps w:val="false"/>
          <w:color w:val="000000"/>
        </w:rPr>
        <w:drawing>
          <wp:inline distT="0" distB="0" distL="0" distR="0">
            <wp:extent cx="2981325" cy="723900"/>
            <wp:effectExtent l="0" t="0" r="0" b="0"/>
            <wp:docPr id="1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 descr=""/>
                    <pic:cNvPicPr>
                      <a:picLocks noChangeAspect="1" noChangeArrowheads="1"/>
                    </pic:cNvPicPr>
                  </pic:nvPicPr>
                  <pic:blipFill>
                    <a:blip r:embed="rId37"/>
                    <a:stretch>
                      <a:fillRect/>
                    </a:stretch>
                  </pic:blipFill>
                  <pic:spPr bwMode="auto">
                    <a:xfrm>
                      <a:off x="0" y="0"/>
                      <a:ext cx="2981325" cy="7239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4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3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360" w:before="13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Leerink Partners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7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28,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4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12762/000110465925111503/tm2530769-1_s3.htm" TargetMode="External"/><Relationship Id="rId4" Type="http://schemas.openxmlformats.org/officeDocument/2006/relationships/hyperlink" Target="https://www.sec.gov/ix?doc=/Archives/edgar/data/1512762/000110465926091262/chrs-20260630x10q.htm" TargetMode="External"/><Relationship Id="rId5" Type="http://schemas.openxmlformats.org/officeDocument/2006/relationships/hyperlink" Target="https://www.sec.gov/ix?doc=/Archives/edgar/data/1512762/000110465926025308/chrs-20251231x10k.htm" TargetMode="External"/><Relationship Id="rId6" Type="http://schemas.openxmlformats.org/officeDocument/2006/relationships/hyperlink" Target="https://www.sec.gov/ix?doc=/Archives/edgar/data/0001512762/000110465926025308/chrs-20251231x10k.htm" TargetMode="External"/><Relationship Id="rId7" Type="http://schemas.openxmlformats.org/officeDocument/2006/relationships/hyperlink" Target="https://www.sec.gov/ix?doc=/Archives/edgar/data/1512762/000110465926045251/chrs-20260527xdef14a.htm" TargetMode="External"/><Relationship Id="rId8" Type="http://schemas.openxmlformats.org/officeDocument/2006/relationships/hyperlink" Target="https://www.sec.gov/ix?doc=/Archives/edgar/data/1512762/000110465926058703/chrs-20260331x10q.htm" TargetMode="External"/><Relationship Id="rId9" Type="http://schemas.openxmlformats.org/officeDocument/2006/relationships/hyperlink" Target="https://www.sec.gov/ix?doc=/Archives/edgar/data/1512762/000110465926091262/chrs-20260630x10q.htm" TargetMode="External"/><Relationship Id="rId10" Type="http://schemas.openxmlformats.org/officeDocument/2006/relationships/hyperlink" Target="https://www.sec.gov/ix?doc=/Archives/edgar/data/1512762/000110465926006307/tm263459d2_8k.htm" TargetMode="External"/><Relationship Id="rId11" Type="http://schemas.openxmlformats.org/officeDocument/2006/relationships/hyperlink" Target="https://www.sec.gov/ix?doc=/Archives/edgar/data/1512762/000110465926010065/chrs-20260204x8k.htm" TargetMode="External"/><Relationship Id="rId12" Type="http://schemas.openxmlformats.org/officeDocument/2006/relationships/hyperlink" Target="https://www.sec.gov/ix?doc=/Archives/edgar/data/1512762/000110465926016378/chrs-20260212x8k.htm" TargetMode="External"/><Relationship Id="rId13" Type="http://schemas.openxmlformats.org/officeDocument/2006/relationships/hyperlink" Target="https://www.sec.gov/ix?doc=/Archives/edgar/data/1512762/000110465926068615/chrs-20260527x8k.htm" TargetMode="External"/><Relationship Id="rId14" Type="http://schemas.openxmlformats.org/officeDocument/2006/relationships/hyperlink" Target="https://www.sec.gov/ix?doc=/Archives/edgar/data/1512762/000110465926074090/chrs-20260612x8k.htm" TargetMode="External"/><Relationship Id="rId15" Type="http://schemas.openxmlformats.org/officeDocument/2006/relationships/hyperlink" Target="https://www.sec.gov/ix?doc=/Archives/edgar/data/1512762/000110465926097949/chrs-20260817x8k.htm" TargetMode="External"/><Relationship Id="rId16" Type="http://schemas.openxmlformats.org/officeDocument/2006/relationships/hyperlink" Target="https://www.sec.gov/ix?doc=/Archives/edgar/data/1512762/000110465926097951/chrs-20260817x8k.htm" TargetMode="External"/><Relationship Id="rId17" Type="http://schemas.openxmlformats.org/officeDocument/2006/relationships/hyperlink" Target="https://www.sec.gov/Archives/edgar/data/1512762/000119312514393922/d814871d8a12b.htm" TargetMode="External"/><Relationship Id="rId18" Type="http://schemas.openxmlformats.org/officeDocument/2006/relationships/image" Target="media/image1.jpeg"/><Relationship Id="rId19" Type="http://schemas.openxmlformats.org/officeDocument/2006/relationships/hyperlink" Target="https://www.sec.gov/ix?doc=/Archives/edgar/data/1512762/000155837025003126/chrs-20241231x10k.htm" TargetMode="External"/><Relationship Id="rId20" Type="http://schemas.openxmlformats.org/officeDocument/2006/relationships/hyperlink" Target="https://www.sec.gov/ix?doc=/Archives/edgar/data/1512762/000110465925111484/chrs-20251113x8k.htm" TargetMode="External"/><Relationship Id="rId21" Type="http://schemas.openxmlformats.org/officeDocument/2006/relationships/hyperlink" Target="https://www.sec.gov/ix?doc=/Archives/edgar/data/1512762/000155837025005825/chrs-20250611xdef14a.htm" TargetMode="External"/><Relationship Id="rId22" Type="http://schemas.openxmlformats.org/officeDocument/2006/relationships/hyperlink" Target="https://www.sec.gov/ix?doc=/Archives/edgar/data/1512762/000155837025007418/chrs-20250331x10q.htm" TargetMode="External"/><Relationship Id="rId23" Type="http://schemas.openxmlformats.org/officeDocument/2006/relationships/hyperlink" Target="https://www.sec.gov/ix?doc=/Archives/edgar/data/1512762/000155837025010803/chrs-20250630x10q.htm" TargetMode="External"/><Relationship Id="rId24" Type="http://schemas.openxmlformats.org/officeDocument/2006/relationships/hyperlink" Target="https://www.sec.gov/ix?doc=/Archives/edgar/data/1512762/000110465925107852/chrs-20250930x10q.htm" TargetMode="External"/><Relationship Id="rId25" Type="http://schemas.openxmlformats.org/officeDocument/2006/relationships/hyperlink" Target="https://www.sec.gov/ix?doc=/Archives/edgar/data/1512762/000155837025002117/chrs-20250304x8k.htm" TargetMode="External"/><Relationship Id="rId26" Type="http://schemas.openxmlformats.org/officeDocument/2006/relationships/hyperlink" Target="https://www.sec.gov/ix?doc=/Archives/edgar/data/1512762/000155837025002842/chrs-20250311x8k.htm" TargetMode="External"/><Relationship Id="rId27" Type="http://schemas.openxmlformats.org/officeDocument/2006/relationships/hyperlink" Target="https://www.sec.gov/ix?doc=/Archives/edgar/data/1512762/000155837025004264/chrs-20250331x8k.htm" TargetMode="External"/><Relationship Id="rId28" Type="http://schemas.openxmlformats.org/officeDocument/2006/relationships/hyperlink" Target="https://www.sec.gov/ix?doc=/Archives/edgar/data/1512762/000155837025005157/chrs-20250416x8k.htm" TargetMode="External"/><Relationship Id="rId29" Type="http://schemas.openxmlformats.org/officeDocument/2006/relationships/hyperlink" Target="https://www.sec.gov/ix?doc=/Archives/edgar/data/1512762/000155837025005554/chrs-20250422x8k.htm" TargetMode="External"/><Relationship Id="rId30" Type="http://schemas.openxmlformats.org/officeDocument/2006/relationships/hyperlink" Target="https://www.sec.gov/ix?doc=/Archives/edgar/data/1512762/000155837025008294/chrs-20250529x8k.htm" TargetMode="External"/><Relationship Id="rId31" Type="http://schemas.openxmlformats.org/officeDocument/2006/relationships/hyperlink" Target="https://www.sec.gov/ix?doc=/Archives/edgar/data/1512762/000110465925059351/tm2517926d1_8k.htm" TargetMode="External"/><Relationship Id="rId32" Type="http://schemas.openxmlformats.org/officeDocument/2006/relationships/hyperlink" Target="https://www.sec.gov/ix?doc=/Archives/edgar/data/1512762/000155837025009085/chrs-20250630x8k.htm" TargetMode="External"/><Relationship Id="rId33" Type="http://schemas.openxmlformats.org/officeDocument/2006/relationships/hyperlink" Target="https://www.sec.gov/ix?doc=/Archives/edgar/data/1512762/000155837025011911/chrs-20250905x8k.htm" TargetMode="External"/><Relationship Id="rId34" Type="http://schemas.openxmlformats.org/officeDocument/2006/relationships/hyperlink" Target="https://www.sec.gov/ix?doc=/Archives/edgar/data/1512762/000110465925111484/chrs-20251113x8k.htm" TargetMode="External"/><Relationship Id="rId35" Type="http://schemas.openxmlformats.org/officeDocument/2006/relationships/hyperlink" Target="https://www.sec.gov/Archives/edgar/data/1512762/000119312514393922/d814871d8a12b.htm" TargetMode="External"/><Relationship Id="rId36" Type="http://schemas.openxmlformats.org/officeDocument/2006/relationships/hyperlink" Target="https://www.sec.gov/ix?doc=/Archives/edgar/data/1512762/000110465925111484/chrs-20251113x8k.htm" TargetMode="External"/><Relationship Id="rId37" Type="http://schemas.openxmlformats.org/officeDocument/2006/relationships/image" Target="media/image1.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21626</Words>
  <Characters>114835</Characters>
  <CharactersWithSpaces>137262</CharactersWithSpaces>
  <Paragraphs>1267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