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628015</wp:posOffset>
            </wp:positionH>
            <wp:positionV relativeFrom="page">
              <wp:posOffset>568960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637540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150495</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2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163830</wp:posOffset>
            </wp:positionV>
            <wp:extent cx="15773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Secton 13 or 15(d)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Securites Exchange Act of 1934</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May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150495</wp:posOffset>
            </wp:positionV>
            <wp:extent cx="15773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COHERUS BIOSCIENCES, INC.</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156210</wp:posOffset>
            </wp:positionV>
            <wp:extent cx="15773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tbl>
      <w:tblPr>
        <w:tblLayout w:type="fixed"/>
        <w:tblInd w:w="940" w:type="dxa"/>
        <w:tblCellMar>
          <w:top w:w="0" w:type="dxa"/>
          <w:left w:w="0" w:type="dxa"/>
          <w:bottom w:w="0" w:type="dxa"/>
          <w:right w:w="0" w:type="dxa"/>
        </w:tblCellMar>
      </w:tblPr>
      <w:tr>
        <w:trPr>
          <w:trHeight w:val="205"/>
        </w:trPr>
        <w:tc>
          <w:tcPr>
            <w:tcW w:w="2620" w:type="dxa"/>
            <w:vAlign w:val="bottom"/>
          </w:tcPr>
          <w:p>
            <w:pPr>
              <w:jc w:val="center"/>
              <w:ind w:right="1068"/>
              <w:spacing w:after="0"/>
              <w:rPr>
                <w:sz w:val="20"/>
                <w:szCs w:val="20"/>
                <w:color w:val="auto"/>
              </w:rPr>
            </w:pPr>
            <w:r>
              <w:rPr>
                <w:rFonts w:ascii="Arial" w:cs="Arial" w:eastAsia="Arial" w:hAnsi="Arial"/>
                <w:sz w:val="16"/>
                <w:szCs w:val="16"/>
                <w:b w:val="1"/>
                <w:bCs w:val="1"/>
                <w:color w:val="auto"/>
                <w:w w:val="91"/>
              </w:rPr>
              <w:t>Delaware</w:t>
            </w:r>
          </w:p>
        </w:tc>
        <w:tc>
          <w:tcPr>
            <w:tcW w:w="3000" w:type="dxa"/>
            <w:vAlign w:val="bottom"/>
          </w:tcPr>
          <w:p>
            <w:pPr>
              <w:ind w:left="1160"/>
              <w:spacing w:after="0"/>
              <w:rPr>
                <w:sz w:val="20"/>
                <w:szCs w:val="20"/>
                <w:color w:val="auto"/>
              </w:rPr>
            </w:pPr>
            <w:r>
              <w:rPr>
                <w:rFonts w:ascii="Arial" w:cs="Arial" w:eastAsia="Arial" w:hAnsi="Arial"/>
                <w:sz w:val="16"/>
                <w:szCs w:val="16"/>
                <w:b w:val="1"/>
                <w:bCs w:val="1"/>
                <w:color w:val="auto"/>
              </w:rPr>
              <w:t>001-36721</w:t>
            </w:r>
          </w:p>
        </w:tc>
        <w:tc>
          <w:tcPr>
            <w:tcW w:w="2420" w:type="dxa"/>
            <w:vAlign w:val="bottom"/>
          </w:tcPr>
          <w:p>
            <w:pPr>
              <w:jc w:val="center"/>
              <w:ind w:left="1068"/>
              <w:spacing w:after="0"/>
              <w:rPr>
                <w:sz w:val="20"/>
                <w:szCs w:val="20"/>
                <w:color w:val="auto"/>
              </w:rPr>
            </w:pPr>
            <w:r>
              <w:rPr>
                <w:rFonts w:ascii="Arial" w:cs="Arial" w:eastAsia="Arial" w:hAnsi="Arial"/>
                <w:sz w:val="16"/>
                <w:szCs w:val="16"/>
                <w:b w:val="1"/>
                <w:bCs w:val="1"/>
                <w:color w:val="auto"/>
                <w:w w:val="93"/>
              </w:rPr>
              <w:t>27-3615821</w:t>
            </w:r>
          </w:p>
        </w:tc>
      </w:tr>
      <w:tr>
        <w:trPr>
          <w:trHeight w:val="183"/>
        </w:trPr>
        <w:tc>
          <w:tcPr>
            <w:tcW w:w="2620" w:type="dxa"/>
            <w:vAlign w:val="bottom"/>
          </w:tcPr>
          <w:p>
            <w:pPr>
              <w:jc w:val="center"/>
              <w:ind w:right="1068"/>
              <w:spacing w:after="0"/>
              <w:rPr>
                <w:sz w:val="20"/>
                <w:szCs w:val="20"/>
                <w:color w:val="auto"/>
              </w:rPr>
            </w:pPr>
            <w:r>
              <w:rPr>
                <w:rFonts w:ascii="Arial" w:cs="Arial" w:eastAsia="Arial" w:hAnsi="Arial"/>
                <w:sz w:val="13"/>
                <w:szCs w:val="13"/>
                <w:b w:val="1"/>
                <w:bCs w:val="1"/>
                <w:color w:val="auto"/>
                <w:w w:val="93"/>
              </w:rPr>
              <w:t>(State or other jurisdicton</w:t>
            </w:r>
          </w:p>
        </w:tc>
        <w:tc>
          <w:tcPr>
            <w:tcW w:w="3000" w:type="dxa"/>
            <w:vAlign w:val="bottom"/>
          </w:tcPr>
          <w:p>
            <w:pPr>
              <w:ind w:left="1140"/>
              <w:spacing w:after="0"/>
              <w:rPr>
                <w:sz w:val="20"/>
                <w:szCs w:val="20"/>
                <w:color w:val="auto"/>
              </w:rPr>
            </w:pPr>
            <w:r>
              <w:rPr>
                <w:rFonts w:ascii="Arial" w:cs="Arial" w:eastAsia="Arial" w:hAnsi="Arial"/>
                <w:sz w:val="13"/>
                <w:szCs w:val="13"/>
                <w:b w:val="1"/>
                <w:bCs w:val="1"/>
                <w:color w:val="auto"/>
              </w:rPr>
              <w:t>(Commission</w:t>
            </w:r>
          </w:p>
        </w:tc>
        <w:tc>
          <w:tcPr>
            <w:tcW w:w="2420" w:type="dxa"/>
            <w:vAlign w:val="bottom"/>
          </w:tcPr>
          <w:p>
            <w:pPr>
              <w:jc w:val="center"/>
              <w:ind w:left="1068"/>
              <w:spacing w:after="0"/>
              <w:rPr>
                <w:sz w:val="20"/>
                <w:szCs w:val="20"/>
                <w:color w:val="auto"/>
              </w:rPr>
            </w:pPr>
            <w:r>
              <w:rPr>
                <w:rFonts w:ascii="Arial" w:cs="Arial" w:eastAsia="Arial" w:hAnsi="Arial"/>
                <w:sz w:val="13"/>
                <w:szCs w:val="13"/>
                <w:b w:val="1"/>
                <w:bCs w:val="1"/>
                <w:color w:val="auto"/>
                <w:w w:val="85"/>
              </w:rPr>
              <w:t>(IRS Employer</w:t>
            </w:r>
          </w:p>
        </w:tc>
      </w:tr>
      <w:tr>
        <w:trPr>
          <w:trHeight w:val="176"/>
        </w:trPr>
        <w:tc>
          <w:tcPr>
            <w:tcW w:w="2620" w:type="dxa"/>
            <w:vAlign w:val="bottom"/>
          </w:tcPr>
          <w:p>
            <w:pPr>
              <w:jc w:val="center"/>
              <w:ind w:right="1048"/>
              <w:spacing w:after="0"/>
              <w:rPr>
                <w:sz w:val="20"/>
                <w:szCs w:val="20"/>
                <w:color w:val="auto"/>
              </w:rPr>
            </w:pPr>
            <w:r>
              <w:rPr>
                <w:rFonts w:ascii="Arial" w:cs="Arial" w:eastAsia="Arial" w:hAnsi="Arial"/>
                <w:sz w:val="13"/>
                <w:szCs w:val="13"/>
                <w:b w:val="1"/>
                <w:bCs w:val="1"/>
                <w:color w:val="auto"/>
                <w:w w:val="93"/>
              </w:rPr>
              <w:t>of incorporaton)</w:t>
            </w:r>
          </w:p>
        </w:tc>
        <w:tc>
          <w:tcPr>
            <w:tcW w:w="3000" w:type="dxa"/>
            <w:vAlign w:val="bottom"/>
          </w:tcPr>
          <w:p>
            <w:pPr>
              <w:ind w:left="1140"/>
              <w:spacing w:after="0"/>
              <w:rPr>
                <w:sz w:val="20"/>
                <w:szCs w:val="20"/>
                <w:color w:val="auto"/>
              </w:rPr>
            </w:pPr>
            <w:r>
              <w:rPr>
                <w:rFonts w:ascii="Arial" w:cs="Arial" w:eastAsia="Arial" w:hAnsi="Arial"/>
                <w:sz w:val="13"/>
                <w:szCs w:val="13"/>
                <w:b w:val="1"/>
                <w:bCs w:val="1"/>
                <w:color w:val="auto"/>
              </w:rPr>
              <w:t>File Number)</w:t>
            </w:r>
          </w:p>
        </w:tc>
        <w:tc>
          <w:tcPr>
            <w:tcW w:w="2420" w:type="dxa"/>
            <w:vAlign w:val="bottom"/>
          </w:tcPr>
          <w:p>
            <w:pPr>
              <w:jc w:val="center"/>
              <w:ind w:left="1068"/>
              <w:spacing w:after="0"/>
              <w:rPr>
                <w:sz w:val="20"/>
                <w:szCs w:val="20"/>
                <w:color w:val="auto"/>
              </w:rPr>
            </w:pPr>
            <w:r>
              <w:rPr>
                <w:rFonts w:ascii="Arial" w:cs="Arial" w:eastAsia="Arial" w:hAnsi="Arial"/>
                <w:sz w:val="13"/>
                <w:szCs w:val="13"/>
                <w:b w:val="1"/>
                <w:bCs w:val="1"/>
                <w:color w:val="auto"/>
              </w:rPr>
              <w:t>Identfcaton Number)</w:t>
            </w:r>
          </w:p>
        </w:tc>
      </w:tr>
    </w:tbl>
    <w:p>
      <w:pPr>
        <w:spacing w:after="0" w:line="119"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333 Twin Dolphin Drive, Suite 600</w:t>
      </w:r>
    </w:p>
    <w:p>
      <w:pPr>
        <w:spacing w:after="0" w:line="24"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Redwood City, CA 94065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executve ofces, including Zip Code)</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(650) 649-3530</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73025</wp:posOffset>
            </wp:positionV>
            <wp:extent cx="15773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25" w:lineRule="exact"/>
        <w:rPr>
          <w:sz w:val="24"/>
          <w:szCs w:val="24"/>
          <w:color w:val="auto"/>
        </w:rPr>
      </w:pPr>
    </w:p>
    <w:p>
      <w:pPr>
        <w:ind w:right="140"/>
        <w:spacing w:after="0" w:line="273" w:lineRule="auto"/>
        <w:rPr>
          <w:sz w:val="20"/>
          <w:szCs w:val="20"/>
          <w:color w:val="auto"/>
        </w:rPr>
      </w:pPr>
      <w:r>
        <w:rPr>
          <w:rFonts w:ascii="Arial" w:cs="Arial" w:eastAsia="Arial" w:hAnsi="Arial"/>
          <w:sz w:val="18"/>
          <w:szCs w:val="18"/>
          <w:color w:val="auto"/>
        </w:rPr>
        <w:t>Check the appropriate box below if the Form 8-K fling is intended to simultaneously satsfy the fling obligaton of the registrant under any of the following provisions:</w:t>
      </w:r>
    </w:p>
    <w:p>
      <w:pPr>
        <w:spacing w:after="0" w:line="154"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Writen communicatons pursuant to Rule 425 under the Securites Act (17 CFR 230.425)</w:t>
      </w:r>
    </w:p>
    <w:p>
      <w:pPr>
        <w:spacing w:after="0" w:line="221" w:lineRule="exact"/>
        <w:rPr>
          <w:rFonts w:ascii="MS PGothic" w:cs="MS PGothic" w:eastAsia="MS PGothic" w:hAnsi="MS PGothic"/>
          <w:sz w:val="16"/>
          <w:szCs w:val="16"/>
          <w:color w:val="auto"/>
        </w:rPr>
      </w:pPr>
    </w:p>
    <w:p>
      <w:pPr>
        <w:ind w:left="400" w:hanging="392"/>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Solicitng material pursuant to Rule 14a-12 under the Exchange Act (17 CFR 240.14a-12)</w:t>
      </w:r>
    </w:p>
    <w:p>
      <w:pPr>
        <w:spacing w:after="0" w:line="221" w:lineRule="exact"/>
        <w:rPr>
          <w:rFonts w:ascii="MS PGothic" w:cs="MS PGothic" w:eastAsia="MS PGothic" w:hAnsi="MS PGothic"/>
          <w:sz w:val="16"/>
          <w:szCs w:val="16"/>
          <w:color w:val="auto"/>
        </w:rPr>
      </w:pPr>
    </w:p>
    <w:p>
      <w:pPr>
        <w:ind w:left="400" w:hanging="392"/>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communicatons pursuant to Rule 14d-2(b) under the Exchange Act (17 CFR 240.14d-2(b))</w:t>
      </w:r>
    </w:p>
    <w:p>
      <w:pPr>
        <w:spacing w:after="0" w:line="221" w:lineRule="exact"/>
        <w:rPr>
          <w:rFonts w:ascii="MS PGothic" w:cs="MS PGothic" w:eastAsia="MS PGothic" w:hAnsi="MS PGothic"/>
          <w:sz w:val="16"/>
          <w:szCs w:val="16"/>
          <w:color w:val="auto"/>
        </w:rPr>
      </w:pPr>
    </w:p>
    <w:p>
      <w:pPr>
        <w:ind w:left="400" w:hanging="392"/>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communicatons pursuant to Rule 13e-4(c) under the Exchange Act (17 CFR 240.13e-4(c))</w:t>
      </w:r>
    </w:p>
    <w:p>
      <w:pPr>
        <w:spacing w:after="0" w:line="96" w:lineRule="exact"/>
        <w:rPr>
          <w:sz w:val="24"/>
          <w:szCs w:val="24"/>
          <w:color w:val="auto"/>
        </w:rPr>
      </w:pPr>
    </w:p>
    <w:p>
      <w:pPr>
        <w:spacing w:after="0"/>
        <w:rPr>
          <w:sz w:val="20"/>
          <w:szCs w:val="20"/>
          <w:color w:val="auto"/>
        </w:rPr>
      </w:pPr>
      <w:r>
        <w:rPr>
          <w:rFonts w:ascii="Arial" w:cs="Arial" w:eastAsia="Arial" w:hAnsi="Arial"/>
          <w:sz w:val="18"/>
          <w:szCs w:val="18"/>
          <w:color w:val="auto"/>
        </w:rPr>
        <w:t>Securites registered pursuant to Secton 12(b) of the Act:</w:t>
      </w:r>
    </w:p>
    <w:p>
      <w:pPr>
        <w:spacing w:after="0" w:line="188"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3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20" w:type="dxa"/>
            <w:vAlign w:val="bottom"/>
          </w:tcPr>
          <w:p>
            <w:pPr>
              <w:jc w:val="center"/>
              <w:spacing w:after="0"/>
              <w:rPr>
                <w:sz w:val="20"/>
                <w:szCs w:val="20"/>
                <w:color w:val="auto"/>
              </w:rPr>
            </w:pPr>
            <w:r>
              <w:rPr>
                <w:rFonts w:ascii="Arial" w:cs="Arial" w:eastAsia="Arial" w:hAnsi="Arial"/>
                <w:sz w:val="13"/>
                <w:szCs w:val="13"/>
                <w:b w:val="1"/>
                <w:bCs w:val="1"/>
                <w:color w:val="auto"/>
                <w:w w:val="88"/>
              </w:rPr>
              <w:t>Trading</w:t>
            </w:r>
          </w:p>
        </w:tc>
        <w:tc>
          <w:tcPr>
            <w:tcW w:w="200" w:type="dxa"/>
            <w:vAlign w:val="bottom"/>
          </w:tcPr>
          <w:p>
            <w:pPr>
              <w:spacing w:after="0"/>
              <w:rPr>
                <w:sz w:val="15"/>
                <w:szCs w:val="15"/>
                <w:color w:val="auto"/>
              </w:rPr>
            </w:pPr>
          </w:p>
        </w:tc>
        <w:tc>
          <w:tcPr>
            <w:tcW w:w="3020" w:type="dxa"/>
            <w:vAlign w:val="bottom"/>
          </w:tcPr>
          <w:p>
            <w:pPr>
              <w:jc w:val="center"/>
              <w:spacing w:after="0"/>
              <w:rPr>
                <w:sz w:val="20"/>
                <w:szCs w:val="20"/>
                <w:color w:val="auto"/>
              </w:rPr>
            </w:pPr>
            <w:r>
              <w:rPr>
                <w:rFonts w:ascii="Arial" w:cs="Arial" w:eastAsia="Arial" w:hAnsi="Arial"/>
                <w:sz w:val="13"/>
                <w:szCs w:val="13"/>
                <w:b w:val="1"/>
                <w:bCs w:val="1"/>
                <w:color w:val="auto"/>
                <w:w w:val="90"/>
              </w:rPr>
              <w:t>Name of each exchange</w:t>
            </w:r>
          </w:p>
        </w:tc>
      </w:tr>
      <w:tr>
        <w:trPr>
          <w:trHeight w:val="187"/>
        </w:trPr>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Title of each class</w:t>
            </w:r>
          </w:p>
        </w:tc>
        <w:tc>
          <w:tcPr>
            <w:tcW w:w="200" w:type="dxa"/>
            <w:vAlign w:val="bottom"/>
          </w:tcPr>
          <w:p>
            <w:pPr>
              <w:spacing w:after="0"/>
              <w:rPr>
                <w:sz w:val="16"/>
                <w:szCs w:val="16"/>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Symbol(s)</w:t>
            </w:r>
          </w:p>
        </w:tc>
        <w:tc>
          <w:tcPr>
            <w:tcW w:w="200" w:type="dxa"/>
            <w:vAlign w:val="bottom"/>
          </w:tcPr>
          <w:p>
            <w:pPr>
              <w:spacing w:after="0"/>
              <w:rPr>
                <w:sz w:val="16"/>
                <w:szCs w:val="16"/>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on which registered</w:t>
            </w:r>
          </w:p>
        </w:tc>
      </w:tr>
      <w:tr>
        <w:trPr>
          <w:trHeight w:val="206"/>
        </w:trPr>
        <w:tc>
          <w:tcPr>
            <w:tcW w:w="3480" w:type="dxa"/>
            <w:vAlign w:val="bottom"/>
          </w:tcPr>
          <w:p>
            <w:pPr>
              <w:jc w:val="center"/>
              <w:spacing w:after="0"/>
              <w:rPr>
                <w:sz w:val="20"/>
                <w:szCs w:val="20"/>
                <w:color w:val="auto"/>
              </w:rPr>
            </w:pPr>
            <w:r>
              <w:rPr>
                <w:rFonts w:ascii="Arial" w:cs="Arial" w:eastAsia="Arial" w:hAnsi="Arial"/>
                <w:sz w:val="16"/>
                <w:szCs w:val="16"/>
                <w:b w:val="1"/>
                <w:bCs w:val="1"/>
                <w:color w:val="auto"/>
                <w:w w:val="88"/>
              </w:rPr>
              <w:t>Common Stock, $0.0001 par value per share</w:t>
            </w:r>
          </w:p>
        </w:tc>
        <w:tc>
          <w:tcPr>
            <w:tcW w:w="20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Arial" w:cs="Arial" w:eastAsia="Arial" w:hAnsi="Arial"/>
                <w:sz w:val="16"/>
                <w:szCs w:val="16"/>
                <w:b w:val="1"/>
                <w:bCs w:val="1"/>
                <w:color w:val="auto"/>
                <w:w w:val="74"/>
              </w:rPr>
              <w:t>CHRS</w:t>
            </w:r>
          </w:p>
        </w:tc>
        <w:tc>
          <w:tcPr>
            <w:tcW w:w="20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Arial" w:cs="Arial" w:eastAsia="Arial" w:hAnsi="Arial"/>
                <w:sz w:val="16"/>
                <w:szCs w:val="16"/>
                <w:b w:val="1"/>
                <w:bCs w:val="1"/>
                <w:color w:val="auto"/>
                <w:w w:val="88"/>
              </w:rPr>
              <w:t>The Nasdaq Global Market</w:t>
            </w:r>
          </w:p>
        </w:tc>
      </w:tr>
    </w:tbl>
    <w:p>
      <w:pPr>
        <w:spacing w:after="0" w:line="100" w:lineRule="exact"/>
        <w:rPr>
          <w:sz w:val="24"/>
          <w:szCs w:val="24"/>
          <w:color w:val="auto"/>
        </w:rPr>
      </w:pPr>
    </w:p>
    <w:p>
      <w:pPr>
        <w:ind w:right="420"/>
        <w:spacing w:after="0" w:line="303" w:lineRule="auto"/>
        <w:rPr>
          <w:sz w:val="20"/>
          <w:szCs w:val="20"/>
          <w:color w:val="auto"/>
        </w:rPr>
      </w:pPr>
      <w:r>
        <w:rPr>
          <w:rFonts w:ascii="Arial" w:cs="Arial" w:eastAsia="Arial" w:hAnsi="Arial"/>
          <w:sz w:val="17"/>
          <w:szCs w:val="17"/>
          <w:color w:val="auto"/>
        </w:rPr>
        <w:t>Indicate by check mark whether the registrant is an emerging growth company as defned in Rule 405 of the Securites Act of 1933 (§230.405 of this chapter) or Rule 12b-2 of the Securites Exchange Act of 1934 (§240.12b-2 of this chapter).</w:t>
      </w:r>
    </w:p>
    <w:p>
      <w:pPr>
        <w:spacing w:after="0" w:line="2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7" w:lineRule="exact"/>
        <w:rPr>
          <w:sz w:val="24"/>
          <w:szCs w:val="24"/>
          <w:color w:val="auto"/>
        </w:rPr>
      </w:pPr>
    </w:p>
    <w:p>
      <w:pPr>
        <w:ind w:right="520"/>
        <w:spacing w:after="0" w:line="24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839470</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76835</wp:posOffset>
            </wp:positionV>
            <wp:extent cx="62922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119380</wp:posOffset>
            </wp:positionV>
            <wp:extent cx="629221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1066" w:right="999" w:bottom="1440" w:gutter="0" w:footer="0" w:header="0"/>
        </w:sectPr>
      </w:pPr>
    </w:p>
    <w:bookmarkStart w:id="1" w:name="page2"/>
    <w:bookmarkEnd w:id="1"/>
    <w:p>
      <w:pPr>
        <w:ind w:left="60"/>
        <w:spacing w:after="0"/>
        <w:tabs>
          <w:tab w:leader="none" w:pos="16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color w:val="auto"/>
        </w:rPr>
        <w:t>Other Events</w:t>
      </w:r>
    </w:p>
    <w:p>
      <w:pPr>
        <w:spacing w:after="0" w:line="119" w:lineRule="exact"/>
        <w:rPr>
          <w:sz w:val="20"/>
          <w:szCs w:val="20"/>
          <w:color w:val="auto"/>
        </w:rPr>
      </w:pPr>
    </w:p>
    <w:p>
      <w:pPr>
        <w:ind w:left="60" w:right="219" w:firstLine="648"/>
        <w:spacing w:after="0" w:line="255" w:lineRule="auto"/>
        <w:rPr>
          <w:sz w:val="20"/>
          <w:szCs w:val="20"/>
          <w:color w:val="auto"/>
        </w:rPr>
      </w:pPr>
      <w:r>
        <w:rPr>
          <w:rFonts w:ascii="Arial" w:cs="Arial" w:eastAsia="Arial" w:hAnsi="Arial"/>
          <w:sz w:val="18"/>
          <w:szCs w:val="18"/>
          <w:color w:val="auto"/>
        </w:rPr>
        <w:t>On May 31, 2023, Coherus BioSciences, Inc. (the “Company”) announced that the United States Food and Drug Administraton (the “FDA”) has successfully completed the required pre-licensing inspecton of partner Shanghai Junshi Biosciences Ltd.’s ("Junshi Biosciences") toripalimab manufacturing site in China. The Company believes that the three observatons received at the close of the FDA inspecton are readily addressable and, together with Junshi Biosciences, plans to submit the response to the FDA in early June. The Company is planning the commercial launch of toripalimab in the United States upon approval.</w:t>
      </w:r>
    </w:p>
    <w:p>
      <w:pPr>
        <w:spacing w:after="0" w:line="84" w:lineRule="exact"/>
        <w:rPr>
          <w:sz w:val="20"/>
          <w:szCs w:val="20"/>
          <w:color w:val="auto"/>
        </w:rPr>
      </w:pPr>
    </w:p>
    <w:p>
      <w:pPr>
        <w:ind w:left="60" w:right="139" w:firstLine="648"/>
        <w:spacing w:after="0" w:line="288" w:lineRule="auto"/>
        <w:rPr>
          <w:sz w:val="20"/>
          <w:szCs w:val="20"/>
          <w:color w:val="auto"/>
        </w:rPr>
      </w:pPr>
      <w:r>
        <w:rPr>
          <w:rFonts w:ascii="Arial" w:cs="Arial" w:eastAsia="Arial" w:hAnsi="Arial"/>
          <w:sz w:val="16"/>
          <w:szCs w:val="16"/>
          <w:color w:val="auto"/>
        </w:rPr>
        <w:t>This descripton contains "forward-looking statements" within the meaning of the Private Securites Litgaton Reform Act of 1995. These forward-looking statements include, but are not limited to, statements regarding the Company's ability to address FDA observatons and regarding tming of a response and any commercial launch. These statements are based on management's current expectatons and beliefs and are subject to uncertainty and changes in circumstances. Actual results may vary materially from those expressed or implied by such statements due to the risks, uncertaintes and other factors described in the Company's flings with the Securites and Exchange Commission. The "forward-looking statements" included in such informaton are made only as of the date of this report. We do not have and do not undertake any obligaton to publicly update any "forward-looking statements" to refect subsequent events or circumstances, and we expressly disclaim any such obligaton, except as required by law or regulaton.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1322070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5"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7" w:lineRule="exact"/>
        <w:rPr>
          <w:sz w:val="20"/>
          <w:szCs w:val="20"/>
          <w:color w:val="auto"/>
        </w:rPr>
      </w:pPr>
    </w:p>
    <w:p>
      <w:pPr>
        <w:ind w:left="60" w:right="299" w:firstLine="440"/>
        <w:spacing w:after="0" w:line="273" w:lineRule="auto"/>
        <w:rPr>
          <w:sz w:val="20"/>
          <w:szCs w:val="20"/>
          <w:color w:val="auto"/>
        </w:rPr>
      </w:pPr>
      <w:r>
        <w:rPr>
          <w:rFonts w:ascii="Arial" w:cs="Arial" w:eastAsia="Arial" w:hAnsi="Arial"/>
          <w:sz w:val="18"/>
          <w:szCs w:val="18"/>
          <w:color w:val="auto"/>
        </w:rPr>
        <w:t>Pursuant to the requirements of the Securites Exchange Act of 1934, as amended, the registrant has duly caused this report to be signed on its behalf by the undersigned hereunto duly authorized.</w:t>
      </w:r>
    </w:p>
    <w:p>
      <w:pPr>
        <w:spacing w:after="0" w:line="204" w:lineRule="exact"/>
        <w:rPr>
          <w:sz w:val="20"/>
          <w:szCs w:val="20"/>
          <w:color w:val="auto"/>
        </w:rPr>
      </w:pPr>
    </w:p>
    <w:p>
      <w:pPr>
        <w:ind w:left="60"/>
        <w:spacing w:after="0"/>
        <w:tabs>
          <w:tab w:leader="none" w:pos="4740" w:val="left"/>
        </w:tabs>
        <w:rPr>
          <w:sz w:val="20"/>
          <w:szCs w:val="20"/>
          <w:color w:val="auto"/>
        </w:rPr>
      </w:pPr>
      <w:r>
        <w:rPr>
          <w:rFonts w:ascii="Arial" w:cs="Arial" w:eastAsia="Arial" w:hAnsi="Arial"/>
          <w:sz w:val="18"/>
          <w:szCs w:val="18"/>
          <w:color w:val="auto"/>
        </w:rPr>
        <w:t>Date: May 31, 2023</w:t>
      </w:r>
      <w:r>
        <w:rPr>
          <w:sz w:val="20"/>
          <w:szCs w:val="20"/>
          <w:color w:val="auto"/>
        </w:rPr>
        <w:tab/>
      </w:r>
      <w:r>
        <w:rPr>
          <w:rFonts w:ascii="Arial" w:cs="Arial" w:eastAsia="Arial" w:hAnsi="Arial"/>
          <w:sz w:val="13"/>
          <w:szCs w:val="13"/>
          <w:color w:val="auto"/>
        </w:rPr>
        <w:t>COHERUS BIOSCIENCES, INC.</w:t>
      </w:r>
    </w:p>
    <w:p>
      <w:pPr>
        <w:spacing w:after="0" w:line="225" w:lineRule="exact"/>
        <w:rPr>
          <w:sz w:val="20"/>
          <w:szCs w:val="20"/>
          <w:color w:val="auto"/>
        </w:rPr>
      </w:pPr>
    </w:p>
    <w:p>
      <w:pPr>
        <w:ind w:left="4760"/>
        <w:spacing w:after="0"/>
        <w:tabs>
          <w:tab w:leader="none" w:pos="5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McDavid Stlwell</w:t>
      </w:r>
    </w:p>
    <w:p>
      <w:pPr>
        <w:spacing w:after="0" w:line="3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 McDavid Stlwell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3340100</wp:posOffset>
            </wp:positionH>
            <wp:positionV relativeFrom="paragraph">
              <wp:posOffset>-125730</wp:posOffset>
            </wp:positionV>
            <wp:extent cx="23488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ind w:left="4760"/>
        <w:spacing w:after="0"/>
        <w:tabs>
          <w:tab w:leader="none" w:pos="5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850900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8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2023-05-31T12:03:03Z</dcterms:created>
  <dcterms:modified xsi:type="dcterms:W3CDTF">2023-05-31T12:03:03Z</dcterms:modified>
</cp:coreProperties>
</file>