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120650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w:t>
      </w:r>
    </w:p>
    <w:p>
      <w:pPr>
        <w:spacing w:after="0" w:line="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3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Date of Report (Date of earliest event reported): April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COHERUS BIOSCIENCES, INC.</w:t>
      </w:r>
    </w:p>
    <w:p>
      <w:pPr>
        <w:spacing w:after="0" w:line="2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1" w:lineRule="exact"/>
        <w:rPr>
          <w:sz w:val="24"/>
          <w:szCs w:val="24"/>
          <w:color w:val="auto"/>
        </w:rPr>
      </w:pPr>
    </w:p>
    <w:tbl>
      <w:tblPr>
        <w:tblLayout w:type="fixed"/>
        <w:tblInd w:w="900" w:type="dxa"/>
        <w:tblCellMar>
          <w:top w:w="0" w:type="dxa"/>
          <w:left w:w="0" w:type="dxa"/>
          <w:bottom w:w="0" w:type="dxa"/>
          <w:right w:w="0" w:type="dxa"/>
        </w:tblCellMar>
      </w:tblPr>
      <w:tr>
        <w:trPr>
          <w:trHeight w:val="195"/>
        </w:trPr>
        <w:tc>
          <w:tcPr>
            <w:tcW w:w="2680" w:type="dxa"/>
            <w:vAlign w:val="bottom"/>
          </w:tcPr>
          <w:p>
            <w:pPr>
              <w:jc w:val="center"/>
              <w:ind w:right="1025"/>
              <w:spacing w:after="0"/>
              <w:rPr>
                <w:sz w:val="20"/>
                <w:szCs w:val="20"/>
                <w:color w:val="auto"/>
              </w:rPr>
            </w:pPr>
            <w:r>
              <w:rPr>
                <w:rFonts w:ascii="Calibri" w:cs="Calibri" w:eastAsia="Calibri" w:hAnsi="Calibri"/>
                <w:sz w:val="16"/>
                <w:szCs w:val="16"/>
                <w:b w:val="1"/>
                <w:bCs w:val="1"/>
                <w:color w:val="auto"/>
                <w:w w:val="97"/>
              </w:rPr>
              <w:t>Delaware</w:t>
            </w:r>
          </w:p>
        </w:tc>
        <w:tc>
          <w:tcPr>
            <w:tcW w:w="2960" w:type="dxa"/>
            <w:vAlign w:val="bottom"/>
          </w:tcPr>
          <w:p>
            <w:pPr>
              <w:jc w:val="center"/>
              <w:spacing w:after="0"/>
              <w:rPr>
                <w:sz w:val="20"/>
                <w:szCs w:val="20"/>
                <w:color w:val="auto"/>
              </w:rPr>
            </w:pPr>
            <w:r>
              <w:rPr>
                <w:rFonts w:ascii="Calibri" w:cs="Calibri" w:eastAsia="Calibri" w:hAnsi="Calibri"/>
                <w:sz w:val="16"/>
                <w:szCs w:val="16"/>
                <w:b w:val="1"/>
                <w:bCs w:val="1"/>
                <w:color w:val="auto"/>
              </w:rPr>
              <w:t>001-36721</w:t>
            </w:r>
          </w:p>
        </w:tc>
        <w:tc>
          <w:tcPr>
            <w:tcW w:w="2480" w:type="dxa"/>
            <w:vAlign w:val="bottom"/>
          </w:tcPr>
          <w:p>
            <w:pPr>
              <w:jc w:val="center"/>
              <w:ind w:left="1025"/>
              <w:spacing w:after="0"/>
              <w:rPr>
                <w:sz w:val="20"/>
                <w:szCs w:val="20"/>
                <w:color w:val="auto"/>
              </w:rPr>
            </w:pPr>
            <w:r>
              <w:rPr>
                <w:rFonts w:ascii="Calibri" w:cs="Calibri" w:eastAsia="Calibri" w:hAnsi="Calibri"/>
                <w:sz w:val="16"/>
                <w:szCs w:val="16"/>
                <w:b w:val="1"/>
                <w:bCs w:val="1"/>
                <w:color w:val="auto"/>
              </w:rPr>
              <w:t>27-3615821</w:t>
            </w:r>
          </w:p>
        </w:tc>
      </w:tr>
      <w:tr>
        <w:trPr>
          <w:trHeight w:val="183"/>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(State or other jurisdicton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(Commission</w:t>
            </w:r>
          </w:p>
        </w:tc>
        <w:tc>
          <w:tcPr>
            <w:tcW w:w="2480" w:type="dxa"/>
            <w:vAlign w:val="bottom"/>
          </w:tcPr>
          <w:p>
            <w:pPr>
              <w:jc w:val="center"/>
              <w:ind w:left="1025"/>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of incorporaton)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File Number)</w:t>
            </w:r>
          </w:p>
        </w:tc>
        <w:tc>
          <w:tcPr>
            <w:tcW w:w="2480" w:type="dxa"/>
            <w:vAlign w:val="bottom"/>
          </w:tcPr>
          <w:p>
            <w:pPr>
              <w:jc w:val="center"/>
              <w:ind w:left="1045"/>
              <w:spacing w:after="0"/>
              <w:rPr>
                <w:sz w:val="20"/>
                <w:szCs w:val="20"/>
                <w:color w:val="auto"/>
              </w:rPr>
            </w:pPr>
            <w:r>
              <w:rPr>
                <w:rFonts w:ascii="Calibri" w:cs="Calibri" w:eastAsia="Calibri" w:hAnsi="Calibri"/>
                <w:sz w:val="14"/>
                <w:szCs w:val="14"/>
                <w:b w:val="1"/>
                <w:bCs w:val="1"/>
                <w:color w:val="auto"/>
              </w:rPr>
              <w:t>Identfcaton Number)</w:t>
            </w:r>
          </w:p>
        </w:tc>
      </w:tr>
    </w:tbl>
    <w:p>
      <w:pPr>
        <w:spacing w:after="0" w:line="128" w:lineRule="exact"/>
        <w:rPr>
          <w:sz w:val="24"/>
          <w:szCs w:val="24"/>
          <w:color w:val="auto"/>
        </w:rPr>
      </w:pPr>
    </w:p>
    <w:p>
      <w:pPr>
        <w:ind w:left="3740"/>
        <w:spacing w:after="0"/>
        <w:rPr>
          <w:sz w:val="20"/>
          <w:szCs w:val="20"/>
          <w:color w:val="auto"/>
        </w:rPr>
      </w:pPr>
      <w:r>
        <w:rPr>
          <w:rFonts w:ascii="Calibri" w:cs="Calibri" w:eastAsia="Calibri" w:hAnsi="Calibri"/>
          <w:sz w:val="18"/>
          <w:szCs w:val="18"/>
          <w:b w:val="1"/>
          <w:bCs w:val="1"/>
          <w:color w:val="auto"/>
        </w:rPr>
        <w:t>333 Twin Dolphin Drive, Suite 600</w:t>
      </w:r>
    </w:p>
    <w:p>
      <w:pPr>
        <w:ind w:left="4080"/>
        <w:spacing w:after="0" w:line="235" w:lineRule="auto"/>
        <w:rPr>
          <w:sz w:val="20"/>
          <w:szCs w:val="20"/>
          <w:color w:val="auto"/>
        </w:rPr>
      </w:pPr>
      <w:r>
        <w:rPr>
          <w:rFonts w:ascii="Calibri" w:cs="Calibri" w:eastAsia="Calibri" w:hAnsi="Calibri"/>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(Address of principal executve ofces, including Zip Code)</w:t>
      </w:r>
    </w:p>
    <w:p>
      <w:pPr>
        <w:spacing w:after="0" w:line="12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(650) 649-3530</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N/A</w:t>
      </w:r>
    </w:p>
    <w:p>
      <w:pPr>
        <w:jc w:val="center"/>
        <w:spacing w:after="0" w:line="236" w:lineRule="auto"/>
        <w:rPr>
          <w:sz w:val="20"/>
          <w:szCs w:val="20"/>
          <w:color w:val="auto"/>
        </w:rPr>
      </w:pPr>
      <w:r>
        <w:rPr>
          <w:rFonts w:ascii="Calibri" w:cs="Calibri" w:eastAsia="Calibri" w:hAnsi="Calibri"/>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66675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57" w:lineRule="exact"/>
        <w:rPr>
          <w:sz w:val="24"/>
          <w:szCs w:val="24"/>
          <w:color w:val="auto"/>
        </w:rPr>
      </w:pPr>
    </w:p>
    <w:p>
      <w:pPr>
        <w:ind w:right="8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32"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36" w:lineRule="exact"/>
        <w:rPr>
          <w:rFonts w:ascii="MS PGothic" w:cs="MS PGothic" w:eastAsia="MS PGothic" w:hAnsi="MS PGothic"/>
          <w:sz w:val="18"/>
          <w:szCs w:val="18"/>
          <w:color w:val="auto"/>
        </w:rPr>
      </w:pPr>
    </w:p>
    <w:p>
      <w:pPr>
        <w:ind w:right="1600" w:firstLine="9"/>
        <w:spacing w:after="0" w:line="378" w:lineRule="auto"/>
        <w:tabs>
          <w:tab w:leader="none" w:pos="5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Trading</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r>
      <w:tr>
        <w:trPr>
          <w:trHeight w:val="189"/>
        </w:trPr>
        <w:tc>
          <w:tcPr>
            <w:tcW w:w="36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Title of each class</w:t>
            </w:r>
          </w:p>
        </w:tc>
        <w:tc>
          <w:tcPr>
            <w:tcW w:w="32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Symbol(s)</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r>
      <w:tr>
        <w:trPr>
          <w:trHeight w:val="215"/>
        </w:trPr>
        <w:tc>
          <w:tcPr>
            <w:tcW w:w="348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Common Stock, $0.0001 par value per share</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CHRS</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The Nasdaq Global Market</w:t>
            </w:r>
          </w:p>
        </w:tc>
      </w:tr>
    </w:tbl>
    <w:p>
      <w:pPr>
        <w:spacing w:after="0" w:line="114" w:lineRule="exact"/>
        <w:rPr>
          <w:sz w:val="24"/>
          <w:szCs w:val="24"/>
          <w:color w:val="auto"/>
        </w:rPr>
      </w:pPr>
    </w:p>
    <w:p>
      <w:pPr>
        <w:ind w:right="6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100"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81" w:lineRule="exact"/>
        <w:rPr>
          <w:sz w:val="24"/>
          <w:szCs w:val="24"/>
          <w:color w:val="auto"/>
        </w:rPr>
      </w:pPr>
    </w:p>
    <w:p>
      <w:pPr>
        <w:ind w:right="740"/>
        <w:spacing w:after="0" w:line="24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 w:name="page2"/>
    <w:bookmarkEnd w:id="1"/>
    <w:p>
      <w:pPr>
        <w:ind w:left="60"/>
        <w:spacing w:after="0"/>
        <w:rPr>
          <w:sz w:val="20"/>
          <w:szCs w:val="20"/>
          <w:color w:val="auto"/>
        </w:rPr>
      </w:pPr>
      <w:r>
        <w:rPr>
          <w:rFonts w:ascii="Calibri" w:cs="Calibri" w:eastAsia="Calibri" w:hAnsi="Calibri"/>
          <w:sz w:val="18"/>
          <w:szCs w:val="18"/>
          <w:b w:val="1"/>
          <w:bCs w:val="1"/>
          <w:color w:val="auto"/>
        </w:rPr>
        <w:t>Introductory Note</w:t>
      </w:r>
    </w:p>
    <w:p>
      <w:pPr>
        <w:spacing w:after="0" w:line="217" w:lineRule="exact"/>
        <w:rPr>
          <w:sz w:val="20"/>
          <w:szCs w:val="20"/>
          <w:color w:val="auto"/>
        </w:rPr>
      </w:pPr>
    </w:p>
    <w:p>
      <w:pPr>
        <w:ind w:left="60" w:right="79" w:firstLine="648"/>
        <w:spacing w:after="0" w:line="235" w:lineRule="auto"/>
        <w:rPr>
          <w:sz w:val="20"/>
          <w:szCs w:val="20"/>
          <w:color w:val="auto"/>
        </w:rPr>
      </w:pPr>
      <w:r>
        <w:rPr>
          <w:rFonts w:ascii="Calibri" w:cs="Calibri" w:eastAsia="Calibri" w:hAnsi="Calibri"/>
          <w:sz w:val="18"/>
          <w:szCs w:val="18"/>
          <w:color w:val="auto"/>
        </w:rPr>
        <w:t>As previously announced, on December 2, 2024, Coherus BioSciences, Inc., a Delaware corporaton (the “Company”), entered into an Asset Purchase Agreement (the “UDENYCA Purchase Agreement”) by and between the Company and Intas Pharmaceutcals Ltd., a limited company incorporated in India (“Intas”). Pursuant to the terms and subject to the conditons set forth in the UDENYCA Purchase Agreement, the Company agreed to divest its UDENYCA® (pegflgrastm-cbqv) franchise (collectvely, the “Business”) to Intas. Capitalized terms used but not defned herein have those meanings set forth in the UDENYCA Purchase Agreement.</w:t>
      </w:r>
    </w:p>
    <w:p>
      <w:pPr>
        <w:spacing w:after="0" w:line="221" w:lineRule="exact"/>
        <w:rPr>
          <w:sz w:val="20"/>
          <w:szCs w:val="20"/>
          <w:color w:val="auto"/>
        </w:rPr>
      </w:pPr>
    </w:p>
    <w:p>
      <w:pPr>
        <w:ind w:left="60" w:right="79" w:firstLine="648"/>
        <w:spacing w:after="0" w:line="235" w:lineRule="auto"/>
        <w:rPr>
          <w:sz w:val="20"/>
          <w:szCs w:val="20"/>
          <w:color w:val="auto"/>
        </w:rPr>
      </w:pPr>
      <w:r>
        <w:rPr>
          <w:rFonts w:ascii="Calibri" w:cs="Calibri" w:eastAsia="Calibri" w:hAnsi="Calibri"/>
          <w:sz w:val="18"/>
          <w:szCs w:val="18"/>
          <w:color w:val="auto"/>
        </w:rPr>
        <w:t>On April 11, 2025 (the “Closing Date”), the Company completed the divestture of the Business (the “UDENYCA Dispositon”) to Intas for upfront, all-cash consideraton of $483.4 million in cash, inclusive of $118.4 million for UDENYCA product inventory. Such consideraton is subject to certain adjustments that will be fnalized following the closing pursuant to the UDENYCA Purchase Agreement.</w:t>
      </w:r>
    </w:p>
    <w:p>
      <w:pPr>
        <w:spacing w:after="0" w:line="219" w:lineRule="exact"/>
        <w:rPr>
          <w:sz w:val="20"/>
          <w:szCs w:val="20"/>
          <w:color w:val="auto"/>
        </w:rPr>
      </w:pPr>
    </w:p>
    <w:p>
      <w:pPr>
        <w:ind w:left="60" w:right="79" w:firstLine="648"/>
        <w:spacing w:after="0" w:line="235" w:lineRule="auto"/>
        <w:rPr>
          <w:sz w:val="20"/>
          <w:szCs w:val="20"/>
          <w:color w:val="auto"/>
        </w:rPr>
      </w:pPr>
      <w:r>
        <w:rPr>
          <w:rFonts w:ascii="Calibri" w:cs="Calibri" w:eastAsia="Calibri" w:hAnsi="Calibri"/>
          <w:sz w:val="18"/>
          <w:szCs w:val="18"/>
          <w:color w:val="auto"/>
        </w:rPr>
        <w:t>In additon, the Company is also eligible to receive two additonal payments of $37.5 million each. The frst such payment is payable by Intas to the Company if Net Sales of UDENYCA for four consecutve fscal quarters from the start of the quarter ending September 30, 2025 untl the end of the quarter ending September 30, 2026 are equal to or greater than $300 million, and the second such payment is payable by Intas to the Company if Net Sales of UDENYCA® for four consecutve fscal quarters from the start of the quarter ending September 30, 2025 untl the end of the quarter ending March 31, 2027 are equal to or greater than $350 million. Efectve on April 14, 2025 approximately 40 full-tme employees of the Company transferred to the U.S. subsidiary of Intas to support UDENYCA.</w:t>
      </w:r>
    </w:p>
    <w:p>
      <w:pPr>
        <w:spacing w:after="0" w:line="217"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Item 2.01 Completon of Acquisiton or Dispositon of Assets</w:t>
      </w:r>
    </w:p>
    <w:p>
      <w:pPr>
        <w:spacing w:after="0" w:line="212" w:lineRule="exact"/>
        <w:rPr>
          <w:sz w:val="20"/>
          <w:szCs w:val="20"/>
          <w:color w:val="auto"/>
        </w:rPr>
      </w:pPr>
    </w:p>
    <w:p>
      <w:pPr>
        <w:ind w:left="700"/>
        <w:spacing w:after="0"/>
        <w:rPr>
          <w:sz w:val="20"/>
          <w:szCs w:val="20"/>
          <w:color w:val="auto"/>
        </w:rPr>
      </w:pPr>
      <w:r>
        <w:rPr>
          <w:rFonts w:ascii="Calibri" w:cs="Calibri" w:eastAsia="Calibri" w:hAnsi="Calibri"/>
          <w:sz w:val="18"/>
          <w:szCs w:val="18"/>
          <w:color w:val="auto"/>
        </w:rPr>
        <w:t>The informaton included in the Introductory Note above is incorporated herein by reference into this Item 2.01.</w:t>
      </w:r>
    </w:p>
    <w:p>
      <w:pPr>
        <w:spacing w:after="0" w:line="217" w:lineRule="exact"/>
        <w:rPr>
          <w:sz w:val="20"/>
          <w:szCs w:val="20"/>
          <w:color w:val="auto"/>
        </w:rPr>
      </w:pPr>
    </w:p>
    <w:p>
      <w:pPr>
        <w:ind w:left="60" w:right="179" w:firstLine="648"/>
        <w:spacing w:after="0" w:line="235" w:lineRule="auto"/>
        <w:rPr>
          <w:sz w:val="20"/>
          <w:szCs w:val="20"/>
          <w:color w:val="auto"/>
        </w:rPr>
      </w:pPr>
      <w:r>
        <w:rPr>
          <w:rFonts w:ascii="Calibri" w:cs="Calibri" w:eastAsia="Calibri" w:hAnsi="Calibri"/>
          <w:sz w:val="18"/>
          <w:szCs w:val="18"/>
          <w:color w:val="auto"/>
        </w:rPr>
        <w:t>The foregoing descripton of the UDENYCA Purchase Agreement and the UDENYCA Dispositon does not purport to be complete and is subject to, and qualifed in its entrety by, the full text of the UDENYCA Purchase Agreement, a copy of which was fled as Exhibit 2.1 of the Company’s Current Report on Form 8-K fled with the Securites and Exchange Commission on December 3, 2024, the terms of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Item 7.01 Regulaton FD Disclosure</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i w:val="1"/>
          <w:iCs w:val="1"/>
          <w:color w:val="auto"/>
        </w:rPr>
        <w:t>Press Release Announcing the Closing of the UDENYCA Dispositon</w:t>
      </w:r>
    </w:p>
    <w:p>
      <w:pPr>
        <w:spacing w:after="0" w:line="217" w:lineRule="exact"/>
        <w:rPr>
          <w:sz w:val="20"/>
          <w:szCs w:val="20"/>
          <w:color w:val="auto"/>
        </w:rPr>
      </w:pPr>
    </w:p>
    <w:p>
      <w:pPr>
        <w:jc w:val="both"/>
        <w:ind w:left="60" w:right="59" w:firstLine="648"/>
        <w:spacing w:after="0" w:line="258" w:lineRule="auto"/>
        <w:rPr>
          <w:sz w:val="20"/>
          <w:szCs w:val="20"/>
          <w:color w:val="auto"/>
        </w:rPr>
      </w:pPr>
      <w:r>
        <w:rPr>
          <w:rFonts w:ascii="Calibri" w:cs="Calibri" w:eastAsia="Calibri" w:hAnsi="Calibri"/>
          <w:sz w:val="17"/>
          <w:szCs w:val="17"/>
          <w:color w:val="auto"/>
        </w:rPr>
        <w:t>On April 14, 2025, the Company issued a press release announcing the closing of the UDENYCA Dispositon. A copy of the press release is atached as Exhibit 99.1 to this Current Report on Form 8-K and is incorporated herein by reference.</w:t>
      </w:r>
    </w:p>
    <w:p>
      <w:pPr>
        <w:spacing w:after="0" w:line="197" w:lineRule="exact"/>
        <w:rPr>
          <w:sz w:val="20"/>
          <w:szCs w:val="20"/>
          <w:color w:val="auto"/>
        </w:rPr>
      </w:pPr>
    </w:p>
    <w:p>
      <w:pPr>
        <w:ind w:left="60"/>
        <w:spacing w:after="0"/>
        <w:rPr>
          <w:sz w:val="20"/>
          <w:szCs w:val="20"/>
          <w:color w:val="auto"/>
        </w:rPr>
      </w:pPr>
      <w:r>
        <w:rPr>
          <w:rFonts w:ascii="Calibri" w:cs="Calibri" w:eastAsia="Calibri" w:hAnsi="Calibri"/>
          <w:sz w:val="18"/>
          <w:szCs w:val="18"/>
          <w:i w:val="1"/>
          <w:iCs w:val="1"/>
          <w:color w:val="auto"/>
        </w:rPr>
        <w:t>Convertble Notes Repurchase</w:t>
      </w:r>
    </w:p>
    <w:p>
      <w:pPr>
        <w:spacing w:after="0" w:line="217" w:lineRule="exact"/>
        <w:rPr>
          <w:sz w:val="20"/>
          <w:szCs w:val="20"/>
          <w:color w:val="auto"/>
        </w:rPr>
      </w:pPr>
    </w:p>
    <w:p>
      <w:pPr>
        <w:jc w:val="both"/>
        <w:ind w:left="60" w:right="59" w:firstLine="648"/>
        <w:spacing w:after="0" w:line="235" w:lineRule="auto"/>
        <w:rPr>
          <w:sz w:val="20"/>
          <w:szCs w:val="20"/>
          <w:color w:val="auto"/>
        </w:rPr>
      </w:pPr>
      <w:r>
        <w:rPr>
          <w:rFonts w:ascii="Calibri" w:cs="Calibri" w:eastAsia="Calibri" w:hAnsi="Calibri"/>
          <w:sz w:val="18"/>
          <w:szCs w:val="18"/>
          <w:color w:val="auto"/>
        </w:rPr>
        <w:t>The Company expects to consummate the previously announced privately negotated repurchase transactons (the “Private Repurchases”) with certain holders of its 1.500% Convertble Senior Subordinated Notes due 2026 (the “Convertble Notes”) on April 15, 2025.</w:t>
      </w:r>
    </w:p>
    <w:p>
      <w:pPr>
        <w:spacing w:after="0" w:line="219" w:lineRule="exact"/>
        <w:rPr>
          <w:sz w:val="20"/>
          <w:szCs w:val="20"/>
          <w:color w:val="auto"/>
        </w:rPr>
      </w:pPr>
    </w:p>
    <w:p>
      <w:pPr>
        <w:ind w:left="60" w:right="339" w:firstLine="648"/>
        <w:spacing w:after="0" w:line="235" w:lineRule="auto"/>
        <w:rPr>
          <w:sz w:val="20"/>
          <w:szCs w:val="20"/>
          <w:color w:val="auto"/>
        </w:rPr>
      </w:pPr>
      <w:r>
        <w:rPr>
          <w:rFonts w:ascii="Calibri" w:cs="Calibri" w:eastAsia="Calibri" w:hAnsi="Calibri"/>
          <w:sz w:val="18"/>
          <w:szCs w:val="18"/>
          <w:color w:val="auto"/>
        </w:rPr>
        <w:t>The informaton included under Item 7.01 in this Current Report on Form 8-K, including Exhibit 99.1, shall not be deemed “fled” for purposes of Secton 18 of the Securites Exchange Act of 1934, as amended (the “Exchange Act”), or otherwise subject to the liabilites of that Secton, nor shall it be deemed to be incorporated by reference into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2" w:name="page3"/>
    <w:bookmarkEnd w:id="2"/>
    <w:p>
      <w:pPr>
        <w:ind w:left="60" w:right="379"/>
        <w:spacing w:after="0" w:line="235" w:lineRule="auto"/>
        <w:rPr>
          <w:sz w:val="20"/>
          <w:szCs w:val="20"/>
          <w:color w:val="auto"/>
        </w:rPr>
      </w:pPr>
      <w:r>
        <w:rPr>
          <w:rFonts w:ascii="Calibri" w:cs="Calibri" w:eastAsia="Calibri" w:hAnsi="Calibri"/>
          <w:sz w:val="18"/>
          <w:szCs w:val="18"/>
          <w:color w:val="auto"/>
        </w:rPr>
        <w:t>fling of the Company under the Securites Act of 1933, as amended, or the Exchange Act, except as expressly set forth by specifc reference in such fling.</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(b) Pro Forma Financial Informaton</w:t>
      </w:r>
    </w:p>
    <w:p>
      <w:pPr>
        <w:spacing w:after="0" w:line="217" w:lineRule="exact"/>
        <w:rPr>
          <w:sz w:val="20"/>
          <w:szCs w:val="20"/>
          <w:color w:val="auto"/>
        </w:rPr>
      </w:pPr>
    </w:p>
    <w:p>
      <w:pPr>
        <w:ind w:left="60" w:right="99" w:firstLine="648"/>
        <w:spacing w:after="0" w:line="235" w:lineRule="auto"/>
        <w:rPr>
          <w:sz w:val="20"/>
          <w:szCs w:val="20"/>
          <w:color w:val="auto"/>
        </w:rPr>
      </w:pPr>
      <w:r>
        <w:rPr>
          <w:rFonts w:ascii="Calibri" w:cs="Calibri" w:eastAsia="Calibri" w:hAnsi="Calibri"/>
          <w:sz w:val="18"/>
          <w:szCs w:val="18"/>
          <w:color w:val="auto"/>
        </w:rPr>
        <w:t>The unaudited pro forma condensed combined fnancial informaton and the related notes are fled as Exhibit 99.2 to this Current Report on Form 8-K and are incorporated herein by reference. They present the unaudited pro forma condensed combined balance sheet and the unaudited pro forma condensed combined statements of operatons of the Company afer giving pro forma efect to (i) the UDENYCA Dispositon and (A) the assumed payment of $49.1 million, which represents the UDENYCA porton of the Revenue Partcipaton Right Purchase and Sale Agreement dated May 8, 2024 between the Company and Coduet Royalty Holdings, LLC; and (B) the assumed payment of $230 million in aggregate principal amount, $0.7 million accrued interest and $3.8 million of transacton expenses to repurchase all outstanding Convertble Notes pursuant to both the Private Repurchases with certain holders of Convertble Notes and the assumed repurchase of all remaining Convertble Notes by the Company; (ii) the divestture of the Company’s YUSIMRY (adalimumab-aqvh) franchise through the sale of certain assets, including YUSIMRY, to Hong Kong King-Friend Industrial Company Ltd. (the “YUSIMRY Dispositon”); and (iii) the divestture of the Company’s CIMERLI® (ranibizumab-eqrn) ophthalmology franchise through the sale of its subsidiary, Coherus Ophthalmology LLC, to Sandoz Inc. (the “CIMERLI Dispositon”) and transactons related to the CIMERLI Dispositon including the concurrent partal prepayment of Coherus’ term loans due in January 2027 that occurred in April 2024. The UDENYCA Dispositon will represent a strategic shif; thus, the Company’s entre biosimilar business, inclusive of the CIMERLI, YUSIMRY and UDENYCA franchises, will be presented as discontnued operatons. As such, the unaudited pro forma condensed combined statement of operatons for the year ended December 31, 2023 has been recast to exclude results from discontnued operatons and only present income (loss) from contnuing operatons. The unaudited pro forma condensed combined balance sheet as of December 31, 2024 was prepared as though the UDENYCA Dispositon occurred on December 31, 2024.</w:t>
      </w:r>
    </w:p>
    <w:p>
      <w:pPr>
        <w:spacing w:after="0" w:line="227"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(d) Exhibits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040" w:type="dxa"/>
            <w:vAlign w:val="bottom"/>
            <w:tcBorders>
              <w:bottom w:val="single" w:sz="8" w:color="auto"/>
            </w:tcBorders>
            <w:gridSpan w:val="2"/>
          </w:tcPr>
          <w:p>
            <w:pPr>
              <w:spacing w:after="0"/>
              <w:rPr>
                <w:sz w:val="20"/>
                <w:szCs w:val="20"/>
                <w:color w:val="auto"/>
              </w:rPr>
            </w:pPr>
            <w:r>
              <w:rPr>
                <w:rFonts w:ascii="Calibri" w:cs="Calibri" w:eastAsia="Calibri" w:hAnsi="Calibri"/>
                <w:sz w:val="14"/>
                <w:szCs w:val="14"/>
                <w:b w:val="1"/>
                <w:bCs w:val="1"/>
                <w:color w:val="auto"/>
              </w:rPr>
              <w:t>Exhibit No.</w:t>
            </w:r>
          </w:p>
        </w:tc>
        <w:tc>
          <w:tcPr>
            <w:tcW w:w="7860" w:type="dxa"/>
            <w:vAlign w:val="bottom"/>
            <w:tcBorders>
              <w:bottom w:val="single" w:sz="8" w:color="auto"/>
            </w:tcBorders>
            <w:gridSpan w:val="7"/>
          </w:tcPr>
          <w:p>
            <w:pPr>
              <w:spacing w:after="0"/>
              <w:rPr>
                <w:sz w:val="20"/>
                <w:szCs w:val="20"/>
                <w:color w:val="auto"/>
              </w:rPr>
            </w:pPr>
            <w:r>
              <w:rPr>
                <w:rFonts w:ascii="Calibri" w:cs="Calibri" w:eastAsia="Calibri" w:hAnsi="Calibri"/>
                <w:sz w:val="14"/>
                <w:szCs w:val="14"/>
                <w:b w:val="1"/>
                <w:bCs w:val="1"/>
                <w:color w:val="auto"/>
              </w:rPr>
              <w:t>Descripton</w:t>
            </w:r>
          </w:p>
        </w:tc>
      </w:tr>
      <w:tr>
        <w:trPr>
          <w:trHeight w:val="162"/>
        </w:trPr>
        <w:tc>
          <w:tcPr>
            <w:tcW w:w="300" w:type="dxa"/>
            <w:vAlign w:val="bottom"/>
            <w:tcBorders>
              <w:bottom w:val="single" w:sz="8" w:color="0000EE"/>
            </w:tcBorders>
          </w:tcPr>
          <w:p>
            <w:pPr>
              <w:spacing w:after="0" w:line="162" w:lineRule="exact"/>
              <w:rPr>
                <w:rFonts w:ascii="Calibri" w:cs="Calibri" w:eastAsia="Calibri" w:hAnsi="Calibri"/>
                <w:sz w:val="17"/>
                <w:szCs w:val="17"/>
                <w:color w:val="0000EE"/>
                <w:w w:val="93"/>
              </w:rPr>
            </w:pPr>
            <w:hyperlink r:id="rId19">
              <w:r>
                <w:rPr>
                  <w:rFonts w:ascii="Calibri" w:cs="Calibri" w:eastAsia="Calibri" w:hAnsi="Calibri"/>
                  <w:sz w:val="17"/>
                  <w:szCs w:val="17"/>
                  <w:color w:val="0000EE"/>
                  <w:w w:val="93"/>
                </w:rPr>
                <w:t>2.</w:t>
              </w:r>
              <w:r>
                <w:rPr>
                  <w:rFonts w:ascii="Calibri" w:cs="Calibri" w:eastAsia="Calibri" w:hAnsi="Calibri"/>
                  <w:sz w:val="17"/>
                  <w:szCs w:val="17"/>
                  <w:u w:val="single" w:color="auto"/>
                  <w:color w:val="0000EE"/>
                  <w:w w:val="93"/>
                </w:rPr>
                <w:t>1*</w:t>
              </w:r>
            </w:hyperlink>
          </w:p>
        </w:tc>
        <w:tc>
          <w:tcPr>
            <w:tcW w:w="740" w:type="dxa"/>
            <w:vAlign w:val="bottom"/>
          </w:tcPr>
          <w:p>
            <w:pPr>
              <w:spacing w:after="0"/>
              <w:rPr>
                <w:sz w:val="14"/>
                <w:szCs w:val="14"/>
                <w:color w:val="auto"/>
              </w:rPr>
            </w:pPr>
          </w:p>
        </w:tc>
        <w:tc>
          <w:tcPr>
            <w:tcW w:w="7240" w:type="dxa"/>
            <w:vAlign w:val="bottom"/>
            <w:tcBorders>
              <w:bottom w:val="single" w:sz="8" w:color="0000EE"/>
            </w:tcBorders>
            <w:gridSpan w:val="5"/>
          </w:tcPr>
          <w:p>
            <w:pPr>
              <w:spacing w:after="0" w:line="162" w:lineRule="exact"/>
              <w:rPr>
                <w:rFonts w:ascii="Calibri" w:cs="Calibri" w:eastAsia="Calibri" w:hAnsi="Calibri"/>
                <w:sz w:val="17"/>
                <w:szCs w:val="17"/>
                <w:color w:val="0000EE"/>
              </w:rPr>
            </w:pPr>
            <w:hyperlink r:id="rId19">
              <w:r>
                <w:rPr>
                  <w:rFonts w:ascii="Calibri" w:cs="Calibri" w:eastAsia="Calibri" w:hAnsi="Calibri"/>
                  <w:sz w:val="17"/>
                  <w:szCs w:val="17"/>
                  <w:color w:val="0000EE"/>
                </w:rPr>
                <w:t>Asset Purchase Agreement, by and between Coherus BioSciences, Inc. and Intas Pharmaceutcals Ltd.,</w:t>
              </w:r>
            </w:hyperlink>
          </w:p>
        </w:tc>
        <w:tc>
          <w:tcPr>
            <w:tcW w:w="620" w:type="dxa"/>
            <w:vAlign w:val="bottom"/>
            <w:gridSpan w:val="2"/>
          </w:tcPr>
          <w:p>
            <w:pPr>
              <w:spacing w:after="0"/>
              <w:rPr>
                <w:sz w:val="14"/>
                <w:szCs w:val="14"/>
                <w:color w:val="auto"/>
              </w:rPr>
            </w:pPr>
          </w:p>
        </w:tc>
      </w:tr>
      <w:tr>
        <w:trPr>
          <w:trHeight w:val="196"/>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60" w:type="dxa"/>
            <w:vAlign w:val="bottom"/>
            <w:gridSpan w:val="7"/>
          </w:tcPr>
          <w:p>
            <w:pPr>
              <w:spacing w:after="0" w:line="196" w:lineRule="exact"/>
              <w:rPr>
                <w:rFonts w:ascii="Calibri" w:cs="Calibri" w:eastAsia="Calibri" w:hAnsi="Calibri"/>
                <w:sz w:val="18"/>
                <w:szCs w:val="18"/>
                <w:color w:val="0000EE"/>
              </w:rPr>
            </w:pPr>
            <w:hyperlink r:id="rId19">
              <w:r>
                <w:rPr>
                  <w:rFonts w:ascii="Calibri" w:cs="Calibri" w:eastAsia="Calibri" w:hAnsi="Calibri"/>
                  <w:sz w:val="18"/>
                  <w:szCs w:val="18"/>
                  <w:color w:val="0000EE"/>
                </w:rPr>
                <w:t>dated December 2, 2024 (incorporated by reference to Exhibit 2.1 to the Current Report on Form 8-K</w:t>
              </w:r>
            </w:hyperlink>
          </w:p>
        </w:tc>
      </w:tr>
      <w:tr>
        <w:trPr>
          <w:trHeight w:val="196"/>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3"/>
          </w:tcPr>
          <w:p>
            <w:pPr>
              <w:spacing w:after="0" w:line="196" w:lineRule="exact"/>
              <w:rPr>
                <w:rFonts w:ascii="Calibri" w:cs="Calibri" w:eastAsia="Calibri" w:hAnsi="Calibri"/>
                <w:sz w:val="18"/>
                <w:szCs w:val="18"/>
                <w:color w:val="0000EE"/>
                <w:w w:val="98"/>
              </w:rPr>
            </w:pPr>
            <w:hyperlink r:id="rId19">
              <w:r>
                <w:rPr>
                  <w:rFonts w:ascii="Calibri" w:cs="Calibri" w:eastAsia="Calibri" w:hAnsi="Calibri"/>
                  <w:sz w:val="18"/>
                  <w:szCs w:val="18"/>
                  <w:color w:val="0000EE"/>
                  <w:w w:val="98"/>
                </w:rPr>
                <w:t>of the Company fled with the Securites and Exchange Commission on December 3, 2024).</w:t>
              </w:r>
            </w:hyperlink>
          </w:p>
        </w:tc>
        <w:tc>
          <w:tcPr>
            <w:tcW w:w="700" w:type="dxa"/>
            <w:vAlign w:val="bottom"/>
            <w:tcBorders>
              <w:top w:val="single" w:sz="8" w:color="0000EE"/>
            </w:tcBorders>
          </w:tcPr>
          <w:p>
            <w:pPr>
              <w:spacing w:after="0"/>
              <w:rPr>
                <w:sz w:val="17"/>
                <w:szCs w:val="17"/>
                <w:color w:val="auto"/>
              </w:rPr>
            </w:pPr>
          </w:p>
        </w:tc>
        <w:tc>
          <w:tcPr>
            <w:tcW w:w="700" w:type="dxa"/>
            <w:vAlign w:val="bottom"/>
            <w:gridSpan w:val="3"/>
          </w:tcPr>
          <w:p>
            <w:pPr>
              <w:spacing w:after="0"/>
              <w:rPr>
                <w:sz w:val="17"/>
                <w:szCs w:val="17"/>
                <w:color w:val="auto"/>
              </w:rPr>
            </w:pPr>
          </w:p>
        </w:tc>
      </w:tr>
      <w:tr>
        <w:trPr>
          <w:trHeight w:val="196"/>
        </w:trPr>
        <w:tc>
          <w:tcPr>
            <w:tcW w:w="300" w:type="dxa"/>
            <w:vAlign w:val="bottom"/>
          </w:tcPr>
          <w:p>
            <w:pPr>
              <w:spacing w:after="0" w:line="196" w:lineRule="exact"/>
              <w:rPr>
                <w:sz w:val="20"/>
                <w:szCs w:val="20"/>
                <w:color w:val="auto"/>
              </w:rPr>
            </w:pPr>
            <w:r>
              <w:rPr>
                <w:rFonts w:ascii="Calibri" w:cs="Calibri" w:eastAsia="Calibri" w:hAnsi="Calibri"/>
                <w:sz w:val="18"/>
                <w:szCs w:val="18"/>
                <w:color w:val="0000EE"/>
                <w:w w:val="87"/>
              </w:rPr>
              <w:t>99.</w:t>
            </w:r>
            <w:r>
              <w:rPr>
                <w:rFonts w:ascii="Calibri" w:cs="Calibri" w:eastAsia="Calibri" w:hAnsi="Calibri"/>
                <w:sz w:val="18"/>
                <w:szCs w:val="18"/>
                <w:u w:val="single" w:color="auto"/>
                <w:color w:val="0000EE"/>
                <w:w w:val="87"/>
              </w:rPr>
              <w:t>1</w:t>
            </w:r>
          </w:p>
        </w:tc>
        <w:tc>
          <w:tcPr>
            <w:tcW w:w="740" w:type="dxa"/>
            <w:vAlign w:val="bottom"/>
          </w:tcPr>
          <w:p>
            <w:pPr>
              <w:spacing w:after="0"/>
              <w:rPr>
                <w:sz w:val="17"/>
                <w:szCs w:val="17"/>
                <w:color w:val="auto"/>
              </w:rPr>
            </w:pPr>
          </w:p>
        </w:tc>
        <w:tc>
          <w:tcPr>
            <w:tcW w:w="7860" w:type="dxa"/>
            <w:vAlign w:val="bottom"/>
            <w:gridSpan w:val="7"/>
          </w:tcPr>
          <w:p>
            <w:pPr>
              <w:spacing w:after="0" w:line="196" w:lineRule="exact"/>
              <w:rPr>
                <w:sz w:val="20"/>
                <w:szCs w:val="20"/>
                <w:color w:val="auto"/>
              </w:rPr>
            </w:pPr>
            <w:r>
              <w:rPr>
                <w:rFonts w:ascii="Calibri" w:cs="Calibri" w:eastAsia="Calibri" w:hAnsi="Calibri"/>
                <w:sz w:val="18"/>
                <w:szCs w:val="18"/>
                <w:color w:val="0000EE"/>
              </w:rPr>
              <w:t>Press Release announcing the Closing of the UDENYCA Dispositon dated April 14, 2025</w:t>
            </w:r>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00" w:type="dxa"/>
            <w:vAlign w:val="bottom"/>
            <w:tcBorders>
              <w:bottom w:val="single" w:sz="8" w:color="0000EE"/>
            </w:tcBorders>
          </w:tcPr>
          <w:p>
            <w:pPr>
              <w:spacing w:after="0" w:line="196" w:lineRule="exact"/>
              <w:rPr>
                <w:sz w:val="20"/>
                <w:szCs w:val="20"/>
                <w:color w:val="auto"/>
              </w:rPr>
            </w:pPr>
            <w:r>
              <w:rPr>
                <w:rFonts w:ascii="Calibri" w:cs="Calibri" w:eastAsia="Calibri" w:hAnsi="Calibri"/>
                <w:sz w:val="18"/>
                <w:szCs w:val="18"/>
                <w:color w:val="0000EE"/>
                <w:w w:val="87"/>
              </w:rPr>
              <w:t>99.</w:t>
            </w:r>
            <w:r>
              <w:rPr>
                <w:rFonts w:ascii="Calibri" w:cs="Calibri" w:eastAsia="Calibri" w:hAnsi="Calibri"/>
                <w:sz w:val="18"/>
                <w:szCs w:val="18"/>
                <w:u w:val="single" w:color="auto"/>
                <w:color w:val="0000EE"/>
                <w:w w:val="87"/>
              </w:rPr>
              <w:t>2</w:t>
            </w:r>
          </w:p>
        </w:tc>
        <w:tc>
          <w:tcPr>
            <w:tcW w:w="740" w:type="dxa"/>
            <w:vAlign w:val="bottom"/>
          </w:tcPr>
          <w:p>
            <w:pPr>
              <w:spacing w:after="0"/>
              <w:rPr>
                <w:sz w:val="17"/>
                <w:szCs w:val="17"/>
                <w:color w:val="auto"/>
              </w:rPr>
            </w:pPr>
          </w:p>
        </w:tc>
        <w:tc>
          <w:tcPr>
            <w:tcW w:w="7780" w:type="dxa"/>
            <w:vAlign w:val="bottom"/>
            <w:tcBorders>
              <w:bottom w:val="single" w:sz="8" w:color="0000EE"/>
            </w:tcBorders>
            <w:gridSpan w:val="6"/>
          </w:tcPr>
          <w:p>
            <w:pPr>
              <w:spacing w:after="0" w:line="196" w:lineRule="exact"/>
              <w:rPr>
                <w:sz w:val="20"/>
                <w:szCs w:val="20"/>
                <w:color w:val="auto"/>
              </w:rPr>
            </w:pPr>
            <w:r>
              <w:rPr>
                <w:rFonts w:ascii="Calibri" w:cs="Calibri" w:eastAsia="Calibri" w:hAnsi="Calibri"/>
                <w:sz w:val="18"/>
                <w:szCs w:val="18"/>
                <w:color w:val="0000EE"/>
                <w:w w:val="98"/>
              </w:rPr>
              <w:t>Unaudited pro forma condensed combined fnancial informaton of Coherus BioSciences, Inc. as of December</w:t>
            </w:r>
          </w:p>
        </w:tc>
        <w:tc>
          <w:tcPr>
            <w:tcW w:w="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60" w:type="dxa"/>
            <w:vAlign w:val="bottom"/>
            <w:gridSpan w:val="7"/>
          </w:tcPr>
          <w:p>
            <w:pPr>
              <w:spacing w:after="0" w:line="196" w:lineRule="exact"/>
              <w:rPr>
                <w:sz w:val="20"/>
                <w:szCs w:val="20"/>
                <w:color w:val="auto"/>
              </w:rPr>
            </w:pPr>
            <w:r>
              <w:rPr>
                <w:rFonts w:ascii="Calibri" w:cs="Calibri" w:eastAsia="Calibri" w:hAnsi="Calibri"/>
                <w:sz w:val="18"/>
                <w:szCs w:val="18"/>
                <w:color w:val="0000EE"/>
              </w:rPr>
              <w:t>31, 2024 and for the years ended December 31, 2023 and December 31, 2024.</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5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 w:right="2399" w:hanging="4"/>
        <w:spacing w:after="0" w:line="466" w:lineRule="auto"/>
        <w:tabs>
          <w:tab w:leader="none" w:pos="1118" w:val="left"/>
        </w:tabs>
        <w:numPr>
          <w:ilvl w:val="1"/>
          <w:numId w:val="2"/>
        </w:numPr>
        <w:rPr>
          <w:rFonts w:ascii="Calibri" w:cs="Calibri" w:eastAsia="Calibri" w:hAnsi="Calibri"/>
          <w:sz w:val="18"/>
          <w:szCs w:val="18"/>
          <w:color w:val="auto"/>
        </w:rPr>
      </w:pPr>
      <w:r>
        <w:rPr>
          <w:rFonts w:ascii="Calibri" w:cs="Calibri" w:eastAsia="Calibri" w:hAnsi="Calibri"/>
          <w:sz w:val="18"/>
          <w:szCs w:val="18"/>
          <w:color w:val="auto"/>
        </w:rPr>
        <w:t>Cover page Interactve Data fle (embedded within the Inline XBRL document) * Previously fled.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501015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left="60" w:right="199" w:firstLine="4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as amended, the registrant has duly caused this report to be signed on its behalf by the undersigned hereunto duly authorized.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040" w:type="dxa"/>
            <w:vAlign w:val="bottom"/>
          </w:tcPr>
          <w:p>
            <w:pPr>
              <w:ind w:left="20"/>
              <w:spacing w:after="0"/>
              <w:rPr>
                <w:sz w:val="20"/>
                <w:szCs w:val="20"/>
                <w:color w:val="auto"/>
              </w:rPr>
            </w:pPr>
            <w:r>
              <w:rPr>
                <w:rFonts w:ascii="Calibri" w:cs="Calibri" w:eastAsia="Calibri" w:hAnsi="Calibri"/>
                <w:sz w:val="18"/>
                <w:szCs w:val="18"/>
                <w:color w:val="auto"/>
              </w:rPr>
              <w:t>Date: April 14, 2025</w:t>
            </w:r>
          </w:p>
        </w:tc>
        <w:tc>
          <w:tcPr>
            <w:tcW w:w="5880" w:type="dxa"/>
            <w:vAlign w:val="bottom"/>
            <w:gridSpan w:val="2"/>
          </w:tcPr>
          <w:p>
            <w:pPr>
              <w:ind w:left="1600"/>
              <w:spacing w:after="0"/>
              <w:rPr>
                <w:sz w:val="20"/>
                <w:szCs w:val="20"/>
                <w:color w:val="auto"/>
              </w:rPr>
            </w:pPr>
            <w:r>
              <w:rPr>
                <w:rFonts w:ascii="Calibri" w:cs="Calibri" w:eastAsia="Calibri" w:hAnsi="Calibri"/>
                <w:sz w:val="18"/>
                <w:szCs w:val="18"/>
                <w:color w:val="auto"/>
              </w:rPr>
              <w:t>COHERUS BIOSCIENCES, INC.</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2260" w:type="dxa"/>
            <w:vAlign w:val="bottom"/>
          </w:tcPr>
          <w:p>
            <w:pPr>
              <w:ind w:left="1600"/>
              <w:spacing w:after="0"/>
              <w:rPr>
                <w:sz w:val="20"/>
                <w:szCs w:val="20"/>
                <w:color w:val="auto"/>
              </w:rPr>
            </w:pPr>
            <w:r>
              <w:rPr>
                <w:rFonts w:ascii="Calibri" w:cs="Calibri" w:eastAsia="Calibri" w:hAnsi="Calibri"/>
                <w:sz w:val="18"/>
                <w:szCs w:val="18"/>
                <w:color w:val="auto"/>
              </w:rPr>
              <w:t>By:</w:t>
            </w:r>
          </w:p>
        </w:tc>
        <w:tc>
          <w:tcPr>
            <w:tcW w:w="3620" w:type="dxa"/>
            <w:vAlign w:val="bottom"/>
          </w:tcPr>
          <w:p>
            <w:pPr>
              <w:spacing w:after="0"/>
              <w:rPr>
                <w:sz w:val="20"/>
                <w:szCs w:val="20"/>
                <w:color w:val="auto"/>
              </w:rPr>
            </w:pPr>
            <w:r>
              <w:rPr>
                <w:rFonts w:ascii="Calibri" w:cs="Calibri" w:eastAsia="Calibri" w:hAnsi="Calibri"/>
                <w:sz w:val="18"/>
                <w:szCs w:val="18"/>
                <w:color w:val="auto"/>
              </w:rPr>
              <w:t>/s/ Dennis M. Lanfear</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260" w:type="dxa"/>
            <w:vAlign w:val="bottom"/>
            <w:vMerge w:val="restart"/>
          </w:tcPr>
          <w:p>
            <w:pPr>
              <w:ind w:left="1600"/>
              <w:spacing w:after="0"/>
              <w:rPr>
                <w:sz w:val="20"/>
                <w:szCs w:val="20"/>
                <w:color w:val="auto"/>
              </w:rPr>
            </w:pPr>
            <w:r>
              <w:rPr>
                <w:rFonts w:ascii="Calibri" w:cs="Calibri" w:eastAsia="Calibri" w:hAnsi="Calibri"/>
                <w:sz w:val="18"/>
                <w:szCs w:val="18"/>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3620" w:type="dxa"/>
            <w:vAlign w:val="bottom"/>
          </w:tcPr>
          <w:p>
            <w:pPr>
              <w:spacing w:after="0" w:line="187" w:lineRule="exact"/>
              <w:rPr>
                <w:sz w:val="20"/>
                <w:szCs w:val="20"/>
                <w:color w:val="auto"/>
              </w:rPr>
            </w:pPr>
            <w:r>
              <w:rPr>
                <w:rFonts w:ascii="Calibri" w:cs="Calibri" w:eastAsia="Calibri" w:hAnsi="Calibri"/>
                <w:sz w:val="18"/>
                <w:szCs w:val="18"/>
                <w:color w:val="auto"/>
              </w:rPr>
              <w:t>Dennis M. Lanfear</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2260" w:type="dxa"/>
            <w:vAlign w:val="bottom"/>
          </w:tcPr>
          <w:p>
            <w:pPr>
              <w:ind w:left="1600"/>
              <w:spacing w:after="0" w:line="215" w:lineRule="exact"/>
              <w:rPr>
                <w:sz w:val="20"/>
                <w:szCs w:val="20"/>
                <w:color w:val="auto"/>
              </w:rPr>
            </w:pPr>
            <w:r>
              <w:rPr>
                <w:rFonts w:ascii="Calibri" w:cs="Calibri" w:eastAsia="Calibri" w:hAnsi="Calibri"/>
                <w:sz w:val="18"/>
                <w:szCs w:val="18"/>
                <w:color w:val="auto"/>
              </w:rPr>
              <w:t>Title:</w:t>
            </w: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Chief Executve Ofcer</w:t>
            </w:r>
          </w:p>
        </w:tc>
        <w:tc>
          <w:tcPr>
            <w:tcW w:w="0" w:type="dxa"/>
            <w:vAlign w:val="bottom"/>
          </w:tcPr>
          <w:p>
            <w:pPr>
              <w:spacing w:after="0"/>
              <w:rPr>
                <w:sz w:val="1"/>
                <w:szCs w:val="1"/>
                <w:color w:val="auto"/>
              </w:rPr>
            </w:pPr>
          </w:p>
        </w:tc>
      </w:tr>
      <w:tr>
        <w:trPr>
          <w:trHeight w:val="1245"/>
        </w:trPr>
        <w:tc>
          <w:tcPr>
            <w:tcW w:w="30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4" w:name="page5"/>
    <w:bookmarkEnd w:id="4"/>
    <w:p>
      <w:pPr>
        <w:jc w:val="right"/>
        <w:ind w:right="219"/>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167132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6713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Coherus Completes Strategic Transformaton with Successful Divestture of UDENYCA</w:t>
      </w:r>
      <w:r>
        <w:rPr>
          <w:rFonts w:ascii="Calibri" w:cs="Calibri" w:eastAsia="Calibri" w:hAnsi="Calibri"/>
          <w:sz w:val="29"/>
          <w:szCs w:val="29"/>
          <w:b w:val="1"/>
          <w:bCs w:val="1"/>
          <w:color w:val="auto"/>
          <w:vertAlign w:val="superscript"/>
        </w:rPr>
        <w:t>®</w:t>
      </w:r>
      <w:r>
        <w:rPr>
          <w:rFonts w:ascii="Calibri" w:cs="Calibri" w:eastAsia="Calibri" w:hAnsi="Calibri"/>
          <w:sz w:val="20"/>
          <w:szCs w:val="20"/>
          <w:b w:val="1"/>
          <w:bCs w:val="1"/>
          <w:color w:val="auto"/>
        </w:rPr>
        <w:t xml:space="preserve"> Franchise</w:t>
      </w:r>
    </w:p>
    <w:p>
      <w:pPr>
        <w:spacing w:after="0" w:line="139" w:lineRule="exact"/>
        <w:rPr>
          <w:sz w:val="20"/>
          <w:szCs w:val="20"/>
          <w:color w:val="auto"/>
        </w:rPr>
      </w:pPr>
    </w:p>
    <w:p>
      <w:pPr>
        <w:ind w:left="540"/>
        <w:spacing w:after="0"/>
        <w:rPr>
          <w:sz w:val="20"/>
          <w:szCs w:val="20"/>
          <w:color w:val="auto"/>
        </w:rPr>
      </w:pPr>
      <w:r>
        <w:rPr>
          <w:rFonts w:ascii="Calibri" w:cs="Calibri" w:eastAsia="Calibri" w:hAnsi="Calibri"/>
          <w:sz w:val="17"/>
          <w:szCs w:val="17"/>
          <w:i w:val="1"/>
          <w:iCs w:val="1"/>
          <w:color w:val="auto"/>
        </w:rPr>
        <w:t>– $250 million post-close cash balance extends cash runway over two years into 2027, funding pipeline development</w:t>
      </w:r>
    </w:p>
    <w:p>
      <w:pPr>
        <w:spacing w:after="0" w:line="7" w:lineRule="exact"/>
        <w:rPr>
          <w:sz w:val="20"/>
          <w:szCs w:val="20"/>
          <w:color w:val="auto"/>
        </w:rPr>
      </w:pPr>
    </w:p>
    <w:p>
      <w:pPr>
        <w:ind w:left="3640"/>
        <w:spacing w:after="0" w:line="235" w:lineRule="auto"/>
        <w:rPr>
          <w:sz w:val="20"/>
          <w:szCs w:val="20"/>
          <w:color w:val="auto"/>
        </w:rPr>
      </w:pPr>
      <w:r>
        <w:rPr>
          <w:rFonts w:ascii="Calibri" w:cs="Calibri" w:eastAsia="Calibri" w:hAnsi="Calibri"/>
          <w:sz w:val="18"/>
          <w:szCs w:val="18"/>
          <w:i w:val="1"/>
          <w:iCs w:val="1"/>
          <w:color w:val="auto"/>
        </w:rPr>
        <w:t>through key data catalysts –</w:t>
      </w:r>
    </w:p>
    <w:p>
      <w:pPr>
        <w:spacing w:after="0" w:line="213" w:lineRule="exact"/>
        <w:rPr>
          <w:sz w:val="20"/>
          <w:szCs w:val="20"/>
          <w:color w:val="auto"/>
        </w:rPr>
      </w:pPr>
    </w:p>
    <w:p>
      <w:pPr>
        <w:ind w:left="1740"/>
        <w:spacing w:after="0"/>
        <w:rPr>
          <w:sz w:val="20"/>
          <w:szCs w:val="20"/>
          <w:color w:val="auto"/>
        </w:rPr>
      </w:pPr>
      <w:r>
        <w:rPr>
          <w:rFonts w:ascii="Calibri" w:cs="Calibri" w:eastAsia="Calibri" w:hAnsi="Calibri"/>
          <w:sz w:val="18"/>
          <w:szCs w:val="18"/>
          <w:i w:val="1"/>
          <w:iCs w:val="1"/>
          <w:color w:val="auto"/>
        </w:rPr>
        <w:t>– Coherus to focus exclusively on its innovatve novel oncology programs including:</w:t>
      </w:r>
    </w:p>
    <w:p>
      <w:pPr>
        <w:ind w:left="2200"/>
        <w:spacing w:after="0" w:line="235" w:lineRule="auto"/>
        <w:rPr>
          <w:sz w:val="20"/>
          <w:szCs w:val="20"/>
          <w:color w:val="auto"/>
        </w:rPr>
      </w:pPr>
      <w:r>
        <w:rPr>
          <w:rFonts w:ascii="Calibri" w:cs="Calibri" w:eastAsia="Calibri" w:hAnsi="Calibri"/>
          <w:sz w:val="18"/>
          <w:szCs w:val="18"/>
          <w:i w:val="1"/>
          <w:iCs w:val="1"/>
          <w:color w:val="auto"/>
        </w:rPr>
        <w:t>– LOQTORZI®, a revenue-generatng and diferentated PD-1 inhibitor;</w:t>
      </w:r>
    </w:p>
    <w:p>
      <w:pPr>
        <w:ind w:left="2420"/>
        <w:spacing w:after="0" w:line="235" w:lineRule="auto"/>
        <w:rPr>
          <w:sz w:val="20"/>
          <w:szCs w:val="20"/>
          <w:color w:val="auto"/>
        </w:rPr>
      </w:pPr>
      <w:r>
        <w:rPr>
          <w:rFonts w:ascii="Calibri" w:cs="Calibri" w:eastAsia="Calibri" w:hAnsi="Calibri"/>
          <w:sz w:val="18"/>
          <w:szCs w:val="18"/>
          <w:i w:val="1"/>
          <w:iCs w:val="1"/>
          <w:color w:val="auto"/>
        </w:rPr>
        <w:t>– Casdozokitug, a frst-in-class interleukin-27 (IL-27) antagonist;</w:t>
      </w:r>
    </w:p>
    <w:p>
      <w:pPr>
        <w:ind w:left="2180"/>
        <w:spacing w:after="0" w:line="235" w:lineRule="auto"/>
        <w:rPr>
          <w:sz w:val="20"/>
          <w:szCs w:val="20"/>
          <w:color w:val="auto"/>
        </w:rPr>
      </w:pPr>
      <w:r>
        <w:rPr>
          <w:rFonts w:ascii="Calibri" w:cs="Calibri" w:eastAsia="Calibri" w:hAnsi="Calibri"/>
          <w:sz w:val="18"/>
          <w:szCs w:val="18"/>
          <w:i w:val="1"/>
          <w:iCs w:val="1"/>
          <w:color w:val="auto"/>
        </w:rPr>
        <w:t>– CHS-114, a highly selectve CCR8 (chemokine receptor 8) antbody –</w:t>
      </w:r>
    </w:p>
    <w:p>
      <w:pPr>
        <w:spacing w:after="0" w:line="200" w:lineRule="exact"/>
        <w:rPr>
          <w:sz w:val="20"/>
          <w:szCs w:val="20"/>
          <w:color w:val="auto"/>
        </w:rPr>
      </w:pPr>
    </w:p>
    <w:p>
      <w:pPr>
        <w:spacing w:after="0" w:line="259" w:lineRule="exact"/>
        <w:rPr>
          <w:sz w:val="20"/>
          <w:szCs w:val="20"/>
          <w:color w:val="auto"/>
        </w:rPr>
      </w:pPr>
    </w:p>
    <w:p>
      <w:pPr>
        <w:ind w:left="200" w:right="419"/>
        <w:spacing w:after="0" w:line="231" w:lineRule="auto"/>
        <w:rPr>
          <w:sz w:val="20"/>
          <w:szCs w:val="20"/>
          <w:color w:val="auto"/>
        </w:rPr>
      </w:pPr>
      <w:r>
        <w:rPr>
          <w:rFonts w:ascii="Calibri" w:cs="Calibri" w:eastAsia="Calibri" w:hAnsi="Calibri"/>
          <w:sz w:val="20"/>
          <w:szCs w:val="20"/>
          <w:b w:val="1"/>
          <w:bCs w:val="1"/>
          <w:color w:val="auto"/>
        </w:rPr>
        <w:t xml:space="preserve">REDWOOD CITY, Calif., April 14, 2025 </w:t>
      </w:r>
      <w:r>
        <w:rPr>
          <w:rFonts w:ascii="Calibri" w:cs="Calibri" w:eastAsia="Calibri" w:hAnsi="Calibri"/>
          <w:sz w:val="20"/>
          <w:szCs w:val="20"/>
          <w:color w:val="auto"/>
        </w:rPr>
        <w:t>-- Coherus BioSciences, Inc. (Coherus or the Company; NASDAQ:</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CHRS) today announced the completon of the previously announced divestture of its UDENYCA (pegflgrastm-cbqv) franchise (the Transacton) to Intas Pharmaceutcals Ltd. (Intas) pursuant to the asset purchase agreement (the Agreement) dated December 2, 2024 between Coherus and Intas in a deal valued at up to $558.4 million. Coherus received an upfront payment of $483.4 million, including $118.4 million for UDENYCA inventory, and is eligible to receive potental milestone payments of up to $75 million.</w:t>
      </w:r>
    </w:p>
    <w:p>
      <w:pPr>
        <w:spacing w:after="0" w:line="259" w:lineRule="exact"/>
        <w:rPr>
          <w:sz w:val="20"/>
          <w:szCs w:val="20"/>
          <w:color w:val="auto"/>
        </w:rPr>
      </w:pPr>
    </w:p>
    <w:p>
      <w:pPr>
        <w:ind w:left="200" w:right="459"/>
        <w:spacing w:after="0" w:line="231" w:lineRule="auto"/>
        <w:rPr>
          <w:sz w:val="20"/>
          <w:szCs w:val="20"/>
          <w:color w:val="auto"/>
        </w:rPr>
      </w:pPr>
      <w:r>
        <w:rPr>
          <w:rFonts w:ascii="Calibri" w:cs="Calibri" w:eastAsia="Calibri" w:hAnsi="Calibri"/>
          <w:sz w:val="20"/>
          <w:szCs w:val="20"/>
          <w:color w:val="auto"/>
        </w:rPr>
        <w:t>“With strong strategic executon, we have transformed the company while dramatcally reducing our debt and leaving $250 million on the post-close balance sheet. This provides ample runway to achieve our mid-term corporate objectves, including maximizing LOQTORZI revenues, advancing our novel immuno-oncology candidates in combinaton with LOQTORZI to key data milestones in 2026, and progressing label expanding indicatons for LOQTORZI in novel combinatons,” said Denny Lanfear, Coherus Chairman and Chief Executve Ofcer. “Coherus is now an innovatve, revenue-generatng oncology company with a strong balance sheet, and a promising mid-stage pipeline focused on unmet needs.”</w:t>
      </w:r>
    </w:p>
    <w:p>
      <w:pPr>
        <w:spacing w:after="0" w:line="250"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Terms of the Transacton and Financial Details</w:t>
      </w:r>
    </w:p>
    <w:p>
      <w:pPr>
        <w:ind w:left="200" w:right="439"/>
        <w:spacing w:after="0" w:line="237" w:lineRule="auto"/>
        <w:rPr>
          <w:sz w:val="20"/>
          <w:szCs w:val="20"/>
          <w:color w:val="auto"/>
        </w:rPr>
      </w:pPr>
      <w:r>
        <w:rPr>
          <w:rFonts w:ascii="Calibri" w:cs="Calibri" w:eastAsia="Calibri" w:hAnsi="Calibri"/>
          <w:sz w:val="20"/>
          <w:szCs w:val="20"/>
          <w:color w:val="auto"/>
        </w:rPr>
        <w:t>At the closing of the Transacton, which occurred on April 11, 2025, Coherus received an upfront cash payment of $483.4 million, subject to certain adjustments that will be fnalized following the closing pursuant to the Agreement. Afer the closing, Coherus is eligible to receive two milestone payments totaling $75.0 million if Intas meets specifed thresholds of net sales of UDENYCA. At the closing, Intas received identfed assets related to the UDENYCA franchise, including the UDENYCA pre-flled syringe, the UDENYCA autoinjector, and UDENYCA ONBODY®, and assumed identfed liabilites. At the closing, Accord BioPharma, Inc. (Accord), the U.S. specialty division of Intas Pharmaceutcals, Ltd., focused on the development of oncology, immunology, and critcal care therapies, assumed full responsibility for the UDENYCA franchise in the U.S.</w:t>
      </w:r>
    </w:p>
    <w:p>
      <w:pPr>
        <w:spacing w:after="0" w:line="258"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Advisors</w:t>
      </w:r>
    </w:p>
    <w:p>
      <w:pPr>
        <w:spacing w:after="0" w:line="3" w:lineRule="exact"/>
        <w:rPr>
          <w:sz w:val="20"/>
          <w:szCs w:val="20"/>
          <w:color w:val="auto"/>
        </w:rPr>
      </w:pPr>
    </w:p>
    <w:p>
      <w:pPr>
        <w:ind w:left="200" w:right="799"/>
        <w:spacing w:after="0" w:line="228" w:lineRule="auto"/>
        <w:rPr>
          <w:sz w:val="20"/>
          <w:szCs w:val="20"/>
          <w:color w:val="auto"/>
        </w:rPr>
      </w:pPr>
      <w:r>
        <w:rPr>
          <w:rFonts w:ascii="Calibri" w:cs="Calibri" w:eastAsia="Calibri" w:hAnsi="Calibri"/>
          <w:sz w:val="20"/>
          <w:szCs w:val="20"/>
          <w:color w:val="auto"/>
        </w:rPr>
        <w:t>J.P. Morgan Securites LLC served as Coherus’ fnancial advisor with respect to the Transacton and Latham &amp; Watkins LLP acted as legal counsel to Coherus.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 w:name="page6"/>
    <w:bookmarkEnd w:id="5"/>
    <w:p>
      <w:pPr>
        <w:ind w:left="200"/>
        <w:spacing w:after="0"/>
        <w:rPr>
          <w:sz w:val="20"/>
          <w:szCs w:val="20"/>
          <w:color w:val="auto"/>
        </w:rPr>
      </w:pPr>
      <w:r>
        <w:rPr>
          <w:rFonts w:ascii="Calibri" w:cs="Calibri" w:eastAsia="Calibri" w:hAnsi="Calibri"/>
          <w:sz w:val="22"/>
          <w:szCs w:val="22"/>
          <w:b w:val="1"/>
          <w:bCs w:val="1"/>
          <w:color w:val="auto"/>
        </w:rPr>
        <w:t>About Coherus BioSciences</w:t>
      </w:r>
    </w:p>
    <w:p>
      <w:pPr>
        <w:spacing w:after="0" w:line="3" w:lineRule="exact"/>
        <w:rPr>
          <w:sz w:val="20"/>
          <w:szCs w:val="20"/>
          <w:color w:val="auto"/>
        </w:rPr>
      </w:pPr>
    </w:p>
    <w:p>
      <w:pPr>
        <w:ind w:left="200" w:right="259"/>
        <w:spacing w:after="0" w:line="227" w:lineRule="auto"/>
        <w:rPr>
          <w:sz w:val="20"/>
          <w:szCs w:val="20"/>
          <w:color w:val="auto"/>
        </w:rPr>
      </w:pPr>
      <w:r>
        <w:rPr>
          <w:rFonts w:ascii="Calibri" w:cs="Calibri" w:eastAsia="Calibri" w:hAnsi="Calibri"/>
          <w:sz w:val="20"/>
          <w:szCs w:val="20"/>
          <w:color w:val="auto"/>
        </w:rPr>
        <w:t>Coherus is a fully integrated commercial-stage innovatve oncology company with an approved next-generaton PD-1 inhibitor, LOQTORZI</w:t>
      </w:r>
      <w:r>
        <w:rPr>
          <w:rFonts w:ascii="Calibri" w:cs="Calibri" w:eastAsia="Calibri" w:hAnsi="Calibri"/>
          <w:sz w:val="29"/>
          <w:szCs w:val="29"/>
          <w:color w:val="auto"/>
          <w:vertAlign w:val="superscript"/>
        </w:rPr>
        <w:t>®</w:t>
      </w:r>
      <w:r>
        <w:rPr>
          <w:rFonts w:ascii="Calibri" w:cs="Calibri" w:eastAsia="Calibri" w:hAnsi="Calibri"/>
          <w:sz w:val="20"/>
          <w:szCs w:val="20"/>
          <w:color w:val="auto"/>
        </w:rPr>
        <w:t xml:space="preserve"> (toripalimab-tpzi), growing revenues and a promising pipeline that includes two mid-stage clinical candidates targetng liver, lung, head &amp; neck, and other cancers. Our strategy is to grow sales of LOQTORZI in nasopharyngeal carcinoma and advance the development of new indicatons for LOQTORZI in combinaton with both our pipeline candidates as well as our partners’, driving sales multples and synergies from proprietary combinatons.</w:t>
      </w:r>
    </w:p>
    <w:p>
      <w:pPr>
        <w:spacing w:after="0" w:line="158" w:lineRule="exact"/>
        <w:rPr>
          <w:sz w:val="20"/>
          <w:szCs w:val="20"/>
          <w:color w:val="auto"/>
        </w:rPr>
      </w:pPr>
    </w:p>
    <w:p>
      <w:pPr>
        <w:ind w:left="200" w:right="239"/>
        <w:spacing w:after="0" w:line="246" w:lineRule="auto"/>
        <w:rPr>
          <w:sz w:val="20"/>
          <w:szCs w:val="20"/>
          <w:color w:val="auto"/>
        </w:rPr>
      </w:pPr>
      <w:r>
        <w:rPr>
          <w:rFonts w:ascii="Calibri" w:cs="Calibri" w:eastAsia="Calibri" w:hAnsi="Calibri"/>
          <w:sz w:val="20"/>
          <w:szCs w:val="20"/>
          <w:color w:val="auto"/>
        </w:rPr>
        <w:t>Coherus’ immuno-oncology pipeline includes multple antbody immunotherapy candidates focused on enhancing the innate and adaptve immune responses to enable a robust anttumor response and enhance outcomes for patents with cancer. Casdozokitug is a novel IL-27 antagonistc antbody currently being evaluated in multple Phase 1/2 and Phase 2 studies in patents with advanced solid tumors including in non-small cell lung cancer and in hepatocellular carcinoma. CHS-114 is a highly selectve cytolytc ant-CCR8 antbody currently in Phase 1 studies in patents with advanced solid tumors, including head and neck squamous cell carcinoma and gastric cancer.</w:t>
      </w:r>
    </w:p>
    <w:p>
      <w:pPr>
        <w:spacing w:after="0" w:line="152" w:lineRule="exact"/>
        <w:rPr>
          <w:sz w:val="20"/>
          <w:szCs w:val="20"/>
          <w:color w:val="auto"/>
        </w:rPr>
      </w:pPr>
    </w:p>
    <w:p>
      <w:pPr>
        <w:ind w:left="200" w:right="379"/>
        <w:spacing w:after="0" w:line="234" w:lineRule="auto"/>
        <w:rPr>
          <w:sz w:val="20"/>
          <w:szCs w:val="20"/>
          <w:color w:val="auto"/>
        </w:rPr>
      </w:pPr>
      <w:r>
        <w:rPr>
          <w:rFonts w:ascii="Calibri" w:cs="Calibri" w:eastAsia="Calibri" w:hAnsi="Calibri"/>
          <w:sz w:val="20"/>
          <w:szCs w:val="20"/>
          <w:color w:val="auto"/>
        </w:rPr>
        <w:t>For more informaton about LOQTORZI, including the U.S. Prescribing Informaton and important safety informaton, please visit www.loqtorzi.com.</w:t>
      </w:r>
    </w:p>
    <w:p>
      <w:pPr>
        <w:spacing w:after="0" w:line="252"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Forward-Looking Statements</w:t>
      </w:r>
    </w:p>
    <w:p>
      <w:pPr>
        <w:spacing w:after="0" w:line="151" w:lineRule="exact"/>
        <w:rPr>
          <w:sz w:val="20"/>
          <w:szCs w:val="20"/>
          <w:color w:val="auto"/>
        </w:rPr>
      </w:pPr>
    </w:p>
    <w:p>
      <w:pPr>
        <w:ind w:left="200" w:right="239"/>
        <w:spacing w:after="0" w:line="245" w:lineRule="auto"/>
        <w:rPr>
          <w:sz w:val="20"/>
          <w:szCs w:val="20"/>
          <w:color w:val="auto"/>
        </w:rPr>
      </w:pPr>
      <w:r>
        <w:rPr>
          <w:rFonts w:ascii="Calibri" w:cs="Calibri" w:eastAsia="Calibri" w:hAnsi="Calibri"/>
          <w:sz w:val="20"/>
          <w:szCs w:val="20"/>
          <w:color w:val="auto"/>
        </w:rPr>
        <w:t>The statements in this press release include express or implied forward-looking statements within the meaning of Secton 27A of the Securites Act and Secton 21E of the Exchange Act about the proposed transacton between the Company and Intas that involve risks and uncertaintes relatng to future events and the future performance of the Company and the UDENYCA business. Forward-looking statements relate to expectatons, beliefs, projectons, future plans and strategies, antcipated events or trends and similar expressions concerning maters that are not historical facts. Words such as “will,” “could,” “would,” “should,” “expect,” “plan,” “antcipate,” “intend,” “believe,” “estmate,” “predict,” “project,” “potental,” “contnue,” “future,” “opportunity,” “likely,” “target,” variatons of such words, and similar expressions or negatves of these words are intended to identfy such forward-looking statements, although not all forward-looking statements contain these identfying words. You can also identfy forward-looking statements by discussions of strategy, plans or intentons.</w:t>
      </w:r>
    </w:p>
    <w:p>
      <w:pPr>
        <w:spacing w:after="0" w:line="161" w:lineRule="exact"/>
        <w:rPr>
          <w:sz w:val="20"/>
          <w:szCs w:val="20"/>
          <w:color w:val="auto"/>
        </w:rPr>
      </w:pPr>
    </w:p>
    <w:p>
      <w:pPr>
        <w:ind w:left="200" w:right="239"/>
        <w:spacing w:after="0" w:line="245" w:lineRule="auto"/>
        <w:rPr>
          <w:sz w:val="20"/>
          <w:szCs w:val="20"/>
          <w:color w:val="auto"/>
        </w:rPr>
      </w:pPr>
      <w:r>
        <w:rPr>
          <w:rFonts w:ascii="Calibri" w:cs="Calibri" w:eastAsia="Calibri" w:hAnsi="Calibri"/>
          <w:sz w:val="20"/>
          <w:szCs w:val="20"/>
          <w:color w:val="auto"/>
        </w:rPr>
        <w:t>Examples of such forward-looking statements include, but are not limited to, express or implied statements regarding: the Agreement and related maters, including, but not limited to, the ability of the Company’s pipeline to enhance outcomes for cancer patents; expectatons about future synergies; projectons about growth in sales and revenues; the ability of the Company to receive any milestone payments based on net sales of UDENYCA in the future; the ability of the Company to advance its pipeline and publish data from clinical trials in the future; post-closing operatons and the outlook for the Company or the UDENYCA business; statements about the Company reducing its debt in the future, projectons of its cash balance post-close, projectons about the Company’s cash runway in the future, and the assumptons underlying or relatng to such statements.</w:t>
      </w:r>
    </w:p>
    <w:p>
      <w:pPr>
        <w:spacing w:after="0" w:line="160" w:lineRule="exact"/>
        <w:rPr>
          <w:sz w:val="20"/>
          <w:szCs w:val="20"/>
          <w:color w:val="auto"/>
        </w:rPr>
      </w:pPr>
    </w:p>
    <w:p>
      <w:pPr>
        <w:ind w:left="200" w:right="239"/>
        <w:spacing w:after="0" w:line="244" w:lineRule="auto"/>
        <w:rPr>
          <w:sz w:val="20"/>
          <w:szCs w:val="20"/>
          <w:color w:val="auto"/>
        </w:rPr>
      </w:pPr>
      <w:r>
        <w:rPr>
          <w:rFonts w:ascii="Calibri" w:cs="Calibri" w:eastAsia="Calibri" w:hAnsi="Calibri"/>
          <w:sz w:val="20"/>
          <w:szCs w:val="20"/>
          <w:color w:val="auto"/>
        </w:rPr>
        <w:t>These forward-looking statements are based on the Company’s current plans, estmates and projectons. By their very nature, forward-looking statements involve inherent risks and uncertaintes, both general and specifc, assumptons and changes in circumstances, many of which are beyond the control of the Company. A number of important factors, including those described in this press release, could cause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 w:name="page7"/>
    <w:bookmarkEnd w:id="6"/>
    <w:p>
      <w:pPr>
        <w:ind w:left="200" w:right="239"/>
        <w:spacing w:after="0" w:line="246" w:lineRule="auto"/>
        <w:rPr>
          <w:sz w:val="20"/>
          <w:szCs w:val="20"/>
          <w:color w:val="auto"/>
        </w:rPr>
      </w:pPr>
      <w:r>
        <w:rPr>
          <w:rFonts w:ascii="Calibri" w:cs="Calibri" w:eastAsia="Calibri" w:hAnsi="Calibri"/>
          <w:sz w:val="20"/>
          <w:szCs w:val="20"/>
          <w:color w:val="auto"/>
        </w:rPr>
        <w:t>actual results to difer materially from those contemplated in any forward-looking statements. Factors that may afect future results and may cause these forward-looking statements to be inaccurate include, without limitaton: uncertaintes about the ability for Intas to achieve the net sales thresholds necessary for Coherus to receive the milestone payments in the future; the risk that transiton services provided by the Company to Intas afer the closing of the UDENYCA divestture disrupt the Company’s current plans and operatons or divert the atenton of the Company’s management or employees from ongoing business operatons; the risk that the Company may not realize the antcipated benefts of the proposed transacton in the tme frame expected, or at all; the efects of the proposed transacton on relatonships with the Company’s employees, suppliers, business or collaboraton partners or governmental enttes, or other third partes as a result of the proposed transacton; the ability to retain and hire key personnel; the potental impact of unforeseen liabilites, future capital expenditures, revenues, costs, expenses, earnings, economic performance, indebtedness, fnancial conditon and losses on the future prospects, business and management strategies for the management, expansion and growth of the Company in the future; potental negatve efects related to the consummaton of the proposed transacton on the market price of the Company’s common stock and/or the Company’s operatng or fnancial results; uncertaintes as to the long-term value of the Company’s common stock; and the nature, cost and outcome of any litgaton and other legal proceedings, including those involving the transacton, the Company or its employees or directors.</w:t>
      </w:r>
    </w:p>
    <w:p>
      <w:pPr>
        <w:spacing w:after="0" w:line="167" w:lineRule="exact"/>
        <w:rPr>
          <w:sz w:val="20"/>
          <w:szCs w:val="20"/>
          <w:color w:val="auto"/>
        </w:rPr>
      </w:pPr>
    </w:p>
    <w:p>
      <w:pPr>
        <w:ind w:left="200" w:right="279"/>
        <w:spacing w:after="0" w:line="245" w:lineRule="auto"/>
        <w:rPr>
          <w:sz w:val="20"/>
          <w:szCs w:val="20"/>
          <w:color w:val="auto"/>
        </w:rPr>
      </w:pPr>
      <w:r>
        <w:rPr>
          <w:rFonts w:ascii="Calibri" w:cs="Calibri" w:eastAsia="Calibri" w:hAnsi="Calibri"/>
          <w:sz w:val="20"/>
          <w:szCs w:val="20"/>
          <w:color w:val="auto"/>
        </w:rPr>
        <w:t>While the foregoing list of factors presented here is considered representatve, no list should be considered to be a complete statement of all potental risks and uncertaintes. There can be no assurance that the transacton described above will in fact be consummated in the manner described or at all. For a further discussion of these and other factors that could cause the Company’s future results to difer materially from any forward-looking statements see the secton enttled “Risk Factors” in the Company’s Annual Report on Form 10-K for the period ended December 31, 2024, fled with the Securites and Exchange Commission (SEC) on March 17, 2025, as updated by the Company’s subsequent reports fled with the SEC. Any forward-looking statements speak only as of the date of this press release and are made based on the current good faith beliefs and judgments of the Company’s management, and the reader is cautoned not to rely on any forward-looking statements made by the Company. Unless required by law, the Company is not under any duty and undertakes no obligaton to publicly update or revise any forward-looking statement to refect changes in underlying assumptons or factors, of new informaton, data or methods, future events or other changes.</w:t>
      </w:r>
    </w:p>
    <w:p>
      <w:pPr>
        <w:spacing w:after="0" w:line="162" w:lineRule="exact"/>
        <w:rPr>
          <w:sz w:val="20"/>
          <w:szCs w:val="20"/>
          <w:color w:val="auto"/>
        </w:rPr>
      </w:pPr>
    </w:p>
    <w:p>
      <w:pPr>
        <w:ind w:left="200" w:right="419"/>
        <w:spacing w:after="0" w:line="242" w:lineRule="auto"/>
        <w:rPr>
          <w:sz w:val="20"/>
          <w:szCs w:val="20"/>
          <w:color w:val="auto"/>
        </w:rPr>
      </w:pPr>
      <w:r>
        <w:rPr>
          <w:rFonts w:ascii="Calibri" w:cs="Calibri" w:eastAsia="Calibri" w:hAnsi="Calibri"/>
          <w:sz w:val="20"/>
          <w:szCs w:val="20"/>
          <w:color w:val="auto"/>
        </w:rPr>
        <w:t>LOQTORZI is a registered trademark of Coherus BioSciences, Inc. UDENYCA and UDENYCA ONBODY are registered trademarks of Intas Pharmaceutcals Ltd.</w:t>
      </w:r>
    </w:p>
    <w:p>
      <w:pPr>
        <w:spacing w:after="0" w:line="146"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©2025 Coherus BioSciences, Inc. All rights reserved.</w:t>
      </w:r>
    </w:p>
    <w:p>
      <w:pPr>
        <w:spacing w:after="0" w:line="142"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Coherus BioSciences Contact Informaton:</w:t>
      </w:r>
    </w:p>
    <w:p>
      <w:pPr>
        <w:ind w:left="200"/>
        <w:spacing w:after="0" w:line="232" w:lineRule="auto"/>
        <w:rPr>
          <w:sz w:val="20"/>
          <w:szCs w:val="20"/>
          <w:color w:val="auto"/>
        </w:rPr>
      </w:pPr>
      <w:r>
        <w:rPr>
          <w:rFonts w:ascii="Calibri" w:cs="Calibri" w:eastAsia="Calibri" w:hAnsi="Calibri"/>
          <w:sz w:val="20"/>
          <w:szCs w:val="20"/>
          <w:color w:val="auto"/>
        </w:rPr>
        <w:t>For investors:</w:t>
      </w:r>
    </w:p>
    <w:p>
      <w:pPr>
        <w:spacing w:after="0" w:line="13"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Jodi Sievers</w:t>
      </w:r>
    </w:p>
    <w:p>
      <w:pPr>
        <w:spacing w:after="0" w:line="12"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VP, Investor Relatons &amp; Corporate Communicatons</w:t>
      </w:r>
    </w:p>
    <w:p>
      <w:pPr>
        <w:ind w:left="200"/>
        <w:spacing w:after="0" w:line="238" w:lineRule="auto"/>
        <w:rPr>
          <w:sz w:val="20"/>
          <w:szCs w:val="20"/>
          <w:color w:val="auto"/>
        </w:rPr>
      </w:pPr>
      <w:r>
        <w:rPr>
          <w:rFonts w:ascii="Calibri" w:cs="Calibri" w:eastAsia="Calibri" w:hAnsi="Calibri"/>
          <w:sz w:val="20"/>
          <w:szCs w:val="20"/>
          <w:color w:val="auto"/>
        </w:rPr>
        <w:t>IR@coherus.com</w:t>
      </w:r>
    </w:p>
    <w:p>
      <w:pPr>
        <w:spacing w:after="0" w:line="148"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For media:</w:t>
      </w:r>
    </w:p>
    <w:p>
      <w:pPr>
        <w:spacing w:after="0" w:line="12"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Argot Partners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7" w:name="page8"/>
    <w:bookmarkEnd w:id="7"/>
    <w:p>
      <w:pPr>
        <w:ind w:left="200" w:right="6439" w:firstLine="9"/>
        <w:spacing w:after="0" w:line="242" w:lineRule="auto"/>
        <w:tabs>
          <w:tab w:leader="none" w:pos="677"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600-1902 coherus@argotpartners.com</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8" w:name="page9"/>
    <w:bookmarkEnd w:id="8"/>
    <w:p>
      <w:pPr>
        <w:ind w:left="766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left="200" w:right="219" w:firstLine="454"/>
        <w:spacing w:after="0" w:line="256" w:lineRule="auto"/>
        <w:rPr>
          <w:sz w:val="20"/>
          <w:szCs w:val="20"/>
          <w:color w:val="auto"/>
        </w:rPr>
      </w:pPr>
      <w:r>
        <w:rPr>
          <w:rFonts w:ascii="Times New Roman" w:cs="Times New Roman" w:eastAsia="Times New Roman" w:hAnsi="Times New Roman"/>
          <w:sz w:val="18"/>
          <w:szCs w:val="18"/>
          <w:color w:val="auto"/>
        </w:rPr>
        <w:t>On December 2, 2024, Coherus BioSciences, Inc., a Delaware corporation (“Coherus”), entered into an Asset Purchase Agreement (the “UDENYCA Purchase Agreement”) by and between Coherus and Intas Pharmaceuticals Ltd., a limited company incorporated in India (“Purchaser” or “Intas”). Pursuant to the UDENYCA Purchase Agreement, the closing of the UDENYCA Disposition occurred on April 11, 2025 (the “UDENYCA Disposition Date”). Capitalized terms used but not defined herein have those meanings set forth in the UDENYCA Purchase Agreement.</w:t>
      </w:r>
    </w:p>
    <w:p>
      <w:pPr>
        <w:spacing w:after="0" w:line="187" w:lineRule="exact"/>
        <w:rPr>
          <w:sz w:val="20"/>
          <w:szCs w:val="20"/>
          <w:color w:val="auto"/>
        </w:rPr>
      </w:pPr>
    </w:p>
    <w:p>
      <w:pPr>
        <w:jc w:val="both"/>
        <w:ind w:left="200" w:right="219" w:firstLine="454"/>
        <w:spacing w:after="0" w:line="233" w:lineRule="auto"/>
        <w:rPr>
          <w:sz w:val="20"/>
          <w:szCs w:val="20"/>
          <w:color w:val="auto"/>
        </w:rPr>
      </w:pPr>
      <w:r>
        <w:rPr>
          <w:rFonts w:ascii="Times New Roman" w:cs="Times New Roman" w:eastAsia="Times New Roman" w:hAnsi="Times New Roman"/>
          <w:sz w:val="18"/>
          <w:szCs w:val="18"/>
          <w:color w:val="212529"/>
        </w:rPr>
        <w:t>Pursuant to the terms and subject to the conditions set forth in the UDENYCA Purchase Agreement, Coherus agreed to divest its UDENYCA</w:t>
      </w:r>
      <w:r>
        <w:rPr>
          <w:rFonts w:ascii="Times New Roman" w:cs="Times New Roman" w:eastAsia="Times New Roman" w:hAnsi="Times New Roman"/>
          <w:sz w:val="26"/>
          <w:szCs w:val="26"/>
          <w:color w:val="000000"/>
          <w:vertAlign w:val="superscript"/>
        </w:rPr>
        <w:t>®</w:t>
      </w:r>
      <w:r>
        <w:rPr>
          <w:rFonts w:ascii="Times New Roman" w:cs="Times New Roman" w:eastAsia="Times New Roman" w:hAnsi="Times New Roman"/>
          <w:sz w:val="18"/>
          <w:szCs w:val="18"/>
          <w:color w:val="212529"/>
        </w:rPr>
        <w:t xml:space="preserve"> (pegfilgrastim-cbqv) franchise (</w:t>
      </w:r>
      <w:r>
        <w:rPr>
          <w:rFonts w:ascii="Times New Roman" w:cs="Times New Roman" w:eastAsia="Times New Roman" w:hAnsi="Times New Roman"/>
          <w:sz w:val="18"/>
          <w:szCs w:val="18"/>
          <w:color w:val="000000"/>
        </w:rPr>
        <w:t>the “UDENYCA Business”)</w:t>
      </w:r>
      <w:r>
        <w:rPr>
          <w:rFonts w:ascii="Times New Roman" w:cs="Times New Roman" w:eastAsia="Times New Roman" w:hAnsi="Times New Roman"/>
          <w:sz w:val="18"/>
          <w:szCs w:val="18"/>
          <w:color w:val="212529"/>
        </w:rPr>
        <w:t xml:space="preserve"> to Purchaser (the “UDENYCA Disposition”) for $483.4 million in cash, inclusive of $118.4 million for UDENYCA product inventory. Such consideration is subject to certain adjustments that will be finalized following the closing pursuant to the UDENYCA Purchase Agreement.</w:t>
      </w:r>
    </w:p>
    <w:p>
      <w:pPr>
        <w:spacing w:after="0" w:line="202" w:lineRule="exact"/>
        <w:rPr>
          <w:sz w:val="20"/>
          <w:szCs w:val="20"/>
          <w:color w:val="auto"/>
        </w:rPr>
      </w:pPr>
    </w:p>
    <w:p>
      <w:pPr>
        <w:jc w:val="both"/>
        <w:ind w:left="200" w:right="219" w:firstLine="454"/>
        <w:spacing w:after="0" w:line="255" w:lineRule="auto"/>
        <w:rPr>
          <w:sz w:val="20"/>
          <w:szCs w:val="20"/>
          <w:color w:val="auto"/>
        </w:rPr>
      </w:pPr>
      <w:r>
        <w:rPr>
          <w:rFonts w:ascii="Times New Roman" w:cs="Times New Roman" w:eastAsia="Times New Roman" w:hAnsi="Times New Roman"/>
          <w:sz w:val="18"/>
          <w:szCs w:val="18"/>
          <w:color w:val="212529"/>
        </w:rPr>
        <w:t xml:space="preserve">Coherus is eligible to receive two additional payments of $37.5 million each. The first such payment is payable to Coherus if Net Sales of UDENYCA for four consecutive fiscal quarters within the first five full fiscal quarters following the UDENYCA Disposition Date are equal to or greater than $300 million, and the second such payment is payable to Coherus if Net Sales of UDENYCA for four consecutive fiscal quarters within the first seven full fiscal quarters following the UDENYCA Disposition Date are equal to or greater than $350 million. </w:t>
      </w:r>
      <w:r>
        <w:rPr>
          <w:rFonts w:ascii="Times New Roman" w:cs="Times New Roman" w:eastAsia="Times New Roman" w:hAnsi="Times New Roman"/>
          <w:sz w:val="18"/>
          <w:szCs w:val="18"/>
          <w:color w:val="000000"/>
        </w:rPr>
        <w:t>Intas has designated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Accord BioPharma, Inc., an indirect wholly owned subsidiary of Intas (“Accord”) to purchase the physical assets, including product inventory.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ind w:left="200" w:right="219" w:firstLine="454"/>
        <w:spacing w:after="0" w:line="258" w:lineRule="auto"/>
        <w:rPr>
          <w:sz w:val="20"/>
          <w:szCs w:val="20"/>
          <w:color w:val="auto"/>
        </w:rPr>
      </w:pPr>
      <w:r>
        <w:rPr>
          <w:rFonts w:ascii="Times New Roman" w:cs="Times New Roman" w:eastAsia="Times New Roman" w:hAnsi="Times New Roman"/>
          <w:sz w:val="18"/>
          <w:szCs w:val="18"/>
          <w:color w:val="auto"/>
        </w:rPr>
        <w:t>The purpose of the unaudited pro forma condensed combined financial information presented herein is to reflect the closing of the UDENYCA Disposition, explained in (i) below. There are previous transactions unrelated to the UDENYCA Disposition in (ii) and (iii) below which appear in the unaudited pro forma condensed combined statements of operations before the subtotal adjusted for historical transactions. The unaudited pro forma condensed combined financial statements of Coherus present the pro forma effects of the following:</w:t>
      </w:r>
    </w:p>
    <w:p>
      <w:pPr>
        <w:spacing w:after="0" w:line="183" w:lineRule="exact"/>
        <w:rPr>
          <w:sz w:val="20"/>
          <w:szCs w:val="20"/>
          <w:color w:val="auto"/>
        </w:rPr>
      </w:pPr>
    </w:p>
    <w:p>
      <w:pPr>
        <w:jc w:val="both"/>
        <w:ind w:left="1300" w:right="219" w:hanging="646"/>
        <w:spacing w:after="0" w:line="267"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UDENYCA Disposition and (A) the assumed payment of $49.1 million, which represents the UDENYCA portion of the revenue participation right purchase and sale agreement (the “Revenue Purchase and Sale Agreement”) dated May 8, 2024 between Coherus and Coduet Royalty Holdings, LLC (“Coduet”) as of December 31, 2024. Following this required payment, there would no longer be an obligation to pay 5.0% of U.S. net sales of UDENYCA with respect to a specified net sales threshold during an applicable year and 0.5% of net sales of UDENYCA that exceeded the specified threshold during that year; and (B) the assumed payment of $230 million in aggregate principal amount, $0.7 million accrued interest and $3.8 million of transaction expenses to repurchase all outstanding 1.500% Convertible Senior Subordinated Notes due 2026 (the “Convertible Notes”) pursuant to both privately negotiated transactions (the “Private Repurchases”) with certain holders of Convertible Notes and the assumed repurchase of all remaining Convertible Notes by Coherus (the “Fundamental Change Repurchases” and, together with the Private Repurchases, the “Repurchases”). Coherus assumes the completion of the Fundamental Change Repurchases because the UDENYCA Disposition constituted a Fundamental Change (as defined in the indenture, dated as of April 17, 2020 (the “Indenture”), between Coherus and U.S. Bank Trust Company, National Association, as trustee). For pro forma purposes it is assumed that the payments pursuant to the Repurchases were made on December 31, 2024.</w:t>
      </w:r>
    </w:p>
    <w:p>
      <w:pPr>
        <w:spacing w:after="0" w:line="136" w:lineRule="exact"/>
        <w:rPr>
          <w:rFonts w:ascii="Times New Roman" w:cs="Times New Roman" w:eastAsia="Times New Roman" w:hAnsi="Times New Roman"/>
          <w:sz w:val="18"/>
          <w:szCs w:val="18"/>
          <w:color w:val="auto"/>
        </w:rPr>
      </w:pPr>
    </w:p>
    <w:p>
      <w:pPr>
        <w:ind w:left="1300" w:right="239" w:hanging="646"/>
        <w:spacing w:after="0" w:line="297"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Coherus’ YUSIMRY (adalimumab-aqvh) franchise through the sale of certain assets, including YUSIMRY, to Hong Kong King-Friend Industrial Company Ltd., a Hong Kong corporation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 w:name="page10"/>
    <w:bookmarkEnd w:id="9"/>
    <w:p>
      <w:pPr>
        <w:ind w:left="1300" w:right="239"/>
        <w:spacing w:after="0" w:line="297" w:lineRule="auto"/>
        <w:rPr>
          <w:sz w:val="20"/>
          <w:szCs w:val="20"/>
          <w:color w:val="auto"/>
        </w:rPr>
      </w:pPr>
      <w:r>
        <w:rPr>
          <w:rFonts w:ascii="Times New Roman" w:cs="Times New Roman" w:eastAsia="Times New Roman" w:hAnsi="Times New Roman"/>
          <w:sz w:val="18"/>
          <w:szCs w:val="18"/>
          <w:color w:val="auto"/>
        </w:rPr>
        <w:t>(“HKF”), and the assumption of certain liabilities by HKF (collectively, the “YUSIMRY Disposition”), which occurred on June 26, 2024 (the “YUSIMRY Disposition Date”), and</w:t>
      </w:r>
    </w:p>
    <w:p>
      <w:pPr>
        <w:spacing w:after="0" w:line="109" w:lineRule="exact"/>
        <w:rPr>
          <w:sz w:val="20"/>
          <w:szCs w:val="20"/>
          <w:color w:val="auto"/>
        </w:rPr>
      </w:pPr>
    </w:p>
    <w:p>
      <w:pPr>
        <w:jc w:val="both"/>
        <w:ind w:left="1300" w:right="219" w:hanging="646"/>
        <w:spacing w:after="0" w:line="27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Coherus’ ophthalmology franchise through the sale of its subsidiary, Coherus Ophthalmology LLC (the “CIMERLI Disposition”, and, together with the UDENYCA Disposition and the YUSIMRY Disposition, the “Combined Transactions”), which occurred on March 1, 2024 (the “CIMERLI Disposition Date”), and transactions related to the CIMERLI Disposition including the concurrent partial prepayment of Coherus’ term loans due in January 2027 (the “2027 Term Loans”) that occurred in April 2024.</w:t>
      </w:r>
    </w:p>
    <w:p>
      <w:pPr>
        <w:spacing w:after="0" w:line="132" w:lineRule="exact"/>
        <w:rPr>
          <w:sz w:val="20"/>
          <w:szCs w:val="20"/>
          <w:color w:val="auto"/>
        </w:rPr>
      </w:pPr>
    </w:p>
    <w:p>
      <w:pPr>
        <w:ind w:left="200" w:right="239" w:firstLine="45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reflect items (ii) and (iii) above because such events occurred prior to the date of the balance sheet.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presented below has been derived from:</w:t>
      </w:r>
    </w:p>
    <w:p>
      <w:pPr>
        <w:spacing w:after="0" w:line="117" w:lineRule="exact"/>
        <w:rPr>
          <w:sz w:val="20"/>
          <w:szCs w:val="20"/>
          <w:color w:val="auto"/>
        </w:rPr>
      </w:pPr>
    </w:p>
    <w:p>
      <w:pPr>
        <w:ind w:left="900" w:right="239" w:hanging="25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Coherus for the years ended December 31, 2024 and 2023 contained in its Annual Report on Form 10-K for the year ended December 31, 2024; and</w:t>
      </w:r>
    </w:p>
    <w:p>
      <w:pPr>
        <w:spacing w:after="0" w:line="148" w:lineRule="exact"/>
        <w:rPr>
          <w:rFonts w:ascii="Times New Roman" w:cs="Times New Roman" w:eastAsia="Times New Roman" w:hAnsi="Times New Roman"/>
          <w:sz w:val="18"/>
          <w:szCs w:val="18"/>
          <w:color w:val="auto"/>
        </w:rPr>
      </w:pPr>
    </w:p>
    <w:p>
      <w:pPr>
        <w:ind w:left="900" w:hanging="25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accounting records of Coherus for the years ended December 31, 2024 and 2023.</w:t>
      </w:r>
    </w:p>
    <w:p>
      <w:pPr>
        <w:spacing w:after="0" w:line="252" w:lineRule="exact"/>
        <w:rPr>
          <w:sz w:val="20"/>
          <w:szCs w:val="20"/>
          <w:color w:val="auto"/>
        </w:rPr>
      </w:pPr>
    </w:p>
    <w:p>
      <w:pPr>
        <w:jc w:val="both"/>
        <w:ind w:left="200" w:right="219" w:firstLine="45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Regulation S-X Article 11, Pro Forma Financial Information, as amended by the final rule, Release No. 33-10786 “Amendments to Financial Disclosures about Acquired and Disposed Businesses,” which is referred herein as “Article 11.” Article 11 provides the following pro forma adjustments to the historical financial information:</w:t>
      </w:r>
    </w:p>
    <w:p>
      <w:pPr>
        <w:spacing w:after="0" w:line="178" w:lineRule="exact"/>
        <w:rPr>
          <w:sz w:val="20"/>
          <w:szCs w:val="20"/>
          <w:color w:val="auto"/>
        </w:rPr>
      </w:pPr>
    </w:p>
    <w:p>
      <w:pPr>
        <w:ind w:left="900" w:right="239" w:hanging="259"/>
        <w:spacing w:after="0" w:line="284"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Accounting Adjustments </w:t>
      </w:r>
      <w:r>
        <w:rPr>
          <w:rFonts w:ascii="Times New Roman" w:cs="Times New Roman" w:eastAsia="Times New Roman" w:hAnsi="Times New Roman"/>
          <w:sz w:val="18"/>
          <w:szCs w:val="18"/>
          <w:color w:val="auto"/>
        </w:rPr>
        <w:t>– Adjustments that reflect only the application of required accounting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 disposition, or other transaction.</w:t>
      </w:r>
    </w:p>
    <w:p>
      <w:pPr>
        <w:spacing w:after="0" w:line="131" w:lineRule="exact"/>
        <w:rPr>
          <w:rFonts w:ascii="Times New Roman" w:cs="Times New Roman" w:eastAsia="Times New Roman" w:hAnsi="Times New Roman"/>
          <w:sz w:val="18"/>
          <w:szCs w:val="18"/>
          <w:color w:val="auto"/>
        </w:rPr>
      </w:pPr>
    </w:p>
    <w:p>
      <w:pPr>
        <w:ind w:left="900" w:right="239" w:hanging="259"/>
        <w:spacing w:after="0" w:line="284"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Autonomous Entity Adjustments </w:t>
      </w:r>
      <w:r>
        <w:rPr>
          <w:rFonts w:ascii="Times New Roman" w:cs="Times New Roman" w:eastAsia="Times New Roman" w:hAnsi="Times New Roman"/>
          <w:sz w:val="18"/>
          <w:szCs w:val="18"/>
          <w:color w:val="auto"/>
        </w:rPr>
        <w:t>– Adjustments that are necessary to reflect the operations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of the registrant as an autonomous entity when the registrant was previously part of another entity.</w:t>
      </w:r>
    </w:p>
    <w:p>
      <w:pPr>
        <w:spacing w:after="0" w:line="147" w:lineRule="exact"/>
        <w:rPr>
          <w:sz w:val="20"/>
          <w:szCs w:val="20"/>
          <w:color w:val="auto"/>
        </w:rPr>
      </w:pPr>
    </w:p>
    <w:p>
      <w:pPr>
        <w:jc w:val="both"/>
        <w:ind w:left="200" w:right="219" w:firstLine="454"/>
        <w:spacing w:after="0" w:line="255" w:lineRule="auto"/>
        <w:rPr>
          <w:sz w:val="20"/>
          <w:szCs w:val="20"/>
          <w:color w:val="auto"/>
        </w:rPr>
      </w:pPr>
      <w:r>
        <w:rPr>
          <w:rFonts w:ascii="Times New Roman" w:cs="Times New Roman" w:eastAsia="Times New Roman" w:hAnsi="Times New Roman"/>
          <w:sz w:val="18"/>
          <w:szCs w:val="18"/>
          <w:color w:val="auto"/>
        </w:rPr>
        <w:t>The transaction accounting adjustments are based on available information and assumptions that Coherus’ management believes are reasonable. However, such adjustments are preliminary estimates and actual experience may differ materially from expectations. There were no autonomous entity adjustments. Article 11 permits presentation of reasonably estimable synergies, dis-synergies and other transaction effects that have occurred or are expected to occur (“Management’s Adjustments”); however, Coherus has elected not to present Management’s Adjustments. Coherus expects to use tax attributes, which were previously not deemed realizable, to offset substantially all the U.S. federal income taxes related to the UDENYCA Disposition.</w:t>
      </w:r>
    </w:p>
    <w:p>
      <w:pPr>
        <w:spacing w:after="0" w:line="189" w:lineRule="exact"/>
        <w:rPr>
          <w:sz w:val="20"/>
          <w:szCs w:val="20"/>
          <w:color w:val="auto"/>
        </w:rPr>
      </w:pPr>
    </w:p>
    <w:p>
      <w:pPr>
        <w:jc w:val="both"/>
        <w:ind w:left="200" w:right="219" w:firstLine="45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was prepared as though the Combined Transactions occurred on January 1, 2024. The UDENYCA Disposition will represent a strategic shift; thus, the entire biosimilar business, inclusive of the CIMERLI, YUSIMRY and UDENYCA franchises, will be presented as discontinued operations. As such, the unaudited pro forma condensed combined statement of operations for the year ended December 31, 2023 has been recast to exclude results from discontinued operations and only present income (loss) from continuing operations.</w:t>
      </w:r>
    </w:p>
    <w:p>
      <w:pPr>
        <w:spacing w:after="0" w:line="187" w:lineRule="exact"/>
        <w:rPr>
          <w:sz w:val="20"/>
          <w:szCs w:val="20"/>
          <w:color w:val="auto"/>
        </w:rPr>
      </w:pPr>
    </w:p>
    <w:p>
      <w:pPr>
        <w:jc w:val="both"/>
        <w:ind w:left="200" w:right="219" w:firstLine="49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was prepared as though the UDENYCA Disposition occurred on December 31, 2024.</w:t>
      </w:r>
    </w:p>
    <w:p>
      <w:pPr>
        <w:spacing w:after="0" w:line="162" w:lineRule="exact"/>
        <w:rPr>
          <w:sz w:val="20"/>
          <w:szCs w:val="20"/>
          <w:color w:val="auto"/>
        </w:rPr>
      </w:pPr>
    </w:p>
    <w:p>
      <w:pPr>
        <w:jc w:val="both"/>
        <w:ind w:left="200" w:right="219" w:firstLine="454"/>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does not reflect what Coherus’ financial position and results of operations would have been had the Combined Transactions occurred on the dates indicated, is not necessarily indicative of Coherus’ future financial position and future results of operations and does not reflect all actions that may be taken by Coherus after the closing of the Combined Transactions. Additionally, the unaudited pro forma condensed combined financial information does not give effect to anticipated synergies, dis-synergies, operating efficiencies, tax savings or cost savings that may be associated with the Combined Transactions including the related transactions. The unaudited pro forma condensed combined financial information constitutes forward-looking information, is subject to certain risks and uncertainties that could cause actual results to differ materially from those anticipated and should be read in conjunction with the accompanying notes thereto.</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COHERUS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5"/>
              </w:rPr>
              <w:t>UDENYCA</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UDENYCA</w:t>
            </w:r>
          </w:p>
        </w:tc>
        <w:tc>
          <w:tcPr>
            <w:tcW w:w="180" w:type="dxa"/>
            <w:vAlign w:val="bottom"/>
          </w:tcPr>
          <w:p>
            <w:pPr>
              <w:spacing w:after="0"/>
              <w:rPr>
                <w:sz w:val="11"/>
                <w:szCs w:val="11"/>
                <w:color w:val="auto"/>
              </w:rPr>
            </w:pPr>
          </w:p>
        </w:tc>
        <w:tc>
          <w:tcPr>
            <w:tcW w:w="96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Combined Balance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Historical Coherus</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Disposition (3a)</w:t>
            </w:r>
          </w:p>
        </w:tc>
        <w:tc>
          <w:tcPr>
            <w:tcW w:w="180" w:type="dxa"/>
            <w:vAlign w:val="bottom"/>
          </w:tcPr>
          <w:p>
            <w:pPr>
              <w:spacing w:after="0"/>
              <w:rPr>
                <w:sz w:val="14"/>
                <w:szCs w:val="14"/>
                <w:color w:val="auto"/>
              </w:rPr>
            </w:pPr>
          </w:p>
        </w:tc>
        <w:tc>
          <w:tcPr>
            <w:tcW w:w="9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4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8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Sheet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125,987</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465,361</w:t>
            </w:r>
          </w:p>
        </w:tc>
        <w:tc>
          <w:tcPr>
            <w:tcW w:w="14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3b</w:t>
            </w:r>
          </w:p>
        </w:tc>
        <w:tc>
          <w:tcPr>
            <w:tcW w:w="28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(234,528)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3c</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(49,086)</w:t>
            </w:r>
          </w:p>
        </w:tc>
        <w:tc>
          <w:tcPr>
            <w:tcW w:w="14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3d</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receivables, net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111,324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TSA receivables, net</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70,094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(65,890)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manufacturing</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prepaids and current assets</w:t>
            </w: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11,532</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341,583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(72,321)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181,747</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451,009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non-current</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43,776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(43,776)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53,646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 non-current</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6,691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448,533</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(116,564)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181,747</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Liabilities and stockholders' equity (deficit)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28,456</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rebates, fees and reserves</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164,867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TSA payables and other accrued liabilities</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(6,573)</w:t>
            </w:r>
          </w:p>
        </w:tc>
        <w:tc>
          <w:tcPr>
            <w:tcW w:w="14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3b</w:t>
            </w: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3c</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(14,088)</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3d</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282,981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(21,389)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261,592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36,698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228,229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(228,229)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3c</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liabilities, non-current</w:t>
            </w: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29,329</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(15,667)</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3d</w:t>
            </w: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580,523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(265,285)</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315,238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shares authorized: 5,000,000; shares</w:t>
            </w:r>
          </w:p>
        </w:tc>
        <w:tc>
          <w:tcPr>
            <w:tcW w:w="3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issued and outstanding: 0)</w:t>
            </w:r>
          </w:p>
        </w:tc>
        <w:tc>
          <w:tcPr>
            <w:tcW w:w="3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($0.0001 par value; shares authorized: 300,000,000; shares</w:t>
            </w:r>
          </w:p>
        </w:tc>
        <w:tc>
          <w:tcPr>
            <w:tcW w:w="3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issued and outstanding: 115,614,548)</w:t>
            </w: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1,419,266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(1,550,993)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(116,564)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471,934</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3b</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(5,571)</w:t>
            </w:r>
          </w:p>
        </w:tc>
        <w:tc>
          <w:tcPr>
            <w:tcW w:w="14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3c</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3d</w:t>
            </w: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(131,990)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(116,564)</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447,032</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198,478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300" w:type="dxa"/>
            <w:vAlign w:val="bottom"/>
            <w:tcBorders>
              <w:bottom w:val="single" w:sz="8" w:color="auto"/>
            </w:tcBorders>
            <w:shd w:val="clear" w:color="auto" w:fill="CCEEFF"/>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448,533</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(116,564)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181,747</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62236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ectPr>
          <w:pgSz w:w="11900" w:h="16838" w:orient="portrait"/>
          <w:cols w:equalWidth="0" w:num="1">
            <w:col w:w="9800"/>
          </w:cols>
          <w:pgMar w:left="1040" w:top="725" w:right="10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COHERUS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STATEMENTS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2380" w:type="dxa"/>
        <w:tblCellMar>
          <w:top w:w="0" w:type="dxa"/>
          <w:left w:w="0" w:type="dxa"/>
          <w:bottom w:w="0" w:type="dxa"/>
          <w:right w:w="0" w:type="dxa"/>
        </w:tblCellMar>
      </w:tblP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CIMERLI Disposition</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UDENYCA Disposition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CIMERLI</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UDENYCA</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CIMERLI</w:t>
            </w: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YUSIMRY</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UDENYCA</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9"/>
        </w:trPr>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adjusted for</w:t>
            </w:r>
          </w:p>
        </w:tc>
        <w:tc>
          <w:tcPr>
            <w:tcW w:w="920" w:type="dxa"/>
            <w:vAlign w:val="bottom"/>
            <w:gridSpan w:val="2"/>
            <w:vMerge w:val="continue"/>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Coherus</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(4a)</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(4b)</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(4c)</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(4d)</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(4e)</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22363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223635" cy="197485"/>
                    </a:xfrm>
                    <a:prstGeom prst="rect">
                      <a:avLst/>
                    </a:prstGeom>
                    <a:noFill/>
                  </pic:spPr>
                </pic:pic>
              </a:graphicData>
            </a:graphic>
          </wp:anchor>
        </w:drawing>
      </w:r>
    </w:p>
    <w:p>
      <w:pPr>
        <w:sectPr>
          <w:pgSz w:w="11900" w:h="16838" w:orient="portrait"/>
          <w:cols w:equalWidth="0" w:num="1">
            <w:col w:w="9800"/>
          </w:cols>
          <w:pgMar w:left="1040" w:top="725" w:right="105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revenue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and expenses:</w:t>
      </w:r>
    </w:p>
    <w:p>
      <w:pPr>
        <w:ind w:left="120"/>
        <w:spacing w:after="0" w:line="221" w:lineRule="auto"/>
        <w:rPr>
          <w:sz w:val="20"/>
          <w:szCs w:val="20"/>
          <w:color w:val="auto"/>
        </w:rPr>
      </w:pPr>
      <w:r>
        <w:rPr>
          <w:rFonts w:ascii="Times New Roman" w:cs="Times New Roman" w:eastAsia="Times New Roman" w:hAnsi="Times New Roman"/>
          <w:sz w:val="14"/>
          <w:szCs w:val="14"/>
          <w:color w:val="auto"/>
        </w:rPr>
        <w:t>Cost of goods sold</w:t>
      </w:r>
    </w:p>
    <w:p>
      <w:pPr>
        <w:ind w:left="120"/>
        <w:spacing w:after="0" w:line="221" w:lineRule="auto"/>
        <w:rPr>
          <w:sz w:val="20"/>
          <w:szCs w:val="20"/>
          <w:color w:val="auto"/>
        </w:rPr>
      </w:pPr>
      <w:r>
        <w:rPr>
          <w:rFonts w:ascii="Times New Roman" w:cs="Times New Roman" w:eastAsia="Times New Roman" w:hAnsi="Times New Roman"/>
          <w:sz w:val="14"/>
          <w:szCs w:val="14"/>
          <w:color w:val="auto"/>
        </w:rPr>
        <w:t>Research and development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p>
      <w:pPr>
        <w:spacing w:after="0" w:line="1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costs and expenses</w:t>
      </w:r>
    </w:p>
    <w:p>
      <w:pPr>
        <w:spacing w:after="0" w:line="17" w:lineRule="exact"/>
        <w:rPr>
          <w:sz w:val="20"/>
          <w:szCs w:val="20"/>
          <w:color w:val="auto"/>
        </w:rPr>
      </w:pPr>
    </w:p>
    <w:p>
      <w:pPr>
        <w:ind w:right="240" w:firstLine="216"/>
        <w:spacing w:after="0" w:line="258" w:lineRule="auto"/>
        <w:rPr>
          <w:sz w:val="20"/>
          <w:szCs w:val="20"/>
          <w:color w:val="auto"/>
        </w:rPr>
      </w:pPr>
      <w:r>
        <w:rPr>
          <w:rFonts w:ascii="Times New Roman" w:cs="Times New Roman" w:eastAsia="Times New Roman" w:hAnsi="Times New Roman"/>
          <w:sz w:val="14"/>
          <w:szCs w:val="14"/>
          <w:color w:val="auto"/>
        </w:rPr>
        <w:t>Income (loss) from operations Interest expense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 on Sale Transactions, net</w:t>
      </w:r>
    </w:p>
    <w:p>
      <w:pPr>
        <w:spacing w:after="0" w:line="226" w:lineRule="auto"/>
        <w:rPr>
          <w:sz w:val="20"/>
          <w:szCs w:val="20"/>
          <w:color w:val="auto"/>
        </w:rPr>
      </w:pPr>
      <w:r>
        <w:rPr>
          <w:rFonts w:ascii="Times New Roman" w:cs="Times New Roman" w:eastAsia="Times New Roman" w:hAnsi="Times New Roman"/>
          <w:sz w:val="14"/>
          <w:szCs w:val="14"/>
          <w:color w:val="auto"/>
        </w:rPr>
        <w:t>Loss on debt extinguishment</w:t>
      </w:r>
    </w:p>
    <w:p>
      <w:pPr>
        <w:spacing w:after="0"/>
        <w:rPr>
          <w:sz w:val="20"/>
          <w:szCs w:val="20"/>
          <w:color w:val="auto"/>
        </w:rPr>
      </w:pPr>
      <w:r>
        <w:rPr>
          <w:rFonts w:ascii="Times New Roman" w:cs="Times New Roman" w:eastAsia="Times New Roman" w:hAnsi="Times New Roman"/>
          <w:sz w:val="14"/>
          <w:szCs w:val="14"/>
          <w:color w:val="auto"/>
        </w:rPr>
        <w:t>Other income (expense), net</w:t>
      </w:r>
    </w:p>
    <w:p>
      <w:pPr>
        <w:spacing w:after="0" w:line="134"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14"/>
          <w:szCs w:val="14"/>
          <w:color w:val="auto"/>
        </w:rPr>
        <w:t>Income (loss) before income taxes Income tax provision (benefit)</w:t>
      </w:r>
    </w:p>
    <w:p>
      <w:pPr>
        <w:spacing w:after="0" w:line="1" w:lineRule="exact"/>
        <w:rPr>
          <w:sz w:val="20"/>
          <w:szCs w:val="20"/>
          <w:color w:val="auto"/>
        </w:rPr>
      </w:pPr>
    </w:p>
    <w:p>
      <w:pPr>
        <w:ind w:left="220"/>
        <w:spacing w:after="0" w:line="228" w:lineRule="auto"/>
        <w:rPr>
          <w:sz w:val="20"/>
          <w:szCs w:val="20"/>
          <w:color w:val="auto"/>
        </w:rPr>
      </w:pPr>
      <w:r>
        <w:rPr>
          <w:rFonts w:ascii="Times New Roman" w:cs="Times New Roman" w:eastAsia="Times New Roman" w:hAnsi="Times New Roman"/>
          <w:sz w:val="14"/>
          <w:szCs w:val="14"/>
          <w:color w:val="auto"/>
        </w:rPr>
        <w:t>Net income (loss) from continuing operations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266,960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(27,079)</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232,340</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(205,951)</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26,389</w:t>
            </w:r>
          </w:p>
        </w:tc>
        <w:tc>
          <w:tcPr>
            <w:tcW w:w="0" w:type="dxa"/>
            <w:vAlign w:val="bottom"/>
          </w:tcPr>
          <w:p>
            <w:pPr>
              <w:spacing w:after="0"/>
              <w:rPr>
                <w:sz w:val="1"/>
                <w:szCs w:val="1"/>
                <w:color w:val="auto"/>
              </w:rPr>
            </w:pPr>
          </w:p>
        </w:tc>
      </w:tr>
      <w:tr>
        <w:trPr>
          <w:trHeight w:val="268"/>
        </w:trPr>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92,618</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(83,891)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8,727</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93,336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92,926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91,833</w:t>
            </w:r>
          </w:p>
        </w:tc>
        <w:tc>
          <w:tcPr>
            <w:tcW w:w="0" w:type="dxa"/>
            <w:vAlign w:val="bottom"/>
          </w:tcPr>
          <w:p>
            <w:pPr>
              <w:spacing w:after="0"/>
              <w:rPr>
                <w:sz w:val="1"/>
                <w:szCs w:val="1"/>
                <w:color w:val="auto"/>
              </w:rPr>
            </w:pPr>
          </w:p>
        </w:tc>
      </w:tr>
      <w:tr>
        <w:trPr>
          <w:trHeight w:val="171"/>
        </w:trPr>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167,738</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(7,209)</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157,800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(32,318)</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125,482</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(117,302)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226,042</w:t>
            </w:r>
          </w:p>
        </w:tc>
        <w:tc>
          <w:tcPr>
            <w:tcW w:w="0" w:type="dxa"/>
            <w:vAlign w:val="bottom"/>
          </w:tcPr>
          <w:p>
            <w:pPr>
              <w:spacing w:after="0"/>
              <w:rPr>
                <w:sz w:val="1"/>
                <w:szCs w:val="1"/>
                <w:color w:val="auto"/>
              </w:rPr>
            </w:pPr>
          </w:p>
        </w:tc>
      </w:tr>
      <w:tr>
        <w:trPr>
          <w:trHeight w:val="64"/>
        </w:trPr>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(111,667)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3,069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(111,004)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(88,649)</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(199,653)</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(11,319)</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(153,783)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(12,630)</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(12,630)</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(12,630)</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7,623</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(156,189)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(79,698)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(215,979)</w:t>
            </w: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(156,189)</w:t>
            </w:r>
          </w:p>
        </w:tc>
        <w:tc>
          <w:tcPr>
            <w:tcW w:w="180" w:type="dxa"/>
            <w:vAlign w:val="bottom"/>
          </w:tcPr>
          <w:p>
            <w:pPr>
              <w:spacing w:after="0"/>
              <w:rPr>
                <w:sz w:val="24"/>
                <w:szCs w:val="24"/>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(141,072)</w:t>
            </w:r>
          </w:p>
        </w:tc>
        <w:tc>
          <w:tcPr>
            <w:tcW w:w="1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(79,698)</w:t>
            </w:r>
          </w:p>
        </w:tc>
        <w:tc>
          <w:tcPr>
            <w:tcW w:w="180" w:type="dxa"/>
            <w:vAlign w:val="bottom"/>
          </w:tcPr>
          <w:p>
            <w:pPr>
              <w:spacing w:after="0"/>
              <w:rPr>
                <w:sz w:val="24"/>
                <w:szCs w:val="24"/>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(215,979)</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-1576705</wp:posOffset>
            </wp:positionV>
            <wp:extent cx="6223635"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223635" cy="93980"/>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-1388110</wp:posOffset>
            </wp:positionV>
            <wp:extent cx="6223635"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223635" cy="93980"/>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-1096645</wp:posOffset>
            </wp:positionV>
            <wp:extent cx="6223635"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223635" cy="102870"/>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-890905</wp:posOffset>
            </wp:positionV>
            <wp:extent cx="622363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223635" cy="18859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-607695</wp:posOffset>
            </wp:positionV>
            <wp:extent cx="6223635"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223635" cy="93980"/>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-316230</wp:posOffset>
            </wp:positionV>
            <wp:extent cx="6223635"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223635" cy="939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200" w:space="180"/>
            <w:col w:w="7420"/>
          </w:cols>
          <w:pgMar w:left="1040" w:top="725" w:right="10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vMerge w:val="restart"/>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(loss) per share from</w:t>
            </w:r>
          </w:p>
        </w:tc>
        <w:tc>
          <w:tcPr>
            <w:tcW w:w="1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continuing operations:</w:t>
            </w:r>
          </w:p>
        </w:tc>
        <w:tc>
          <w:tcPr>
            <w:tcW w:w="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560" w:type="dxa"/>
            <w:vAlign w:val="bottom"/>
            <w:shd w:val="clear" w:color="auto" w:fill="CCEEFF"/>
          </w:tcPr>
          <w:p>
            <w:pPr>
              <w:jc w:val="right"/>
              <w:ind w:right="2708"/>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2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560" w:type="dxa"/>
            <w:vAlign w:val="bottom"/>
          </w:tcPr>
          <w:p>
            <w:pPr>
              <w:jc w:val="right"/>
              <w:ind w:right="2708"/>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2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Weighted-average number of shares used</w:t>
            </w:r>
          </w:p>
        </w:tc>
        <w:tc>
          <w:tcPr>
            <w:tcW w:w="140" w:type="dxa"/>
            <w:vAlign w:val="bottom"/>
            <w:shd w:val="clear" w:color="auto" w:fill="CCEEFF"/>
          </w:tcPr>
          <w:p>
            <w:pPr>
              <w:spacing w:after="0"/>
              <w:rPr>
                <w:sz w:val="10"/>
                <w:szCs w:val="10"/>
                <w:color w:val="auto"/>
              </w:rPr>
            </w:pPr>
          </w:p>
        </w:tc>
        <w:tc>
          <w:tcPr>
            <w:tcW w:w="3560" w:type="dxa"/>
            <w:vAlign w:val="bottom"/>
            <w:shd w:val="clear" w:color="auto" w:fill="CCEEFF"/>
          </w:tcPr>
          <w:p>
            <w:pPr>
              <w:spacing w:after="0"/>
              <w:rPr>
                <w:sz w:val="10"/>
                <w:szCs w:val="10"/>
                <w:color w:val="auto"/>
              </w:rPr>
            </w:pPr>
          </w:p>
        </w:tc>
        <w:tc>
          <w:tcPr>
            <w:tcW w:w="29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 computing net income (loss) per share</w:t>
            </w:r>
          </w:p>
        </w:tc>
        <w:tc>
          <w:tcPr>
            <w:tcW w:w="14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from continuing operations:</w:t>
            </w:r>
          </w:p>
        </w:tc>
        <w:tc>
          <w:tcPr>
            <w:tcW w:w="14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spacing w:after="0"/>
              <w:rPr>
                <w:sz w:val="12"/>
                <w:szCs w:val="12"/>
                <w:color w:val="auto"/>
              </w:rPr>
            </w:pPr>
          </w:p>
        </w:tc>
        <w:tc>
          <w:tcPr>
            <w:tcW w:w="3560" w:type="dxa"/>
            <w:vAlign w:val="bottom"/>
          </w:tcPr>
          <w:p>
            <w:pPr>
              <w:jc w:val="right"/>
              <w:ind w:right="2708"/>
              <w:spacing w:after="0" w:line="149" w:lineRule="exact"/>
              <w:rPr>
                <w:sz w:val="20"/>
                <w:szCs w:val="20"/>
                <w:color w:val="auto"/>
              </w:rPr>
            </w:pPr>
            <w:r>
              <w:rPr>
                <w:rFonts w:ascii="Times New Roman" w:cs="Times New Roman" w:eastAsia="Times New Roman" w:hAnsi="Times New Roman"/>
                <w:sz w:val="14"/>
                <w:szCs w:val="14"/>
                <w:color w:val="auto"/>
              </w:rPr>
              <w:t>114,553,537</w:t>
            </w:r>
          </w:p>
        </w:tc>
        <w:tc>
          <w:tcPr>
            <w:tcW w:w="29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114,569,747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shd w:val="clear" w:color="auto" w:fill="CCEEFF"/>
          </w:tcPr>
          <w:p>
            <w:pPr>
              <w:spacing w:after="0"/>
              <w:rPr>
                <w:sz w:val="12"/>
                <w:szCs w:val="12"/>
                <w:color w:val="auto"/>
              </w:rPr>
            </w:pPr>
          </w:p>
        </w:tc>
        <w:tc>
          <w:tcPr>
            <w:tcW w:w="3560" w:type="dxa"/>
            <w:vAlign w:val="bottom"/>
            <w:shd w:val="clear" w:color="auto" w:fill="CCEEFF"/>
          </w:tcPr>
          <w:p>
            <w:pPr>
              <w:jc w:val="right"/>
              <w:ind w:right="2708"/>
              <w:spacing w:after="0" w:line="149" w:lineRule="exact"/>
              <w:rPr>
                <w:sz w:val="20"/>
                <w:szCs w:val="20"/>
                <w:color w:val="auto"/>
              </w:rPr>
            </w:pPr>
            <w:r>
              <w:rPr>
                <w:rFonts w:ascii="Times New Roman" w:cs="Times New Roman" w:eastAsia="Times New Roman" w:hAnsi="Times New Roman"/>
                <w:sz w:val="14"/>
                <w:szCs w:val="14"/>
                <w:color w:val="auto"/>
              </w:rPr>
              <w:t>114,830,462</w:t>
            </w:r>
          </w:p>
        </w:tc>
        <w:tc>
          <w:tcPr>
            <w:tcW w:w="29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114,569,747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62236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ectPr>
          <w:pgSz w:w="11900" w:h="16838" w:orient="portrait"/>
          <w:cols w:equalWidth="0" w:num="1">
            <w:col w:w="9800"/>
          </w:cols>
          <w:pgMar w:left="1040" w:top="725" w:right="105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COHERUS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CIMERLI Disposition</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UDENYCA Disposition</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CIMERLI</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UDENYCA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CIMERLI</w:t>
            </w:r>
          </w:p>
        </w:tc>
        <w:tc>
          <w:tcPr>
            <w:tcW w:w="9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YUSIMRY</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UDENYCA</w:t>
            </w: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920" w:type="dxa"/>
            <w:vAlign w:val="bottom"/>
            <w:gridSpan w:val="3"/>
            <w:vMerge w:val="continue"/>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adjusted for</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9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9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Coherus</w:t>
            </w:r>
          </w:p>
        </w:tc>
        <w:tc>
          <w:tcPr>
            <w:tcW w:w="14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(4a)</w:t>
            </w:r>
          </w:p>
        </w:tc>
        <w:tc>
          <w:tcPr>
            <w:tcW w:w="18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(4b)</w:t>
            </w:r>
          </w:p>
        </w:tc>
        <w:tc>
          <w:tcPr>
            <w:tcW w:w="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(4c)</w:t>
            </w: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(4d)</w:t>
            </w:r>
          </w:p>
        </w:tc>
        <w:tc>
          <w:tcPr>
            <w:tcW w:w="18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(4e)</w:t>
            </w:r>
          </w:p>
        </w:tc>
        <w:tc>
          <w:tcPr>
            <w:tcW w:w="8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w:t>
            </w: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257,244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(125,388)</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128,282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(127,064)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Costs and expenses: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(73,975)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192,015</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(32,298)</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(7,774)</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151,943</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(31,485)</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costs and expenses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460,443</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(108,878)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(63,254)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288,311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(71,305)</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217,006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(203,199)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59,680</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(160,029)</w:t>
            </w:r>
          </w:p>
        </w:tc>
        <w:tc>
          <w:tcPr>
            <w:tcW w:w="18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(40,542)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24,700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(15,842)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5,469</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4,725</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59,680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(170,470)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Net income (loss) from</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(237,892)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(16,578)</w:t>
            </w:r>
          </w:p>
        </w:tc>
        <w:tc>
          <w:tcPr>
            <w:tcW w:w="10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24,700</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59,680</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(170,090)</w:t>
            </w:r>
          </w:p>
        </w:tc>
        <w:tc>
          <w:tcPr>
            <w:tcW w:w="1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(56,435)</w:t>
            </w:r>
          </w:p>
        </w:tc>
        <w:tc>
          <w:tcPr>
            <w:tcW w:w="10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(221,762)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Borders>
              <w:bottom w:val="single" w:sz="8" w:color="CCEEFF"/>
            </w:tcBorders>
          </w:tcPr>
          <w:p>
            <w:pPr>
              <w:ind w:left="200"/>
              <w:spacing w:after="0" w:line="158" w:lineRule="exact"/>
              <w:rPr>
                <w:sz w:val="20"/>
                <w:szCs w:val="20"/>
                <w:color w:val="auto"/>
              </w:rPr>
            </w:pPr>
            <w:r>
              <w:rPr>
                <w:rFonts w:ascii="Times New Roman" w:cs="Times New Roman" w:eastAsia="Times New Roman" w:hAnsi="Times New Roman"/>
                <w:sz w:val="14"/>
                <w:szCs w:val="14"/>
                <w:color w:val="auto"/>
              </w:rPr>
              <w:t>continuing operations</w:t>
            </w:r>
          </w:p>
        </w:tc>
        <w:tc>
          <w:tcPr>
            <w:tcW w:w="1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loss per share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from continuing operations</w:t>
            </w: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Weighted-average number of shares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used in computing basic and diluted</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from continuing</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94,162,637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94,162,637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62236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ectPr>
          <w:pgSz w:w="11900" w:h="16838" w:orient="portrait"/>
          <w:cols w:equalWidth="0" w:num="1">
            <w:col w:w="9800"/>
          </w:cols>
          <w:pgMar w:left="1040" w:top="725" w:right="10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COHERUS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PRO FORMA CONDENSED COMBINED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right="5239" w:hanging="451"/>
        <w:spacing w:after="0" w:line="532" w:lineRule="auto"/>
        <w:tabs>
          <w:tab w:leader="none" w:pos="53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the Combined Transactions The UDENYCA Disposition</w:t>
      </w:r>
    </w:p>
    <w:p>
      <w:pPr>
        <w:spacing w:after="0" w:line="1" w:lineRule="exact"/>
        <w:rPr>
          <w:sz w:val="20"/>
          <w:szCs w:val="20"/>
          <w:color w:val="auto"/>
        </w:rPr>
      </w:pPr>
    </w:p>
    <w:p>
      <w:pPr>
        <w:jc w:val="both"/>
        <w:ind w:left="200" w:right="239" w:firstLine="454"/>
        <w:spacing w:after="0" w:line="282" w:lineRule="auto"/>
        <w:rPr>
          <w:sz w:val="20"/>
          <w:szCs w:val="20"/>
          <w:color w:val="auto"/>
        </w:rPr>
      </w:pPr>
      <w:r>
        <w:rPr>
          <w:rFonts w:ascii="Times New Roman" w:cs="Times New Roman" w:eastAsia="Times New Roman" w:hAnsi="Times New Roman"/>
          <w:sz w:val="18"/>
          <w:szCs w:val="18"/>
          <w:color w:val="auto"/>
        </w:rPr>
        <w:t>On December 2, 2024, Coherus entered into the UDENYCA Purchase Agreement by and between Coherus and Purchaser. The UDENYCA Disposition occurred on April 11, 2025.</w:t>
      </w:r>
    </w:p>
    <w:p>
      <w:pPr>
        <w:spacing w:after="0" w:line="162" w:lineRule="exact"/>
        <w:rPr>
          <w:sz w:val="20"/>
          <w:szCs w:val="20"/>
          <w:color w:val="auto"/>
        </w:rPr>
      </w:pPr>
    </w:p>
    <w:p>
      <w:pPr>
        <w:jc w:val="both"/>
        <w:ind w:left="200" w:right="219" w:firstLine="454"/>
        <w:spacing w:after="0" w:line="254" w:lineRule="auto"/>
        <w:rPr>
          <w:sz w:val="20"/>
          <w:szCs w:val="20"/>
          <w:color w:val="auto"/>
        </w:rPr>
      </w:pPr>
      <w:r>
        <w:rPr>
          <w:rFonts w:ascii="Times New Roman" w:cs="Times New Roman" w:eastAsia="Times New Roman" w:hAnsi="Times New Roman"/>
          <w:sz w:val="18"/>
          <w:szCs w:val="18"/>
          <w:color w:val="212529"/>
        </w:rPr>
        <w:t xml:space="preserve">Pursuant to the terms and subject to the conditions set forth in the UDENYCA Purchase Agreement, Coherus agreed to divest the UDENYCA </w:t>
      </w:r>
      <w:r>
        <w:rPr>
          <w:rFonts w:ascii="Times New Roman" w:cs="Times New Roman" w:eastAsia="Times New Roman" w:hAnsi="Times New Roman"/>
          <w:sz w:val="18"/>
          <w:szCs w:val="18"/>
          <w:color w:val="000000"/>
        </w:rPr>
        <w:t>Business</w:t>
      </w:r>
      <w:r>
        <w:rPr>
          <w:rFonts w:ascii="Times New Roman" w:cs="Times New Roman" w:eastAsia="Times New Roman" w:hAnsi="Times New Roman"/>
          <w:sz w:val="18"/>
          <w:szCs w:val="18"/>
          <w:color w:val="212529"/>
        </w:rPr>
        <w:t xml:space="preserve"> to Purchaser for $483.4 million in cash, inclusive of $118.4 million for UDENYCA inventory. Such consideration is subject to certain adjustments that will be finalized following the closing pursuant to the UDENYCA Purchase Agreement. Coherus is eligible to receive two additional payments of $37.5 million each. The first such payment is payable to Coherus if Net Sales of UDENYCA for four consecutive fiscal quarters within the first five full fiscal quarters following the UDENYCA Disposition Date are equal to or greater than $300 million, and the second such payment is payable to Coherus if Net Sales of UDENYCA for four consecutive fiscal quarters within the first seven full fiscal quarters following the UDENYCA Disposition Date are equal to or greater than $350 million.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transactions relate to the UDENYCA Disposition:</w:t>
      </w:r>
    </w:p>
    <w:p>
      <w:pPr>
        <w:spacing w:after="0" w:line="223" w:lineRule="exact"/>
        <w:rPr>
          <w:sz w:val="20"/>
          <w:szCs w:val="20"/>
          <w:color w:val="auto"/>
        </w:rPr>
      </w:pPr>
    </w:p>
    <w:p>
      <w:pPr>
        <w:jc w:val="both"/>
        <w:ind w:left="960" w:right="219" w:hanging="319"/>
        <w:spacing w:after="0" w:line="26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UDENYCA Transition Services Agreement: </w:t>
      </w:r>
      <w:r>
        <w:rPr>
          <w:rFonts w:ascii="Times New Roman" w:cs="Times New Roman" w:eastAsia="Times New Roman" w:hAnsi="Times New Roman"/>
          <w:sz w:val="18"/>
          <w:szCs w:val="18"/>
          <w:color w:val="auto"/>
        </w:rPr>
        <w:t>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UDENYCA Disposition Date</w:t>
      </w:r>
      <w:r>
        <w:rPr>
          <w:rFonts w:ascii="Times New Roman" w:cs="Times New Roman" w:eastAsia="Times New Roman" w:hAnsi="Times New Roman"/>
          <w:sz w:val="18"/>
          <w:szCs w:val="18"/>
          <w:color w:val="auto"/>
        </w:rPr>
        <w:t>, Coherus and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transition services agreement (the “UDENYCA TSA”) pursuant to which, Coherus will provide to Purchaser certain specified transition services on the terms and subject to the conditions set forth in the UDENYCA TSA. The transition services provided under the UDENYCA TSA will run for the periods of time set forth in the schedules to the UDENYCA TSA, and are expected to be substantially completed by the end of 2025. Coherus could not reasonably estimate the impact of the UDENYCA TSA; thus, the impact has been excluded from the unaudited pro forma condensed combined financial information.</w:t>
      </w:r>
    </w:p>
    <w:p>
      <w:pPr>
        <w:spacing w:after="0" w:line="189" w:lineRule="exact"/>
        <w:rPr>
          <w:rFonts w:ascii="Times New Roman" w:cs="Times New Roman" w:eastAsia="Times New Roman" w:hAnsi="Times New Roman"/>
          <w:sz w:val="18"/>
          <w:szCs w:val="18"/>
          <w:color w:val="auto"/>
        </w:rPr>
      </w:pPr>
    </w:p>
    <w:p>
      <w:pPr>
        <w:jc w:val="both"/>
        <w:ind w:left="960" w:right="239" w:hanging="319"/>
        <w:spacing w:after="0" w:line="27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In connection with the UDENYCA Disposition, Coherus assumes the payment of $230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aggregate principal amount, $0.7 million accrued interest and $3.8 million of transaction related expenses to repurchase all outstanding Convertible Notes pursuant to both the Private Repurchases with certain holders of the Convertible Notes and the assumed repurchase of all remaining Convertible Notes pursuant to the Fundamental Change Repurchases. For pro forma purposes it is assumed that the payments pursuant to the Repurchases were made on December 31, 2024.</w:t>
      </w:r>
    </w:p>
    <w:p>
      <w:pPr>
        <w:spacing w:after="0" w:line="185" w:lineRule="exact"/>
        <w:rPr>
          <w:rFonts w:ascii="Times New Roman" w:cs="Times New Roman" w:eastAsia="Times New Roman" w:hAnsi="Times New Roman"/>
          <w:sz w:val="18"/>
          <w:szCs w:val="18"/>
          <w:color w:val="auto"/>
        </w:rPr>
      </w:pPr>
    </w:p>
    <w:p>
      <w:pPr>
        <w:jc w:val="both"/>
        <w:ind w:left="960" w:right="219" w:hanging="319"/>
        <w:spacing w:after="0" w:line="27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Purchase and Sale Agreement: </w:t>
      </w:r>
      <w:r>
        <w:rPr>
          <w:rFonts w:ascii="Times New Roman" w:cs="Times New Roman" w:eastAsia="Times New Roman" w:hAnsi="Times New Roman"/>
          <w:sz w:val="18"/>
          <w:szCs w:val="18"/>
          <w:color w:val="auto"/>
        </w:rPr>
        <w:t>In conjunction with the UDENYCA Disposition, Coherus will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 the remaining amount owed to Coduet related to UDENYCA. If the transaction occurred on December 31, 2024, the payment to Coduet would have been approximately $49.1 million. Such amount represents the multiple of 2.25 and the original purchase price allocated to UDENYCA by the Revenue Purchase and Sale Agreement as reduced by all payments related to UDENYCA already paid by Coherus. After such payment, there will no longer be an obligation to pay any royalties on net sales of UDENYCA to Coduet.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YUSIMRY Disposition</w:t>
      </w:r>
    </w:p>
    <w:p>
      <w:pPr>
        <w:spacing w:after="0" w:line="229" w:lineRule="exact"/>
        <w:rPr>
          <w:sz w:val="20"/>
          <w:szCs w:val="20"/>
          <w:color w:val="auto"/>
        </w:rPr>
      </w:pPr>
    </w:p>
    <w:p>
      <w:pPr>
        <w:jc w:val="both"/>
        <w:ind w:left="200" w:right="239" w:firstLine="454"/>
        <w:spacing w:after="0" w:line="282" w:lineRule="auto"/>
        <w:rPr>
          <w:sz w:val="20"/>
          <w:szCs w:val="20"/>
          <w:color w:val="auto"/>
        </w:rPr>
      </w:pPr>
      <w:r>
        <w:rPr>
          <w:rFonts w:ascii="Times New Roman" w:cs="Times New Roman" w:eastAsia="Times New Roman" w:hAnsi="Times New Roman"/>
          <w:sz w:val="18"/>
          <w:szCs w:val="18"/>
          <w:color w:val="auto"/>
        </w:rPr>
        <w:t>On June 26, 2024, Coherus entered into an asset purchase agreement with HKF (the “YUSIMRY Purchase Agreement”).</w:t>
      </w:r>
    </w:p>
    <w:p>
      <w:pPr>
        <w:spacing w:after="0" w:line="162" w:lineRule="exact"/>
        <w:rPr>
          <w:sz w:val="20"/>
          <w:szCs w:val="20"/>
          <w:color w:val="auto"/>
        </w:rPr>
      </w:pPr>
    </w:p>
    <w:p>
      <w:pPr>
        <w:jc w:val="both"/>
        <w:ind w:left="200" w:right="219" w:firstLine="454"/>
        <w:spacing w:after="0" w:line="266"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YUSIMRY Purchase Agreement, Coherus agreed to divest its YUSIMRY franchise through the sale of certain assets, including intellectual property exclusively related to YUSIMRY, certain contracts related to YUSIMRY, YUSIMRY inventory, and all activities related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4" w:name="page15"/>
    <w:bookmarkEnd w:id="14"/>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research and development of YUSIMRY, to HKF and the assumption of certain liabilities by HKF, including $17.0 million of inventory purchase commitments, but not including certain identified excluded assets and excluded liabilities for upfront, all-cash consideration of $40.0 million received on June 26,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YUSIMRY Purchase Agreement, the closing of the YUSIMRY Disposition occurred on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YUSIMRY Disposition Date. The following transaction relates to the YUSIMRY Disposition:</w:t>
      </w:r>
    </w:p>
    <w:p>
      <w:pPr>
        <w:spacing w:after="0" w:line="205" w:lineRule="exact"/>
        <w:rPr>
          <w:sz w:val="20"/>
          <w:szCs w:val="20"/>
          <w:color w:val="auto"/>
        </w:rPr>
      </w:pPr>
    </w:p>
    <w:p>
      <w:pPr>
        <w:jc w:val="both"/>
        <w:ind w:left="900" w:right="219" w:hanging="259"/>
        <w:spacing w:after="0" w:line="25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YUSIMRY Transition Services Agreement </w:t>
      </w:r>
      <w:r>
        <w:rPr>
          <w:rFonts w:ascii="Times New Roman" w:cs="Times New Roman" w:eastAsia="Times New Roman" w:hAnsi="Times New Roman"/>
          <w:sz w:val="18"/>
          <w:szCs w:val="18"/>
          <w:color w:val="auto"/>
        </w:rPr>
        <w:t>(the “YUSIMRY TSA”): On the YUSIMRY Disposition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Coherus and HKF entered into the YUSIMRY TSA pursuant to which, Coherus has provided to HKF certain specified transition services on the terms and subject to the conditions set forth in the YUSIMRY TSA. The transition services provided under the YUSIMRY TSA ran for the periods of time set forth in the schedules to the YUSIMRY TSA and were substantially completed by December 31, 2024. YUSIMRY TSA income recorded from the YUSIMRY Disposition Date through December 31, 2024 is presented in Historical Coherus in other income (expense), net. No estimate is included for any period after December 31, 2024.</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CIMERLI Disposition</w:t>
      </w:r>
    </w:p>
    <w:p>
      <w:pPr>
        <w:spacing w:after="0" w:line="229" w:lineRule="exact"/>
        <w:rPr>
          <w:sz w:val="20"/>
          <w:szCs w:val="20"/>
          <w:color w:val="auto"/>
        </w:rPr>
      </w:pPr>
    </w:p>
    <w:p>
      <w:pPr>
        <w:jc w:val="both"/>
        <w:ind w:left="200" w:right="219" w:firstLine="454"/>
        <w:spacing w:after="0" w:line="256" w:lineRule="auto"/>
        <w:rPr>
          <w:sz w:val="20"/>
          <w:szCs w:val="20"/>
          <w:color w:val="auto"/>
        </w:rPr>
      </w:pPr>
      <w:r>
        <w:rPr>
          <w:rFonts w:ascii="Times New Roman" w:cs="Times New Roman" w:eastAsia="Times New Roman" w:hAnsi="Times New Roman"/>
          <w:sz w:val="18"/>
          <w:szCs w:val="18"/>
          <w:color w:val="auto"/>
        </w:rPr>
        <w:t>On the CIMERLI Disposition Date, Coherus completed the sale of all issued and outstanding interests of Coherus Ophthalmology LLC from Coherus to Sandoz Inc. (“Sandoz”). Pursuant to the Purchase and Sale Agreement (the “CIMERLI Purchase Agreement”) dated January 19, 2024 between Coherus and Sandoz, Sandoz paid to Coherus $170.0 million in cash plus an additional $17.8 million for CIMERLI product inventory and prepaid manufacturing assets. The CIMERLI Disposition also included Coherus’ CIMERLI biologics license application, ophthalmology sales and select field reimbursement teams, and access to proprietary commercial software.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transactions relate to the CIMERLI Disposition:</w:t>
      </w:r>
    </w:p>
    <w:p>
      <w:pPr>
        <w:spacing w:after="0" w:line="223" w:lineRule="exact"/>
        <w:rPr>
          <w:sz w:val="20"/>
          <w:szCs w:val="20"/>
          <w:color w:val="auto"/>
        </w:rPr>
      </w:pPr>
    </w:p>
    <w:p>
      <w:pPr>
        <w:jc w:val="both"/>
        <w:ind w:left="900" w:right="219" w:hanging="259"/>
        <w:spacing w:after="0" w:line="25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CIMERLI Transition Services Agreement </w:t>
      </w:r>
      <w:r>
        <w:rPr>
          <w:rFonts w:ascii="Times New Roman" w:cs="Times New Roman" w:eastAsia="Times New Roman" w:hAnsi="Times New Roman"/>
          <w:sz w:val="18"/>
          <w:szCs w:val="18"/>
          <w:color w:val="auto"/>
        </w:rPr>
        <w:t>(the “CIMERLI TSA”): On the CIMERLI Disposition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Coherus and Sandoz entered into the CIMERLI TSA pursuant to which Coherus has provided to Sandoz certain specified transition services on the terms and subject to the conditions set forth in the CIMERLI TSA. The transition services provided under the CIMERLI TSA will run for the periods of time set forth in the schedules to the CIMERLI TSA, but are expected to extend no later than July 15, 2025. CIMERLI TSA income recorded from the CIMERLI Disposition Date through December 31, 2024 is presented in Historical Coherus in other income (expense), net. No estimate is included for any period after December 31, 2024.</w:t>
      </w:r>
    </w:p>
    <w:p>
      <w:pPr>
        <w:spacing w:after="0" w:line="79" w:lineRule="exact"/>
        <w:rPr>
          <w:rFonts w:ascii="Times New Roman" w:cs="Times New Roman" w:eastAsia="Times New Roman" w:hAnsi="Times New Roman"/>
          <w:sz w:val="18"/>
          <w:szCs w:val="18"/>
          <w:color w:val="auto"/>
        </w:rPr>
      </w:pPr>
    </w:p>
    <w:p>
      <w:pPr>
        <w:jc w:val="both"/>
        <w:ind w:left="900" w:right="219" w:hanging="259"/>
        <w:spacing w:after="0" w:line="25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Partial Prepayment of 2027 Term Loans: </w:t>
      </w:r>
      <w:r>
        <w:rPr>
          <w:rFonts w:ascii="Times New Roman" w:cs="Times New Roman" w:eastAsia="Times New Roman" w:hAnsi="Times New Roman"/>
          <w:sz w:val="18"/>
          <w:szCs w:val="18"/>
          <w:color w:val="auto"/>
        </w:rPr>
        <w:t>On February 5, 2024, Coherus entered into a Consent,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and Third Amendment with the lenders of the 2027 Term Loans which required that upon the consummation of the CIMERLI Disposition, Coherus make a partial prepayment of the principal amounts outstanding under the 2027 Term Loans. Coherus repaid $175.0 million of the existing principal balance of $250.0 million, plus the prepayment premium and make-whole amount totaling $6.8 million using proceeds from the CIMERLI Disposition in April 2024. The remainder of the principal amounts outstanding under the 2027 Term Loans were paid off on May 8, 2024. The $175.0 million early partial prepayment of the 2027 Term Loans in April 2024 was accounted for as a debt modification.</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transaction accounting adjustments to reflect the Combined Transactions include but are not limited to:</w:t>
      </w:r>
    </w:p>
    <w:p>
      <w:pPr>
        <w:spacing w:after="0" w:line="225" w:lineRule="exact"/>
        <w:rPr>
          <w:sz w:val="20"/>
          <w:szCs w:val="20"/>
          <w:color w:val="auto"/>
        </w:rPr>
      </w:pPr>
    </w:p>
    <w:p>
      <w:pPr>
        <w:ind w:left="900" w:right="219" w:hanging="25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 operations and transferred assets related to UDENYCA from Coherus and the transfer of those assets to Intas reflected in the “UDENYCA Disposition” column;</w:t>
      </w:r>
    </w:p>
    <w:p>
      <w:pPr>
        <w:spacing w:after="0" w:line="53" w:lineRule="exact"/>
        <w:rPr>
          <w:rFonts w:ascii="Times New Roman" w:cs="Times New Roman" w:eastAsia="Times New Roman" w:hAnsi="Times New Roman"/>
          <w:sz w:val="18"/>
          <w:szCs w:val="18"/>
          <w:color w:val="auto"/>
        </w:rPr>
      </w:pPr>
    </w:p>
    <w:p>
      <w:pPr>
        <w:ind w:left="900" w:right="219" w:hanging="25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 operations related to YUSIMRY from Coherus reflected in the “YUSIMRY Disposition” column;</w:t>
      </w:r>
    </w:p>
    <w:p>
      <w:pPr>
        <w:spacing w:after="0" w:line="53" w:lineRule="exact"/>
        <w:rPr>
          <w:rFonts w:ascii="Times New Roman" w:cs="Times New Roman" w:eastAsia="Times New Roman" w:hAnsi="Times New Roman"/>
          <w:sz w:val="18"/>
          <w:szCs w:val="18"/>
          <w:color w:val="auto"/>
        </w:rPr>
      </w:pPr>
    </w:p>
    <w:p>
      <w:pPr>
        <w:ind w:left="900" w:right="219" w:hanging="25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 operations related to CIMERLI from Coherus reflected in the “CIMERLI Disposition” column;</w:t>
      </w:r>
    </w:p>
    <w:p>
      <w:pPr>
        <w:spacing w:after="0" w:line="53" w:lineRule="exact"/>
        <w:rPr>
          <w:rFonts w:ascii="Times New Roman" w:cs="Times New Roman" w:eastAsia="Times New Roman" w:hAnsi="Times New Roman"/>
          <w:sz w:val="18"/>
          <w:szCs w:val="18"/>
          <w:color w:val="auto"/>
        </w:rPr>
      </w:pPr>
    </w:p>
    <w:p>
      <w:pPr>
        <w:ind w:left="900" w:hanging="25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repurchase of 100% of Coherus’ Convertible Notes through the Repurchases;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5" w:name="page16"/>
    <w:bookmarkEnd w:id="15"/>
    <w:p>
      <w:pPr>
        <w:ind w:left="900" w:right="239" w:hanging="259"/>
        <w:spacing w:after="0" w:line="282"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Coduet on the UDENYCA Disposition Date required by the Revenue Purchase and Sale Agreement; and</w:t>
      </w:r>
    </w:p>
    <w:p>
      <w:pPr>
        <w:spacing w:after="0" w:line="53" w:lineRule="exact"/>
        <w:rPr>
          <w:rFonts w:ascii="Times New Roman" w:cs="Times New Roman" w:eastAsia="Times New Roman" w:hAnsi="Times New Roman"/>
          <w:sz w:val="18"/>
          <w:szCs w:val="18"/>
          <w:color w:val="auto"/>
        </w:rPr>
      </w:pPr>
    </w:p>
    <w:p>
      <w:pPr>
        <w:ind w:left="900" w:hanging="259"/>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partial prepayment of Coherus’ 2027 Term Loans.</w:t>
      </w:r>
    </w:p>
    <w:p>
      <w:pPr>
        <w:spacing w:after="0" w:line="356" w:lineRule="exact"/>
        <w:rPr>
          <w:rFonts w:ascii="Times New Roman" w:cs="Times New Roman" w:eastAsia="Times New Roman" w:hAnsi="Times New Roman"/>
          <w:sz w:val="18"/>
          <w:szCs w:val="18"/>
          <w:color w:val="auto"/>
        </w:rPr>
      </w:pPr>
    </w:p>
    <w:p>
      <w:pPr>
        <w:ind w:left="540" w:hanging="331"/>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jc w:val="both"/>
        <w:ind w:left="200" w:right="219" w:firstLine="45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by management under U.S. generally accepted accounting principles (“U.S. GAAP”) in accordance with Article 11 and is presented in U.S. dollars. The adjustments presented in the unaudited pro forma condensed combined financial information have been identified and presented to provide relevant information necessary for an understanding of Coherus before and after the UDENYCA Disposition. The pro forma adjustments related to the Combined Transactions are based upon actual information and certain assumptions which management believes are reasonable and are described in the accompanying notes to the unaudited pro forma condensed combined financial information.</w:t>
      </w:r>
    </w:p>
    <w:p>
      <w:pPr>
        <w:spacing w:after="0" w:line="189" w:lineRule="exact"/>
        <w:rPr>
          <w:sz w:val="20"/>
          <w:szCs w:val="20"/>
          <w:color w:val="auto"/>
        </w:rPr>
      </w:pPr>
    </w:p>
    <w:p>
      <w:pPr>
        <w:jc w:val="both"/>
        <w:ind w:left="200" w:right="219"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reflects adjustments that present the UDENYCA Disposition and the related transactions as if they had occurred on December 31, 2024. No adjustments were made for transactions that were already reflected in the balance sheet as of December 31, 2024. The unaudited pro forma condensed combined statement of operations for the year ended December 31, 2024 reflects adjustments that give effect to Coherus’ results of operations as if the Combined Transactions had occurred on January 1, 2024. The unaudited pro forma condensed combined statement of operations for the year ended December 31, 2023 has been recast to exclude results from discontinued operations and only present income (loss) from continuing operations.</w:t>
      </w:r>
    </w:p>
    <w:p>
      <w:pPr>
        <w:spacing w:after="0" w:line="192" w:lineRule="exact"/>
        <w:rPr>
          <w:sz w:val="20"/>
          <w:szCs w:val="20"/>
          <w:color w:val="auto"/>
        </w:rPr>
      </w:pPr>
    </w:p>
    <w:p>
      <w:pPr>
        <w:jc w:val="both"/>
        <w:ind w:left="200" w:right="219" w:firstLine="324"/>
        <w:spacing w:after="0" w:line="256" w:lineRule="auto"/>
        <w:rPr>
          <w:sz w:val="20"/>
          <w:szCs w:val="20"/>
          <w:color w:val="auto"/>
        </w:rPr>
      </w:pPr>
      <w:r>
        <w:rPr>
          <w:rFonts w:ascii="Times New Roman" w:cs="Times New Roman" w:eastAsia="Times New Roman" w:hAnsi="Times New Roman"/>
          <w:sz w:val="18"/>
          <w:szCs w:val="18"/>
          <w:color w:val="auto"/>
        </w:rPr>
        <w:t>The pro forma financial information does not give effect to any anticipated synergies, dis-synergies operating efficiencies, tax savings or cost savings that may be associated with the Combined Transactions including the related transactions. Coherus expects to use tax attributes, which were previously not deemed realizable, to offset substantially all the U.S. federal income taxes related to the UDENYCA Disposition. There were no pre-existing contractual relationships between (i) Coherus and Sandoz, (ii) Coherus and HKF and (iii) Coherus and Intas during the periods presented in the unaudited pro forma condensed combined financial information.</w:t>
      </w:r>
    </w:p>
    <w:p>
      <w:pPr>
        <w:spacing w:after="0" w:line="210" w:lineRule="exact"/>
        <w:rPr>
          <w:sz w:val="20"/>
          <w:szCs w:val="20"/>
          <w:color w:val="auto"/>
        </w:rPr>
      </w:pPr>
    </w:p>
    <w:p>
      <w:pPr>
        <w:ind w:left="540" w:hanging="331"/>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Balance Sheet</w:t>
      </w:r>
    </w:p>
    <w:p>
      <w:pPr>
        <w:spacing w:after="0" w:line="229" w:lineRule="exact"/>
        <w:rPr>
          <w:sz w:val="20"/>
          <w:szCs w:val="20"/>
          <w:color w:val="auto"/>
        </w:rPr>
      </w:pPr>
    </w:p>
    <w:p>
      <w:pPr>
        <w:ind w:left="200" w:right="219"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reflects the following adjustments: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Accounting Adjustments related to the Dispositions</w:t>
      </w:r>
    </w:p>
    <w:p>
      <w:pPr>
        <w:spacing w:after="0" w:line="227" w:lineRule="exact"/>
        <w:rPr>
          <w:sz w:val="20"/>
          <w:szCs w:val="20"/>
          <w:color w:val="auto"/>
        </w:rPr>
      </w:pPr>
    </w:p>
    <w:p>
      <w:pPr>
        <w:jc w:val="both"/>
        <w:ind w:left="540" w:right="219" w:hanging="331"/>
        <w:spacing w:after="0" w:line="261"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“UDENYCA Disposition” column in the unaudited pro forma condensed combined balance sheet is derived from Coherus’ condensed consolidated financial information and the related accounting records as of December 31, 2024. It reflects assets transferred to Purchaser pursuant to the UDENYCA Purchase Agreement and certain assets derecognized.</w:t>
      </w:r>
    </w:p>
    <w:p>
      <w:pPr>
        <w:spacing w:after="0" w:line="71" w:lineRule="exact"/>
        <w:rPr>
          <w:rFonts w:ascii="Times New Roman" w:cs="Times New Roman" w:eastAsia="Times New Roman" w:hAnsi="Times New Roman"/>
          <w:sz w:val="18"/>
          <w:szCs w:val="18"/>
          <w:color w:val="auto"/>
        </w:rPr>
      </w:pPr>
    </w:p>
    <w:p>
      <w:pPr>
        <w:jc w:val="both"/>
        <w:ind w:left="540" w:right="219" w:hanging="331"/>
        <w:spacing w:after="0" w:line="254"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cash of $465.4 million received in connection with the UDENYCA Disposition, which consists of the gross cash proceeds of $483.4 million in cash received by Coherus as consideration for the sale of the UDENYCA Business, including the payment for UDENYCA product inventory pursuant to the UDENYCA Purchase Agreement, net of the estimated transaction costs of $18.0 million. As of December 31, 2024, $6.6 million of transaction costs were accrued in Coherus’ historical financial statements. The transaction costs include incremental professional fees (e.g., legal, advisory, accounting and other professional fees) that are directly attributable to the UDENYCA Disposition. Coherus expects to use tax attributes, which were previously not deemed realizable, to offset substantially all the U.S. federal income taxes related to the UDENYCA Disposition.</w:t>
      </w:r>
    </w:p>
    <w:p>
      <w:pPr>
        <w:spacing w:after="0" w:line="83" w:lineRule="exact"/>
        <w:rPr>
          <w:rFonts w:ascii="Times New Roman" w:cs="Times New Roman" w:eastAsia="Times New Roman" w:hAnsi="Times New Roman"/>
          <w:sz w:val="18"/>
          <w:szCs w:val="18"/>
          <w:color w:val="auto"/>
        </w:rPr>
      </w:pPr>
    </w:p>
    <w:p>
      <w:pPr>
        <w:jc w:val="both"/>
        <w:ind w:left="540" w:right="2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nonrecurring adjustment for pro forma gain on the UDENYCA Disposition of $355.4 million, as outlined in the table below, is based on UDENYCA’s unaudited balance sheet information as of December 31, 2024. Adjustments (3a) and (3b) only appear within accumulated deficit of the pro forma condensed combined balance sheet, as the pro forma income statements only present income (loss) from continuing operations. The actual gain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6" w:name="page17"/>
    <w:bookmarkEnd w:id="16"/>
    <w:p>
      <w:pPr>
        <w:ind w:left="540" w:right="219"/>
        <w:spacing w:after="0" w:line="282" w:lineRule="auto"/>
        <w:rPr>
          <w:sz w:val="20"/>
          <w:szCs w:val="20"/>
          <w:color w:val="auto"/>
        </w:rPr>
      </w:pPr>
      <w:r>
        <w:rPr>
          <w:rFonts w:ascii="Times New Roman" w:cs="Times New Roman" w:eastAsia="Times New Roman" w:hAnsi="Times New Roman"/>
          <w:sz w:val="18"/>
          <w:szCs w:val="18"/>
          <w:color w:val="auto"/>
        </w:rPr>
        <w:t>on the disposition will be based on UDENYCA’s balance sheet information as of the UDENYCA Disposition Date and therefore is subject to change.</w:t>
      </w:r>
    </w:p>
    <w:p>
      <w:pPr>
        <w:spacing w:after="0" w:line="72"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received from Intas upon closing of the UDENYCA Disposition</w:t>
            </w:r>
          </w:p>
        </w:tc>
        <w:tc>
          <w:tcPr>
            <w:tcW w:w="38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483,400</w:t>
            </w:r>
          </w:p>
        </w:tc>
      </w:tr>
      <w:tr>
        <w:trPr>
          <w:trHeight w:val="203"/>
        </w:trPr>
        <w:tc>
          <w:tcPr>
            <w:tcW w:w="20" w:type="dxa"/>
            <w:vAlign w:val="bottom"/>
          </w:tcPr>
          <w:p>
            <w:pPr>
              <w:spacing w:after="0"/>
              <w:rPr>
                <w:sz w:val="17"/>
                <w:szCs w:val="17"/>
                <w:color w:val="auto"/>
              </w:rPr>
            </w:pPr>
          </w:p>
        </w:tc>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Subtract: Estimated transaction costs after December 31, 2024</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(11,466)</w:t>
            </w: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471,934</w:t>
            </w:r>
          </w:p>
        </w:tc>
      </w:tr>
      <w:tr>
        <w:trPr>
          <w:trHeight w:val="203"/>
        </w:trPr>
        <w:tc>
          <w:tcPr>
            <w:tcW w:w="20" w:type="dxa"/>
            <w:vAlign w:val="bottom"/>
          </w:tcPr>
          <w:p>
            <w:pPr>
              <w:spacing w:after="0"/>
              <w:rPr>
                <w:sz w:val="17"/>
                <w:szCs w:val="17"/>
                <w:color w:val="auto"/>
              </w:rPr>
            </w:pPr>
          </w:p>
        </w:tc>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Subtract: Recorded carrying amount of net assets sold and derecognized upon disposition</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(116,564)</w:t>
            </w:r>
          </w:p>
        </w:tc>
      </w:tr>
      <w:tr>
        <w:trPr>
          <w:trHeight w:val="196"/>
        </w:trPr>
        <w:tc>
          <w:tcPr>
            <w:tcW w:w="20" w:type="dxa"/>
            <w:vAlign w:val="bottom"/>
          </w:tcPr>
          <w:p>
            <w:pPr>
              <w:spacing w:after="0"/>
              <w:rPr>
                <w:sz w:val="17"/>
                <w:szCs w:val="17"/>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pro forma gain on the UDENYCA Disposition</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355,370</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540" w:right="219" w:hanging="331"/>
        <w:spacing w:after="0" w:line="253"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Coherus assumes the payment of $230 million in aggregate principal amount, $0.7 million accrued interest and $3.8 million of transaction expenses to repurchase all outstanding Convertible Notes pursuant to both the Private Repurchases with certain holders of the Convertible Notes and the assumed repurchase of all remaining Convertible Notes pursuant to the Fundamental Change Repurchases. Coherus assumes the completion of the Fundamental Change Repurchases because the UDENYCA Disposition constituted a Fundamental Change (as defined in the Indenture). Transaction expenses of $3.8 million and the write-off of unamortized issuance costs of $1.8 million results in a $5.6 million adjustment to accumulated deficit which only appears within the pro forma condensed combined balance sheet, as the pro forma income statements only present income (loss) from continuing operations. For pro forma purposes it is assumed that the payments pursuant to the Repurchases were made on December 31, 2024.</w:t>
      </w:r>
    </w:p>
    <w:p>
      <w:pPr>
        <w:spacing w:after="0" w:line="86" w:lineRule="exact"/>
        <w:rPr>
          <w:rFonts w:ascii="Times New Roman" w:cs="Times New Roman" w:eastAsia="Times New Roman" w:hAnsi="Times New Roman"/>
          <w:sz w:val="18"/>
          <w:szCs w:val="18"/>
          <w:color w:val="auto"/>
        </w:rPr>
      </w:pPr>
    </w:p>
    <w:p>
      <w:pPr>
        <w:jc w:val="both"/>
        <w:ind w:left="540" w:right="219" w:hanging="331"/>
        <w:spacing w:after="0" w:line="255"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$49.1 million reduction in cash reflects the pay-off of the UDENYCA portion of the Revenue Purchase and Sale Agreement as if it occurred as of December 31, 2024, and is offset by adjustments of $1.2 million in accrued and other current liabilities and $15.7 million in other liabilities, non-current liabilities, the derecognition of the related derivative liability of $12.9 million in accrued and other current liabilities, and a $19.3 million increase in accumulated deficit related to the final remeasurement of the derivative liability prior to its settlement. The liabilities for the remaining portion of the Revenue Purchase and Sale Agreement and derivative that are unrelated to UDENYCA will remain with Coherus and thus were not adjusted.</w:t>
      </w:r>
    </w:p>
    <w:p>
      <w:pPr>
        <w:spacing w:after="0" w:line="293" w:lineRule="exact"/>
        <w:rPr>
          <w:sz w:val="20"/>
          <w:szCs w:val="20"/>
          <w:color w:val="auto"/>
        </w:rPr>
      </w:pPr>
    </w:p>
    <w:p>
      <w:pPr>
        <w:ind w:left="540" w:hanging="331"/>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Statements of Operations</w:t>
      </w:r>
    </w:p>
    <w:p>
      <w:pPr>
        <w:spacing w:after="0" w:line="229" w:lineRule="exact"/>
        <w:rPr>
          <w:sz w:val="20"/>
          <w:szCs w:val="20"/>
          <w:color w:val="auto"/>
        </w:rPr>
      </w:pPr>
    </w:p>
    <w:p>
      <w:pPr>
        <w:jc w:val="both"/>
        <w:ind w:left="200" w:right="219"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reflects the below adjustments. For the year ended December 31, 2023, Coherus has included the unaudited pro forma condensed combined statement of operations which has been recast to exclude results from discontinued operations and only present income (loss) from continuing operations.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Accounting Adjustments related to the CIMERLI Disposition</w:t>
      </w:r>
    </w:p>
    <w:p>
      <w:pPr>
        <w:spacing w:after="0" w:line="227" w:lineRule="exact"/>
        <w:rPr>
          <w:sz w:val="20"/>
          <w:szCs w:val="20"/>
          <w:color w:val="auto"/>
        </w:rPr>
      </w:pPr>
    </w:p>
    <w:p>
      <w:pPr>
        <w:jc w:val="both"/>
        <w:ind w:left="540" w:right="219" w:hanging="331"/>
        <w:spacing w:after="0" w:line="254"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“CIMERLI Disposition” column in the unaudited pro forma condensed combined statements of operations is derived from Coherus’ condensed consolidated financial information and the related accounting records for the periods presented and reflects the elimination of the historical operating results of CIMERLI. Certain general corporate overhead expenses that were allocable, but not directly attributable, to CIMERLI’s operations, did not qualify for discontinued operations presentation and are thus included in Coherus’ continuing operations. The pro forma adjustments for the CIMERLI Disposition do not purport to reflect what CIMERLI’s results of operations would have been on a stand-alone basis and are not necessarily indicative of future results of operations.</w:t>
      </w:r>
    </w:p>
    <w:p>
      <w:pPr>
        <w:spacing w:after="0" w:line="83" w:lineRule="exact"/>
        <w:rPr>
          <w:rFonts w:ascii="Times New Roman" w:cs="Times New Roman" w:eastAsia="Times New Roman" w:hAnsi="Times New Roman"/>
          <w:sz w:val="18"/>
          <w:szCs w:val="18"/>
          <w:color w:val="auto"/>
        </w:rPr>
      </w:pPr>
    </w:p>
    <w:p>
      <w:pPr>
        <w:jc w:val="both"/>
        <w:ind w:left="540" w:right="219" w:hanging="331"/>
        <w:spacing w:after="0" w:line="258"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derecognition of historical interest expense of $6.3 million for the year ended December 31, 2024, related to the early partial prepayment of $175.0 million of Coherus’ 2027 Term Loans as if the CIMERLI Disposition and the related transactions had occurred on January 1, 2024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For the year ended December 31, 2023, historical interest expense of $24.7 million has been recast to adjust for discontinued operations.</w:t>
      </w:r>
    </w:p>
    <w:p>
      <w:pPr>
        <w:spacing w:after="0" w:line="17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 Accounting Adjustments related to the YUSIMRY Disposition</w:t>
      </w:r>
    </w:p>
    <w:p>
      <w:pPr>
        <w:spacing w:after="0" w:line="227" w:lineRule="exact"/>
        <w:rPr>
          <w:rFonts w:ascii="Times New Roman" w:cs="Times New Roman" w:eastAsia="Times New Roman" w:hAnsi="Times New Roman"/>
          <w:sz w:val="18"/>
          <w:szCs w:val="18"/>
          <w:color w:val="auto"/>
        </w:rPr>
      </w:pPr>
    </w:p>
    <w:p>
      <w:pPr>
        <w:ind w:left="540" w:right="239" w:hanging="331"/>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“YUSIMRY Disposition” column in the unaudited pro forma condensed combined statements of operations is derived from Coherus’ condensed consolidated financial information and the related</w:t>
      </w:r>
    </w:p>
    <w:p>
      <w:pPr>
        <w:sectPr>
          <w:pgSz w:w="11900" w:h="16838" w:orient="portrait"/>
          <w:cols w:equalWidth="0" w:num="1">
            <w:col w:w="9019"/>
          </w:cols>
          <w:pgMar w:left="1440" w:top="87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17" w:name="page18"/>
    <w:bookmarkEnd w:id="17"/>
    <w:p>
      <w:pPr>
        <w:jc w:val="both"/>
        <w:ind w:left="540" w:right="219"/>
        <w:spacing w:after="0" w:line="256" w:lineRule="auto"/>
        <w:rPr>
          <w:sz w:val="20"/>
          <w:szCs w:val="20"/>
          <w:color w:val="auto"/>
        </w:rPr>
      </w:pPr>
      <w:r>
        <w:rPr>
          <w:rFonts w:ascii="Times New Roman" w:cs="Times New Roman" w:eastAsia="Times New Roman" w:hAnsi="Times New Roman"/>
          <w:sz w:val="18"/>
          <w:szCs w:val="18"/>
          <w:color w:val="auto"/>
        </w:rPr>
        <w:t>accounting records for the periods presented and reflects the elimination of the historical operating results of YUSIMRY. Certain general corporate overhead expenses that were allocable, but not directly attributable, to YUSIMRY’s operations, did not qualify for discontinued operations presentation and are thus included in Coherus’ continuing operations. The pro forma adjustments for the YUSIMRY Disposition do not purport to reflect what YUSIMRY’s results of operations would have been on a stand-alone basis and are not necessarily indicative of future results of operations.</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Accounting Adjustments related to the UDENYCA Disposition</w:t>
      </w:r>
    </w:p>
    <w:p>
      <w:pPr>
        <w:spacing w:after="0" w:line="227" w:lineRule="exact"/>
        <w:rPr>
          <w:sz w:val="20"/>
          <w:szCs w:val="20"/>
          <w:color w:val="auto"/>
        </w:rPr>
      </w:pPr>
    </w:p>
    <w:p>
      <w:pPr>
        <w:jc w:val="both"/>
        <w:ind w:left="540" w:right="219" w:hanging="331"/>
        <w:spacing w:after="0" w:line="254"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“UDENYCA Disposition” column in the unaudited pro forma condensed combined statements of operations is derived from Coherus’ condensed consolidated financial information and the related accounting records for the periods presented and reflects the elimination of the historical operating results of UDENYCA. Certain general corporate overhead expenses that were allocable, but not directly attributable, to UDENYCA’s operations, did not qualify for discontinued operations presentation and are thus included in Coherus’ continuing operations. The pro forma adjustments for the UDENYCA Disposition do not purport to reflect what UDENYCA’s results of operations would have been on a stand-alone basis and are not necessarily indicative of future results of operations.</w:t>
      </w:r>
    </w:p>
    <w:p>
      <w:pPr>
        <w:spacing w:after="0" w:line="83" w:lineRule="exact"/>
        <w:rPr>
          <w:rFonts w:ascii="Times New Roman" w:cs="Times New Roman" w:eastAsia="Times New Roman" w:hAnsi="Times New Roman"/>
          <w:sz w:val="18"/>
          <w:szCs w:val="18"/>
          <w:color w:val="auto"/>
        </w:rPr>
      </w:pPr>
    </w:p>
    <w:p>
      <w:pPr>
        <w:jc w:val="both"/>
        <w:ind w:left="540" w:right="219" w:hanging="331"/>
        <w:spacing w:after="0" w:line="258"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derecognition of historical interest expense of $4.8 million for the year ended December 31, 2024, related to the assumed repurchase of $230.0 million of Coherus’ Convertible Notes in the Repurchases as if the UDENYCA Disposition and the related transactions had occurred on January 1, 2024. For the year ended December 31, 2023, historical interest expense of $4.8 million has been recast to adjust for discontinued operations.</w:t>
      </w:r>
    </w:p>
    <w:p>
      <w:pPr>
        <w:spacing w:after="0" w:line="179" w:lineRule="exact"/>
        <w:rPr>
          <w:sz w:val="20"/>
          <w:szCs w:val="20"/>
          <w:color w:val="auto"/>
        </w:rPr>
      </w:pPr>
    </w:p>
    <w:p>
      <w:pPr>
        <w:ind w:left="540" w:hanging="331"/>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Net Loss Per Share from Continuing Operations</w:t>
      </w:r>
    </w:p>
    <w:p>
      <w:pPr>
        <w:spacing w:after="0" w:line="229" w:lineRule="exact"/>
        <w:rPr>
          <w:sz w:val="20"/>
          <w:szCs w:val="20"/>
          <w:color w:val="auto"/>
        </w:rPr>
      </w:pPr>
    </w:p>
    <w:p>
      <w:pPr>
        <w:jc w:val="both"/>
        <w:ind w:left="200" w:right="219" w:firstLine="324"/>
        <w:spacing w:after="0" w:line="266" w:lineRule="auto"/>
        <w:rPr>
          <w:sz w:val="20"/>
          <w:szCs w:val="20"/>
          <w:color w:val="auto"/>
        </w:rPr>
      </w:pPr>
      <w:r>
        <w:rPr>
          <w:rFonts w:ascii="Times New Roman" w:cs="Times New Roman" w:eastAsia="Times New Roman" w:hAnsi="Times New Roman"/>
          <w:sz w:val="18"/>
          <w:szCs w:val="18"/>
          <w:color w:val="auto"/>
        </w:rPr>
        <w:t>The below table presents the calculation of pro forma combined basic and diluted net loss per share from continuing operations of Coherus common stock for the years ended December 31, 2024 and 2023, as if the Combined Transactions had occurred on January 1, 2024:</w:t>
      </w:r>
    </w:p>
    <w:p>
      <w:pPr>
        <w:spacing w:after="0" w:line="10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(amounts in thousands, except share and per share amounts)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56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loss from continuing operations</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(215,979)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excluding the Combined Transactions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114,547,340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94,162,637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that vested, net of shares withheld for taxes, in connection with the transfer of</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certain employees to Sandoz</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Estimated shares to vest, net of shares withheld for taxes, in connection with the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transfer of certain employees to Accord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weighted average number of shares - basic and diluted **</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114,569,747</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94,162,637</w:t>
            </w:r>
          </w:p>
        </w:tc>
        <w:tc>
          <w:tcPr>
            <w:tcW w:w="0" w:type="dxa"/>
            <w:vAlign w:val="bottom"/>
          </w:tcPr>
          <w:p>
            <w:pPr>
              <w:spacing w:after="0"/>
              <w:rPr>
                <w:sz w:val="1"/>
                <w:szCs w:val="1"/>
                <w:color w:val="auto"/>
              </w:rPr>
            </w:pPr>
          </w:p>
        </w:tc>
      </w:tr>
      <w:tr>
        <w:trPr>
          <w:trHeight w:val="196"/>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and diluted net loss per share from continuing operations</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19" w:firstLine="9"/>
        <w:spacing w:after="0" w:line="282" w:lineRule="auto"/>
        <w:tabs>
          <w:tab w:leader="none" w:pos="4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 forma outstanding dilutive potential shares were excluded from the calculation of pro forma diluted net loss per share from continuing operations due to their anti-dilutive effect:</w:t>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10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Dilutive Potential Shares</w:t>
            </w:r>
          </w:p>
        </w:tc>
      </w:tr>
      <w:tr>
        <w:trPr>
          <w:trHeight w:val="199"/>
        </w:trPr>
        <w:tc>
          <w:tcPr>
            <w:tcW w:w="480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10"/>
        </w:trPr>
        <w:tc>
          <w:tcPr>
            <w:tcW w:w="48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including shares subject to ESPP</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28,820,016</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24,083,222</w:t>
            </w: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901,104</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2,266,387</w:t>
            </w:r>
          </w:p>
        </w:tc>
      </w:tr>
      <w:tr>
        <w:trPr>
          <w:trHeight w:val="20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issuable upon conversion of Convertible Notes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11,942,152</w:t>
            </w:r>
          </w:p>
        </w:tc>
      </w:tr>
      <w:tr>
        <w:trPr>
          <w:trHeight w:val="196"/>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29,721,120</w:t>
            </w:r>
          </w:p>
        </w:tc>
        <w:tc>
          <w:tcPr>
            <w:tcW w:w="14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38,291,761</w:t>
            </w:r>
          </w:p>
        </w:tc>
      </w:tr>
      <w:tr>
        <w:trPr>
          <w:trHeight w:val="20"/>
        </w:trPr>
        <w:tc>
          <w:tcPr>
            <w:tcW w:w="4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200" w:right="219" w:firstLine="324"/>
        <w:spacing w:after="0" w:line="266" w:lineRule="auto"/>
        <w:rPr>
          <w:sz w:val="20"/>
          <w:szCs w:val="20"/>
          <w:color w:val="auto"/>
        </w:rPr>
      </w:pPr>
      <w:r>
        <w:rPr>
          <w:rFonts w:ascii="Times New Roman" w:cs="Times New Roman" w:eastAsia="Times New Roman" w:hAnsi="Times New Roman"/>
          <w:sz w:val="18"/>
          <w:szCs w:val="18"/>
          <w:color w:val="auto"/>
        </w:rPr>
        <w:t>The amounts in the table above exclude any shares contingently issuable pursuant to the Contingent Value Rights Agreement, dated September 8, 2023, by and among Coherus and Computershare Inc. and its affiliate Computershare Trust Company, N.A. because the conditions that could result in a payment becoming due were not met.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2"/>
      <w:numFmt w:val="decimal"/>
      <w:start w:val="104"/>
    </w:lvl>
  </w:abstractNum>
  <w:abstractNum w:abstractNumId="2">
    <w:nsid w:val="140E0F76"/>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abstractNum>
  <w:abstractNum w:abstractNumId="3">
    <w:nsid w:val="3352255A"/>
    <w:multiLevelType w:val="hybridMultilevel"/>
    <w:lvl w:ilvl="0">
      <w:lvlJc w:val="left"/>
      <w:lvlText w:val="(%1)"/>
      <w:numFmt w:val="decimal"/>
      <w:start w:val="212"/>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1)"/>
      <w:numFmt w:val="lowerRoman"/>
      <w:start w:val="3"/>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lvl w:ilvl="1">
      <w:lvlJc w:val="left"/>
      <w:lvlText w:val="●"/>
      <w:numFmt w:val="bullet"/>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3"/>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4"/>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9" Type="http://schemas.openxmlformats.org/officeDocument/2006/relationships/hyperlink" Target="https://www.sec.gov/Archives/edgar/data/1512762/000110465924124881/tm2429853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2025-04-14T07:10:19Z</dcterms:created>
  <dcterms:modified xsi:type="dcterms:W3CDTF">2025-04-14T07:10:19Z</dcterms:modified>
</cp:coreProperties>
</file>