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center"/>
        <w:rPr/>
      </w:pPr>
      <w:bookmarkStart w:id="0" w:name="chrs-20231209x8k.htm"/>
      <w:bookmarkStart w:id="1" w:name="kschrs20231209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Calibri;Helvetica;sans-serif" w:hAnsi="Calibri;Helvetica;sans-serif"/>
          <w:b/>
          <w:sz w:val="36"/>
        </w:rPr>
      </w:pPr>
      <w:bookmarkStart w:id="2" w:name="_2862b84c_76e0_4471_8816_ae9dbd8a4182"/>
      <w:bookmarkEnd w:id="2"/>
      <w:r>
        <w:rPr>
          <w:rFonts w:ascii="Calibri;Helvetica;sans-serif" w:hAnsi="Calibri;Helvetica;sans-serif"/>
          <w:b/>
          <w:sz w:val="36"/>
        </w:rPr>
        <w:t>UNITED STATES</w:t>
      </w:r>
    </w:p>
    <w:p>
      <w:pPr>
        <w:pStyle w:val="TextBody"/>
        <w:bidi w:val="0"/>
        <w:spacing w:before="0" w:after="0"/>
        <w:ind w:left="0" w:right="0" w:hanging="0"/>
        <w:jc w:val="center"/>
        <w:rPr>
          <w:rFonts w:ascii="Calibri;Helvetica;sans-serif" w:hAnsi="Calibri;Helvetica;sans-serif"/>
          <w:b/>
          <w:sz w:val="36"/>
        </w:rPr>
      </w:pPr>
      <w:r>
        <w:rPr>
          <w:rFonts w:ascii="Calibri;Helvetica;sans-serif" w:hAnsi="Calibri;Helvetica;sans-serif"/>
          <w:b/>
          <w:sz w:val="36"/>
        </w:rPr>
        <w:t>SECURITIES AND EXCHANGE COMMISSION</w:t>
      </w:r>
    </w:p>
    <w:p>
      <w:pPr>
        <w:pStyle w:val="TextBody"/>
        <w:bidi w:val="0"/>
        <w:spacing w:before="0" w:after="0"/>
        <w:ind w:left="0" w:right="0" w:hanging="0"/>
        <w:jc w:val="center"/>
        <w:rPr>
          <w:rFonts w:ascii="Calibri;Helvetica;sans-serif" w:hAnsi="Calibri;Helvetica;sans-serif"/>
          <w:b/>
          <w:sz w:val="24"/>
        </w:rPr>
      </w:pPr>
      <w:r>
        <w:rPr>
          <w:rFonts w:ascii="Calibri;Helvetica;sans-serif" w:hAnsi="Calibri;Helvetica;san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Calibri;Helvetica;sans-serif" w:hAnsi="Calibri;Helvetica;sans-serif"/>
          <w:b/>
          <w:sz w:val="36"/>
        </w:rPr>
      </w:pPr>
      <w:r>
        <w:rPr>
          <w:rFonts w:ascii="Calibri;Helvetica;sans-serif" w:hAnsi="Calibri;Helvetica;san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Calibri;Helvetica;sans-serif" w:hAnsi="Calibri;Helvetica;sans-serif"/>
          <w:b/>
          <w:sz w:val="24"/>
        </w:rPr>
      </w:pPr>
      <w:r>
        <w:rPr>
          <w:rFonts w:ascii="Calibri;Helvetica;sans-serif" w:hAnsi="Calibri;Helvetica;sans-serif"/>
          <w:b/>
          <w:sz w:val="24"/>
        </w:rPr>
        <w:t>CURRENT REPORT</w:t>
      </w:r>
    </w:p>
    <w:p>
      <w:pPr>
        <w:pStyle w:val="TextBody"/>
        <w:bidi w:val="0"/>
        <w:spacing w:before="0" w:after="0"/>
        <w:ind w:left="0" w:right="0" w:hanging="0"/>
        <w:jc w:val="center"/>
        <w:rPr>
          <w:rFonts w:ascii="Calibri;Helvetica;sans-serif" w:hAnsi="Calibri;Helvetica;sans-serif"/>
          <w:b/>
          <w:sz w:val="24"/>
        </w:rPr>
      </w:pPr>
      <w:r>
        <w:rPr>
          <w:rFonts w:ascii="Calibri;Helvetica;sans-serif" w:hAnsi="Calibri;Helvetica;sans-serif"/>
          <w:b/>
          <w:sz w:val="24"/>
        </w:rPr>
        <w:t>Pursuant to Section 13 or 15(d)</w:t>
      </w:r>
    </w:p>
    <w:p>
      <w:pPr>
        <w:pStyle w:val="TextBody"/>
        <w:bidi w:val="0"/>
        <w:spacing w:before="0" w:after="0"/>
        <w:ind w:left="0" w:right="0" w:hanging="0"/>
        <w:jc w:val="center"/>
        <w:rPr>
          <w:rFonts w:ascii="Calibri;Helvetica;sans-serif" w:hAnsi="Calibri;Helvetica;sans-serif"/>
          <w:b/>
          <w:sz w:val="24"/>
        </w:rPr>
      </w:pPr>
      <w:r>
        <w:rPr>
          <w:rFonts w:ascii="Calibri;Helvetica;sans-serif" w:hAnsi="Calibri;Helvetica;sans-serif"/>
          <w:b/>
          <w:sz w:val="24"/>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Calibri;Helvetica;sans-serif" w:hAnsi="Calibri;Helvetica;sans-serif"/>
          <w:b/>
          <w:sz w:val="24"/>
        </w:rPr>
      </w:pPr>
      <w:r>
        <w:rPr>
          <w:rFonts w:ascii="Calibri;Helvetica;sans-serif" w:hAnsi="Calibri;Helvetica;sans-serif"/>
          <w:b/>
          <w:sz w:val="24"/>
        </w:rPr>
        <w:t>Date of Report (Date of earliest event reported): December 9, 2023</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Calibri;Helvetica;sans-serif" w:hAnsi="Calibri;Helvetica;sans-serif"/>
          <w:b/>
          <w:sz w:val="48"/>
        </w:rPr>
      </w:pPr>
      <w:r>
        <w:rPr>
          <w:rFonts w:ascii="Calibri;Helvetica;sans-serif" w:hAnsi="Calibri;Helvetica;sans-serif"/>
          <w:b/>
          <w:sz w:val="48"/>
        </w:rPr>
        <w:t>COHERUS BIOSCIENCES, INC.</w:t>
      </w:r>
    </w:p>
    <w:p>
      <w:pPr>
        <w:pStyle w:val="TextBody"/>
        <w:bidi w:val="0"/>
        <w:spacing w:before="0" w:after="0"/>
        <w:ind w:left="0" w:right="0" w:hanging="0"/>
        <w:jc w:val="center"/>
        <w:rPr>
          <w:rFonts w:ascii="Calibri;Helvetica;sans-serif" w:hAnsi="Calibri;Helvetica;sans-serif"/>
          <w:b/>
          <w:sz w:val="20"/>
        </w:rPr>
      </w:pPr>
      <w:r>
        <w:rPr>
          <w:rFonts w:ascii="Calibri;Helvetica;sans-serif" w:hAnsi="Calibri;Helvetica;sans-serif"/>
          <w:b/>
          <w:sz w:val="20"/>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4ejJETERN0uG_G6gmN1SAg_1_4"/>
      <w:bookmarkStart w:id="4" w:name="Tc_bOwLSRKvsEOWSNhOD1RUQA_1_2"/>
      <w:bookmarkStart w:id="5" w:name="Tc_gE0uYCTa1UqX52L1Jz5JgQ_1_0"/>
      <w:bookmarkStart w:id="6" w:name="_4fef730f_4ab3_41d5_9b95_011d505ca620"/>
      <w:bookmarkStart w:id="7" w:name="Tc_4ejJETERN0uG_G6gmN1SAg_1_4"/>
      <w:bookmarkStart w:id="8" w:name="Tc_bOwLSRKvsEOWSNhOD1RUQA_1_2"/>
      <w:bookmarkStart w:id="9" w:name="Tc_gE0uYCTa1UqX52L1Jz5JgQ_1_0"/>
      <w:bookmarkStart w:id="10" w:name="_4fef730f_4ab3_41d5_9b95_011d505ca620"/>
      <w:bookmarkEnd w:id="7"/>
      <w:bookmarkEnd w:id="8"/>
      <w:bookmarkEnd w:id="9"/>
      <w:bookmarkEnd w:id="10"/>
    </w:p>
    <w:tbl>
      <w:tblPr>
        <w:tblW w:w="4945" w:type="dxa"/>
        <w:jc w:val="left"/>
        <w:tblInd w:w="0" w:type="dxa"/>
        <w:tblLayout w:type="fixed"/>
        <w:tblCellMar>
          <w:top w:w="0" w:type="dxa"/>
          <w:left w:w="0" w:type="dxa"/>
          <w:bottom w:w="0" w:type="dxa"/>
          <w:right w:w="0" w:type="dxa"/>
        </w:tblCellMar>
      </w:tblPr>
      <w:tblGrid>
        <w:gridCol w:w="1936"/>
        <w:gridCol w:w="146"/>
        <w:gridCol w:w="1006"/>
        <w:gridCol w:w="146"/>
        <w:gridCol w:w="1711"/>
      </w:tblGrid>
      <w:tr>
        <w:trPr/>
        <w:tc>
          <w:tcPr>
            <w:tcW w:w="1936" w:type="dxa"/>
            <w:tcBorders/>
            <w:vAlign w:val="center"/>
          </w:tcPr>
          <w:p>
            <w:pPr>
              <w:pStyle w:val="TableContents"/>
              <w:bidi w:val="0"/>
              <w:spacing w:before="0" w:after="0"/>
              <w:ind w:left="0" w:right="0" w:hanging="0"/>
              <w:jc w:val="center"/>
              <w:rPr>
                <w:rFonts w:ascii="Calibri;Helvetica;sans-serif" w:hAnsi="Calibri;Helvetica;sans-serif"/>
                <w:b/>
                <w:sz w:val="18"/>
              </w:rPr>
            </w:pPr>
            <w:r>
              <w:rPr>
                <w:rFonts w:ascii="Calibri;Helvetica;sans-serif" w:hAnsi="Calibri;Helvetica;sans-serif"/>
                <w:b/>
                <w:sz w:val="18"/>
              </w:rPr>
              <w:t>Delaware</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Calibri;Helvetica;sans-serif" w:hAnsi="Calibri;Helvetica;sans-serif"/>
                <w:b/>
                <w:sz w:val="18"/>
              </w:rPr>
            </w:pPr>
            <w:r>
              <w:rPr>
                <w:rFonts w:ascii="Calibri;Helvetica;sans-serif" w:hAnsi="Calibri;Helvetica;sans-serif"/>
                <w:b/>
                <w:sz w:val="18"/>
              </w:rPr>
              <w:t>001-36721</w:t>
            </w:r>
          </w:p>
        </w:tc>
        <w:tc>
          <w:tcPr>
            <w:tcW w:w="146" w:type="dxa"/>
            <w:tcBorders/>
            <w:vAlign w:val="center"/>
          </w:tcPr>
          <w:p>
            <w:pPr>
              <w:pStyle w:val="TableContents"/>
              <w:bidi w:val="0"/>
              <w:spacing w:before="0" w:after="0"/>
              <w:ind w:left="0" w:right="0" w:hanging="0"/>
              <w:jc w:val="left"/>
              <w:rPr/>
            </w:pPr>
            <w:r>
              <w:rPr/>
              <w:t> </w:t>
            </w:r>
          </w:p>
        </w:tc>
        <w:tc>
          <w:tcPr>
            <w:tcW w:w="1711" w:type="dxa"/>
            <w:tcBorders/>
            <w:vAlign w:val="center"/>
          </w:tcPr>
          <w:p>
            <w:pPr>
              <w:pStyle w:val="TableContents"/>
              <w:bidi w:val="0"/>
              <w:spacing w:before="0" w:after="0"/>
              <w:ind w:left="0" w:right="0" w:hanging="0"/>
              <w:jc w:val="center"/>
              <w:rPr>
                <w:rFonts w:ascii="Calibri;Helvetica;sans-serif" w:hAnsi="Calibri;Helvetica;sans-serif"/>
                <w:b/>
                <w:sz w:val="18"/>
              </w:rPr>
            </w:pPr>
            <w:r>
              <w:rPr>
                <w:rFonts w:ascii="Calibri;Helvetica;sans-serif" w:hAnsi="Calibri;Helvetica;sans-serif"/>
                <w:b/>
                <w:sz w:val="18"/>
              </w:rPr>
              <w:t>27-3615821</w:t>
            </w:r>
          </w:p>
        </w:tc>
      </w:tr>
      <w:tr>
        <w:trPr/>
        <w:tc>
          <w:tcPr>
            <w:tcW w:w="1936" w:type="dxa"/>
            <w:tcBorders/>
            <w:vAlign w:val="center"/>
          </w:tcPr>
          <w:p>
            <w:pPr>
              <w:pStyle w:val="TableContents"/>
              <w:bidi w:val="0"/>
              <w:spacing w:before="0" w:after="0"/>
              <w:ind w:left="0" w:right="0" w:hanging="0"/>
              <w:jc w:val="center"/>
              <w:rPr>
                <w:rFonts w:ascii="Calibri;Helvetica;sans-serif" w:hAnsi="Calibri;Helvetica;sans-serif"/>
                <w:sz w:val="16"/>
              </w:rPr>
            </w:pPr>
            <w:r>
              <w:rPr>
                <w:rFonts w:ascii="Calibri;Helvetica;sans-serif" w:hAnsi="Calibri;Helvetica;sans-serif"/>
                <w:b/>
                <w:sz w:val="16"/>
              </w:rPr>
              <w:t>(State or other jurisdiction</w:t>
            </w:r>
            <w:r>
              <w:rPr>
                <w:rFonts w:ascii="Calibri;Helvetica;sans-serif" w:hAnsi="Calibri;Helvetica;sans-serif"/>
                <w:sz w:val="16"/>
              </w:rPr>
              <w:br/>
            </w:r>
            <w:r>
              <w:rPr>
                <w:rFonts w:ascii="Calibri;Helvetica;sans-serif" w:hAnsi="Calibri;Helvetica;sans-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Calibri;Helvetica;sans-serif" w:hAnsi="Calibri;Helvetica;sans-serif"/>
                <w:sz w:val="16"/>
              </w:rPr>
            </w:pPr>
            <w:r>
              <w:rPr>
                <w:rFonts w:ascii="Calibri;Helvetica;sans-serif" w:hAnsi="Calibri;Helvetica;sans-serif"/>
                <w:b/>
                <w:sz w:val="16"/>
              </w:rPr>
              <w:t>(Commission</w:t>
            </w:r>
            <w:r>
              <w:rPr>
                <w:rFonts w:ascii="Calibri;Helvetica;sans-serif" w:hAnsi="Calibri;Helvetica;sans-serif"/>
                <w:sz w:val="16"/>
              </w:rPr>
              <w:br/>
            </w:r>
            <w:r>
              <w:rPr>
                <w:rFonts w:ascii="Calibri;Helvetica;sans-serif" w:hAnsi="Calibri;Helvetica;sans-serif"/>
                <w:b/>
                <w:sz w:val="16"/>
              </w:rPr>
              <w:t>File Number)</w:t>
            </w:r>
          </w:p>
        </w:tc>
        <w:tc>
          <w:tcPr>
            <w:tcW w:w="146" w:type="dxa"/>
            <w:tcBorders/>
            <w:vAlign w:val="center"/>
          </w:tcPr>
          <w:p>
            <w:pPr>
              <w:pStyle w:val="TableContents"/>
              <w:bidi w:val="0"/>
              <w:spacing w:before="0" w:after="0"/>
              <w:ind w:left="0" w:right="0" w:hanging="0"/>
              <w:jc w:val="left"/>
              <w:rPr/>
            </w:pPr>
            <w:r>
              <w:rPr/>
              <w:t> </w:t>
            </w:r>
          </w:p>
        </w:tc>
        <w:tc>
          <w:tcPr>
            <w:tcW w:w="1711" w:type="dxa"/>
            <w:tcBorders/>
            <w:vAlign w:val="center"/>
          </w:tcPr>
          <w:p>
            <w:pPr>
              <w:pStyle w:val="TableContents"/>
              <w:bidi w:val="0"/>
              <w:spacing w:before="0" w:after="0"/>
              <w:ind w:left="0" w:right="0" w:hanging="0"/>
              <w:jc w:val="center"/>
              <w:rPr>
                <w:rFonts w:ascii="Calibri;Helvetica;sans-serif" w:hAnsi="Calibri;Helvetica;sans-serif"/>
                <w:sz w:val="16"/>
              </w:rPr>
            </w:pPr>
            <w:r>
              <w:rPr>
                <w:rFonts w:ascii="Calibri;Helvetica;sans-serif" w:hAnsi="Calibri;Helvetica;sans-serif"/>
                <w:b/>
                <w:sz w:val="16"/>
              </w:rPr>
              <w:t>(IRS Employer</w:t>
            </w:r>
            <w:r>
              <w:rPr>
                <w:rFonts w:ascii="Calibri;Helvetica;sans-serif" w:hAnsi="Calibri;Helvetica;sans-serif"/>
                <w:sz w:val="16"/>
              </w:rPr>
              <w:br/>
            </w:r>
            <w:r>
              <w:rPr>
                <w:rFonts w:ascii="Calibri;Helvetica;sans-serif" w:hAnsi="Calibri;Helvetica;san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Calibri;Helvetica;sans-serif" w:hAnsi="Calibri;Helvetica;sans-serif"/>
          <w:b/>
          <w:sz w:val="20"/>
        </w:rPr>
      </w:pPr>
      <w:r>
        <w:rPr>
          <w:rFonts w:ascii="Calibri;Helvetica;sans-serif" w:hAnsi="Calibri;Helvetica;sans-serif"/>
          <w:b/>
          <w:sz w:val="20"/>
        </w:rPr>
        <w:t>333 Twin Dolphin Drive, Suite 600</w:t>
      </w:r>
    </w:p>
    <w:p>
      <w:pPr>
        <w:pStyle w:val="TextBody"/>
        <w:bidi w:val="0"/>
        <w:spacing w:before="0" w:after="0"/>
        <w:ind w:left="0" w:right="0" w:hanging="0"/>
        <w:jc w:val="center"/>
        <w:rPr>
          <w:rFonts w:ascii="Calibri;Helvetica;sans-serif" w:hAnsi="Calibri;Helvetica;sans-serif"/>
          <w:sz w:val="20"/>
        </w:rPr>
      </w:pPr>
      <w:r>
        <w:rPr>
          <w:rFonts w:ascii="Calibri;Helvetica;sans-serif" w:hAnsi="Calibri;Helvetica;sans-serif"/>
          <w:b/>
          <w:sz w:val="20"/>
        </w:rPr>
        <w:t>Redwood City, CA</w:t>
      </w:r>
      <w:r>
        <w:rPr>
          <w:rFonts w:ascii="Calibri;Helvetica;sans-serif" w:hAnsi="Calibri;Helvetica;sans-serif"/>
          <w:sz w:val="20"/>
        </w:rPr>
        <w:t xml:space="preserve"> </w:t>
      </w:r>
      <w:r>
        <w:rPr>
          <w:rFonts w:ascii="Calibri;Helvetica;sans-serif" w:hAnsi="Calibri;Helvetica;sans-serif"/>
          <w:b/>
          <w:sz w:val="20"/>
        </w:rPr>
        <w:t>94065</w:t>
      </w:r>
    </w:p>
    <w:p>
      <w:pPr>
        <w:pStyle w:val="TextBody"/>
        <w:bidi w:val="0"/>
        <w:spacing w:before="0" w:after="0"/>
        <w:ind w:left="0" w:right="0" w:hanging="0"/>
        <w:jc w:val="center"/>
        <w:rPr>
          <w:rFonts w:ascii="Calibri;Helvetica;sans-serif" w:hAnsi="Calibri;Helvetica;sans-serif"/>
          <w:b/>
          <w:sz w:val="16"/>
        </w:rPr>
      </w:pPr>
      <w:r>
        <w:rPr>
          <w:rFonts w:ascii="Calibri;Helvetica;sans-serif" w:hAnsi="Calibri;Helvetica;sans-serif"/>
          <w:b/>
          <w:sz w:val="16"/>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Calibri;Helvetica;sans-serif" w:hAnsi="Calibri;Helvetica;sans-serif"/>
          <w:b/>
          <w:sz w:val="20"/>
        </w:rPr>
      </w:pPr>
      <w:r>
        <w:rPr>
          <w:rFonts w:ascii="Calibri;Helvetica;sans-serif" w:hAnsi="Calibri;Helvetica;sans-serif"/>
          <w:b/>
          <w:sz w:val="20"/>
        </w:rPr>
        <w:t>Registrant’s telephone number, including area code: (650) 649-3530</w:t>
      </w:r>
    </w:p>
    <w:p>
      <w:pPr>
        <w:pStyle w:val="TextBody"/>
        <w:bidi w:val="0"/>
        <w:spacing w:before="0" w:after="0"/>
        <w:ind w:left="0" w:right="0" w:hanging="0"/>
        <w:jc w:val="left"/>
        <w:rPr>
          <w:rFonts w:ascii="Calibri;Helvetica;sans-serif" w:hAnsi="Calibri;Helvetica;sans-serif"/>
          <w:sz w:val="20"/>
        </w:rPr>
      </w:pPr>
      <w:r>
        <w:rPr>
          <w:rFonts w:ascii="Calibri;Helvetica;sans-serif" w:hAnsi="Calibri;Helvetica;san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o75yFYuIF0aHLE3nFkj6wg_6_1"/>
      <w:bookmarkStart w:id="12" w:name="Tc_QCXuEcDzTUygq75ZytovYA_4_1"/>
      <w:bookmarkStart w:id="13" w:name="Tc_G6IAqDORyUm2IECt3xZpVA_2_1"/>
      <w:bookmarkStart w:id="14" w:name="Tc_Qt-YtW8en06It5gj6wlB8g_0_1"/>
      <w:bookmarkStart w:id="15" w:name="_1df92469_f3ff_4402_ae86_b7c37a7d26ea"/>
      <w:bookmarkStart w:id="16" w:name="Tc_o75yFYuIF0aHLE3nFkj6wg_6_1"/>
      <w:bookmarkStart w:id="17" w:name="Tc_QCXuEcDzTUygq75ZytovYA_4_1"/>
      <w:bookmarkStart w:id="18" w:name="Tc_G6IAqDORyUm2IECt3xZpVA_2_1"/>
      <w:bookmarkStart w:id="19" w:name="Tc_Qt-YtW8en06It5gj6wlB8g_0_1"/>
      <w:bookmarkStart w:id="20" w:name="_1df92469_f3ff_4402_ae86_b7c37a7d26ea"/>
      <w:bookmarkEnd w:id="16"/>
      <w:bookmarkEnd w:id="17"/>
      <w:bookmarkEnd w:id="18"/>
      <w:bookmarkEnd w:id="19"/>
      <w:bookmarkEnd w:id="20"/>
    </w:p>
    <w:tbl>
      <w:tblPr>
        <w:tblW w:w="9242" w:type="dxa"/>
        <w:jc w:val="left"/>
        <w:tblInd w:w="0" w:type="dxa"/>
        <w:tblLayout w:type="fixed"/>
        <w:tblCellMar>
          <w:top w:w="0" w:type="dxa"/>
          <w:left w:w="0" w:type="dxa"/>
          <w:bottom w:w="0" w:type="dxa"/>
          <w:right w:w="0" w:type="dxa"/>
        </w:tblCellMar>
      </w:tblPr>
      <w:tblGrid>
        <w:gridCol w:w="331"/>
        <w:gridCol w:w="8911"/>
      </w:tblGrid>
      <w:tr>
        <w:trPr/>
        <w:tc>
          <w:tcPr>
            <w:tcW w:w="331" w:type="dxa"/>
            <w:tcBorders/>
            <w:vAlign w:val="center"/>
          </w:tcPr>
          <w:p>
            <w:pPr>
              <w:pStyle w:val="TableContents"/>
              <w:bidi w:val="0"/>
              <w:spacing w:before="0" w:after="0"/>
              <w:ind w:left="0" w:right="0" w:hanging="0"/>
              <w:jc w:val="left"/>
              <w:rPr/>
            </w:pPr>
            <w:r>
              <w:rPr/>
              <w:t>☐</w:t>
            </w:r>
          </w:p>
        </w:tc>
        <w:tc>
          <w:tcPr>
            <w:tcW w:w="8911"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891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8911"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891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8911"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891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8911"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sz w:val="20"/>
        </w:rPr>
      </w:pPr>
      <w:r>
        <w:rPr>
          <w:rFonts w:ascii="Calibri;Helvetica;sans-serif" w:hAnsi="Calibri;Helvetica;san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ZTV0E3YcNk2JjxnrW0hF7w_0_4"/>
      <w:bookmarkStart w:id="22" w:name="Tc_wkG3RAbGwEy9-oXtIXxq_w_0_2"/>
      <w:bookmarkStart w:id="23" w:name="Tc_Uz-sxYSV6UOfFuy-eUmlig_0_0"/>
      <w:bookmarkStart w:id="24" w:name="_132bb9e4_a733_46a7_a748_975eae4dea5f"/>
      <w:bookmarkStart w:id="25" w:name="Tc_ZTV0E3YcNk2JjxnrW0hF7w_0_4"/>
      <w:bookmarkStart w:id="26" w:name="Tc_wkG3RAbGwEy9-oXtIXxq_w_0_2"/>
      <w:bookmarkStart w:id="27" w:name="Tc_Uz-sxYSV6UOfFuy-eUmlig_0_0"/>
      <w:bookmarkStart w:id="28" w:name="_132bb9e4_a733_46a7_a748_975eae4dea5f"/>
      <w:bookmarkEnd w:id="25"/>
      <w:bookmarkEnd w:id="26"/>
      <w:bookmarkEnd w:id="27"/>
      <w:bookmarkEnd w:id="28"/>
    </w:p>
    <w:tbl>
      <w:tblPr>
        <w:tblW w:w="7450" w:type="dxa"/>
        <w:jc w:val="left"/>
        <w:tblInd w:w="0" w:type="dxa"/>
        <w:tblLayout w:type="fixed"/>
        <w:tblCellMar>
          <w:top w:w="0" w:type="dxa"/>
          <w:left w:w="0" w:type="dxa"/>
          <w:bottom w:w="28" w:type="dxa"/>
          <w:right w:w="0" w:type="dxa"/>
        </w:tblCellMar>
      </w:tblPr>
      <w:tblGrid>
        <w:gridCol w:w="3736"/>
        <w:gridCol w:w="326"/>
        <w:gridCol w:w="766"/>
        <w:gridCol w:w="326"/>
        <w:gridCol w:w="2296"/>
      </w:tblGrid>
      <w:tr>
        <w:trPr/>
        <w:tc>
          <w:tcPr>
            <w:tcW w:w="3736" w:type="dxa"/>
            <w:tcBorders>
              <w:bottom w:val="single" w:sz="2" w:space="0" w:color="000000"/>
            </w:tcBorders>
            <w:vAlign w:val="center"/>
          </w:tcPr>
          <w:p>
            <w:pPr>
              <w:pStyle w:val="TableContents"/>
              <w:bidi w:val="0"/>
              <w:spacing w:before="0" w:after="0"/>
              <w:ind w:left="0" w:right="0" w:hanging="0"/>
              <w:jc w:val="center"/>
              <w:rPr>
                <w:rFonts w:ascii="Calibri;Helvetica;sans-serif" w:hAnsi="Calibri;Helvetica;sans-serif"/>
                <w:b/>
                <w:sz w:val="16"/>
              </w:rPr>
            </w:pPr>
            <w:r>
              <w:rPr>
                <w:rFonts w:ascii="Calibri;Helvetica;sans-serif" w:hAnsi="Calibri;Helvetica;sans-serif"/>
                <w:b/>
                <w:sz w:val="16"/>
              </w:rPr>
              <w:t>Title of each class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vAlign w:val="center"/>
          </w:tcPr>
          <w:p>
            <w:pPr>
              <w:pStyle w:val="TableContents"/>
              <w:bidi w:val="0"/>
              <w:spacing w:before="0" w:after="0"/>
              <w:ind w:left="0" w:right="0" w:hanging="0"/>
              <w:jc w:val="center"/>
              <w:rPr>
                <w:rFonts w:ascii="Calibri;Helvetica;sans-serif" w:hAnsi="Calibri;Helvetica;sans-serif"/>
                <w:sz w:val="16"/>
              </w:rPr>
            </w:pPr>
            <w:r>
              <w:rPr>
                <w:rFonts w:ascii="Calibri;Helvetica;sans-serif" w:hAnsi="Calibri;Helvetica;sans-serif"/>
                <w:b/>
                <w:sz w:val="16"/>
              </w:rPr>
              <w:t>Trading</w:t>
            </w:r>
            <w:r>
              <w:rPr>
                <w:rFonts w:ascii="Calibri;Helvetica;sans-serif" w:hAnsi="Calibri;Helvetica;sans-serif"/>
                <w:sz w:val="16"/>
              </w:rPr>
              <w:br/>
            </w:r>
            <w:r>
              <w:rPr>
                <w:rFonts w:ascii="Calibri;Helvetica;sans-serif" w:hAnsi="Calibri;Helvetica;sans-serif"/>
                <w:b/>
                <w:sz w:val="16"/>
              </w:rPr>
              <w:t>Symbol(s)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296" w:type="dxa"/>
            <w:tcBorders>
              <w:bottom w:val="single" w:sz="2" w:space="0" w:color="000000"/>
            </w:tcBorders>
            <w:vAlign w:val="center"/>
          </w:tcPr>
          <w:p>
            <w:pPr>
              <w:pStyle w:val="TableContents"/>
              <w:bidi w:val="0"/>
              <w:spacing w:before="0" w:after="0"/>
              <w:ind w:left="0" w:right="0" w:hanging="0"/>
              <w:jc w:val="center"/>
              <w:rPr>
                <w:rFonts w:ascii="Calibri;Helvetica;sans-serif" w:hAnsi="Calibri;Helvetica;sans-serif"/>
                <w:sz w:val="16"/>
              </w:rPr>
            </w:pPr>
            <w:r>
              <w:rPr>
                <w:rFonts w:ascii="Calibri;Helvetica;sans-serif" w:hAnsi="Calibri;Helvetica;sans-serif"/>
                <w:b/>
                <w:sz w:val="16"/>
              </w:rPr>
              <w:t>Name of each exchange</w:t>
            </w:r>
            <w:r>
              <w:rPr>
                <w:rFonts w:ascii="Calibri;Helvetica;sans-serif" w:hAnsi="Calibri;Helvetica;sans-serif"/>
                <w:sz w:val="16"/>
              </w:rPr>
              <w:br/>
            </w:r>
            <w:r>
              <w:rPr>
                <w:rFonts w:ascii="Calibri;Helvetica;sans-serif" w:hAnsi="Calibri;Helvetica;sans-serif"/>
                <w:b/>
                <w:sz w:val="16"/>
              </w:rPr>
              <w:t>on which registered</w:t>
            </w:r>
          </w:p>
        </w:tc>
      </w:tr>
      <w:tr>
        <w:trPr/>
        <w:tc>
          <w:tcPr>
            <w:tcW w:w="3736" w:type="dxa"/>
            <w:tcBorders/>
            <w:tcMar>
              <w:bottom w:w="0" w:type="dxa"/>
            </w:tcMar>
            <w:vAlign w:val="center"/>
          </w:tcPr>
          <w:p>
            <w:pPr>
              <w:pStyle w:val="TableContents"/>
              <w:bidi w:val="0"/>
              <w:spacing w:before="0" w:after="0"/>
              <w:ind w:left="0" w:right="0" w:hanging="0"/>
              <w:jc w:val="center"/>
              <w:rPr>
                <w:rFonts w:ascii="Calibri;Helvetica;sans-serif" w:hAnsi="Calibri;Helvetica;sans-serif"/>
                <w:b/>
                <w:sz w:val="20"/>
              </w:rPr>
            </w:pPr>
            <w:r>
              <w:rPr>
                <w:rFonts w:ascii="Calibri;Helvetica;sans-serif" w:hAnsi="Calibri;Helvetica;sans-serif"/>
                <w:b/>
                <w:sz w:val="20"/>
              </w:rPr>
              <w:t>Common Stock, $0.0001 par value per share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766" w:type="dxa"/>
            <w:tcBorders/>
            <w:tcMar>
              <w:bottom w:w="0" w:type="dxa"/>
            </w:tcMar>
            <w:vAlign w:val="center"/>
          </w:tcPr>
          <w:p>
            <w:pPr>
              <w:pStyle w:val="TableContents"/>
              <w:bidi w:val="0"/>
              <w:spacing w:before="0" w:after="0"/>
              <w:ind w:left="0" w:right="0" w:hanging="0"/>
              <w:jc w:val="center"/>
              <w:rPr>
                <w:rFonts w:ascii="Calibri;Helvetica;sans-serif" w:hAnsi="Calibri;Helvetica;sans-serif"/>
                <w:b/>
                <w:sz w:val="20"/>
              </w:rPr>
            </w:pPr>
            <w:r>
              <w:rPr>
                <w:rFonts w:ascii="Calibri;Helvetica;sans-serif" w:hAnsi="Calibri;Helvetica;sans-serif"/>
                <w:b/>
                <w:sz w:val="20"/>
              </w:rPr>
              <w:t>CHRS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296" w:type="dxa"/>
            <w:tcBorders/>
            <w:tcMar>
              <w:bottom w:w="0" w:type="dxa"/>
            </w:tcMar>
            <w:vAlign w:val="center"/>
          </w:tcPr>
          <w:p>
            <w:pPr>
              <w:pStyle w:val="TableContents"/>
              <w:bidi w:val="0"/>
              <w:spacing w:before="0" w:after="0"/>
              <w:ind w:left="0" w:right="0" w:hanging="0"/>
              <w:jc w:val="center"/>
              <w:rPr>
                <w:rFonts w:ascii="Calibri;Helvetica;sans-serif" w:hAnsi="Calibri;Helvetica;sans-serif"/>
                <w:b/>
                <w:sz w:val="20"/>
              </w:rPr>
            </w:pPr>
            <w:r>
              <w:rPr>
                <w:rFonts w:ascii="Calibri;Helvetica;sans-serif" w:hAnsi="Calibri;Helvetica;sans-serif"/>
                <w:b/>
                <w:sz w:val="20"/>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sz w:val="20"/>
        </w:rPr>
      </w:pPr>
      <w:r>
        <w:rPr>
          <w:rFonts w:ascii="Calibri;Helvetica;sans-serif" w:hAnsi="Calibri;Helvetica;san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sz w:val="20"/>
        </w:rPr>
      </w:pPr>
      <w:r>
        <w:rPr>
          <w:rFonts w:ascii="Calibri;Helvetica;sans-serif" w:hAnsi="Calibri;Helvetica;san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sz w:val="20"/>
        </w:rPr>
      </w:pPr>
      <w:r>
        <w:rPr>
          <w:rFonts w:ascii="Calibri;Helvetica;sans-serif" w:hAnsi="Calibri;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firstLine="490"/>
        <w:jc w:val="both"/>
        <w:rPr/>
      </w:pPr>
      <w:r>
        <w:rPr/>
        <w:t>​</w:t>
      </w:r>
    </w:p>
    <w:p>
      <w:pPr>
        <w:pStyle w:val="TextBody"/>
        <w:shd w:fill="FFFFFF" w:val="clear"/>
        <w:bidi w:val="0"/>
        <w:spacing w:before="0" w:after="0"/>
        <w:ind w:left="0" w:right="0" w:hanging="0"/>
        <w:jc w:val="left"/>
        <w:rPr/>
      </w:pPr>
      <w:bookmarkStart w:id="29" w:name="_962c2f26_1219_40ef_b9da_209caba21b7e"/>
      <w:bookmarkEnd w:id="29"/>
      <w:r>
        <w:rPr/>
        <w:t> </w:t>
      </w:r>
    </w:p>
    <w:p>
      <w:pPr>
        <w:pStyle w:val="TextBody"/>
        <w:pBdr/>
        <w:shd w:fill="FFFFFF" w:val="clear"/>
        <w:bidi w:val="0"/>
        <w:spacing w:before="0" w:after="0"/>
        <w:ind w:left="0" w:right="0" w:hanging="0"/>
        <w:jc w:val="left"/>
        <w:rPr>
          <w:rFonts w:ascii="Calibri;Helvetica;sans-serif" w:hAnsi="Calibri;Helvetica;sans-serif"/>
          <w:sz w:val="20"/>
        </w:rPr>
      </w:pPr>
      <w:r>
        <w:rPr>
          <w:rFonts w:ascii="Calibri;Helvetica;sans-serif" w:hAnsi="Calibri;Helvetica;sans-serif"/>
          <w:b/>
          <w:i w:val="false"/>
          <w:caps w:val="false"/>
          <w:smallCaps w:val="false"/>
          <w:sz w:val="20"/>
        </w:rPr>
        <w:t xml:space="preserve">Item 5.02 </w:t>
      </w:r>
      <w:r>
        <w:rPr>
          <w:rFonts w:ascii="Calibri;Helvetica;sans-serif" w:hAnsi="Calibri;Helvetica;sans-serif"/>
          <w:b/>
          <w:sz w:val="20"/>
        </w:rPr>
        <w:t>Departure of Directors or Certain Officers; Election of Directors; Appointment of Certain Officers; Compensatory Arrangements of Certain Officers.</w:t>
      </w:r>
    </w:p>
    <w:p>
      <w:pPr>
        <w:pStyle w:val="TextBody"/>
        <w:pBdr/>
        <w:shd w:fill="FFFFFF" w:val="clear"/>
        <w:bidi w:val="0"/>
        <w:spacing w:before="0" w:after="0"/>
        <w:ind w:left="0" w:right="0" w:firstLine="360"/>
        <w:jc w:val="both"/>
        <w:rPr>
          <w:rFonts w:ascii="Calibri;Helvetica;sans-serif" w:hAnsi="Calibri;Helvetica;sans-serif"/>
          <w:i/>
          <w:sz w:val="20"/>
        </w:rPr>
      </w:pPr>
      <w:r>
        <w:rPr>
          <w:rFonts w:ascii="Calibri;Helvetica;sans-serif" w:hAnsi="Calibri;Helvetica;sans-serif"/>
          <w:i/>
          <w:sz w:val="20"/>
        </w:rPr>
        <w:t>Appointment of Bryan McMichael as Interim Chief Financial Officer and Principal Financial Officer</w:t>
      </w:r>
    </w:p>
    <w:p>
      <w:pPr>
        <w:pStyle w:val="TextBody"/>
        <w:pBdr/>
        <w:shd w:fill="FFFFFF" w:val="clear"/>
        <w:bidi w:val="0"/>
        <w:spacing w:before="0" w:after="0"/>
        <w:ind w:left="0" w:right="0" w:firstLine="360"/>
        <w:jc w:val="both"/>
        <w:rPr>
          <w:rFonts w:ascii="Calibri;Helvetica;sans-serif" w:hAnsi="Calibri;Helvetica;sans-serif"/>
          <w:sz w:val="20"/>
        </w:rPr>
      </w:pPr>
      <w:r>
        <w:rPr>
          <w:rFonts w:ascii="Calibri;Helvetica;sans-serif" w:hAnsi="Calibri;Helvetica;sans-serif"/>
          <w:sz w:val="20"/>
        </w:rPr>
        <w:t xml:space="preserve">On December 7, 2023, Coherus BioSciences, Inc. (the “Company”) announced that McDavid Stilwell notified the Company on December 7, 2023 of his resignation as Chief Financial Officer, Principal Financial Officer and employee of the Company in order to pursue other opportunities, in each case to be effective on December 31, 2023. </w:t>
      </w:r>
    </w:p>
    <w:p>
      <w:pPr>
        <w:pStyle w:val="TextBody"/>
        <w:pBdr/>
        <w:shd w:fill="FFFFFF" w:val="clear"/>
        <w:bidi w:val="0"/>
        <w:spacing w:before="0" w:after="0"/>
        <w:ind w:left="0" w:right="0" w:firstLine="360"/>
        <w:jc w:val="both"/>
        <w:rPr>
          <w:rFonts w:ascii="Calibri;Helvetica;sans-serif" w:hAnsi="Calibri;Helvetica;sans-serif"/>
          <w:sz w:val="20"/>
        </w:rPr>
      </w:pPr>
      <w:r>
        <w:rPr>
          <w:rFonts w:ascii="Calibri;Helvetica;sans-serif" w:hAnsi="Calibri;Helvetica;sans-serif"/>
          <w:sz w:val="20"/>
        </w:rPr>
        <w:t>On December 9, 2023, The Board of Directors of the Company appointed Bryan McMichael, age 45, to serve as the Company’s Interim Chief Financial Officer and Principal Financial Officer effective December 8, 2023. This office is in addition to Mr. McMichael’s current position serving as the Company’s Executive Vice President, Accounting, Corporate Controller and Principal Accounting Officer, which he has held since September 2022. Starting March 2021, Mr. McMichael held the role of Senior Vice President, Accounting and Corporate Controller at the Company. Prior to joining the Company, Mr. McMichael worked for Gilead Sciences, Inc. from May 2016 to March 2021 and most recently held the position of Executive Director, Assistant Controller. Immediately prior to joining Gilead Sciences, Inc., Mr. McMichael served in various roles at NetApp, Inc. and PricewaterhouseCoopers LLP in the United States and in Europe. Mr. McMichael is a Certified Public Accountant and holds a Bachelor of Science degree in Business Administration from San Diego State University.</w:t>
      </w:r>
    </w:p>
    <w:p>
      <w:pPr>
        <w:pStyle w:val="TextBody"/>
        <w:pBdr/>
        <w:shd w:fill="FFFFFF" w:val="clear"/>
        <w:bidi w:val="0"/>
        <w:spacing w:before="0" w:after="0"/>
        <w:ind w:left="0" w:right="0" w:firstLine="360"/>
        <w:jc w:val="both"/>
        <w:rPr>
          <w:rFonts w:ascii="Calibri;Helvetica;sans-serif" w:hAnsi="Calibri;Helvetica;sans-serif"/>
          <w:sz w:val="20"/>
        </w:rPr>
      </w:pPr>
      <w:r>
        <w:rPr>
          <w:rFonts w:ascii="Calibri;Helvetica;sans-serif" w:hAnsi="Calibri;Helvetica;sans-serif"/>
          <w:sz w:val="20"/>
        </w:rPr>
        <w:t xml:space="preserve">There are currently no arrangements or understandings between Mr. McMichael and any other person pursuant to which Mr. McMichael was selected as an executive officer. There are no family relationships between Mr. McMichael and any director or other executive officer of the Company, or with any person nominated or chosen to become an officer or a director of the Company. The Company has had no transactions since the beginning of its last fiscal year, and has no transactions currently proposed, in which Mr. McMichael, or any member of his immediate family, has an interest requiring disclosure under Item 404(a) of Regulation S-K. </w:t>
      </w:r>
    </w:p>
    <w:p>
      <w:pPr>
        <w:pStyle w:val="TextBody"/>
        <w:pBdr/>
        <w:shd w:fill="FFFFFF" w:val="clear"/>
        <w:bidi w:val="0"/>
        <w:spacing w:before="0" w:after="0"/>
        <w:ind w:left="0" w:right="0" w:firstLine="360"/>
        <w:jc w:val="both"/>
        <w:rPr>
          <w:rFonts w:ascii="Calibri;Helvetica;sans-serif" w:hAnsi="Calibri;Helvetica;sans-serif"/>
          <w:sz w:val="20"/>
        </w:rPr>
      </w:pPr>
      <w:r>
        <w:rPr>
          <w:rFonts w:ascii="Calibri;Helvetica;sans-serif" w:hAnsi="Calibri;Helvetica;sans-serif"/>
          <w:sz w:val="20"/>
        </w:rPr>
        <w:t>In connection with Mr. McMichael’s appointment as Interim Chief Financial Officer and Principal Financial Officer, he did not receive any grant, award or modification under any plan, contract or arrangement in which he is a party. In connection with his previous appointment as Principal Accounting Officer, the Company entered into an indemnification agreement with Mr. McMichael (the “Indemnification Agreement”) in accordance with the Company’s standard practice and pursuant to the form previously approved by the Company’s board of directors and its stockholders. The Indemnification Agreement, among other things, requires the Company to indemnify Mr. McMichael to the fullest extent permitted by Delaware law, including indemnification of expenses such as attorneys’ fees, judgments, penalties, fines and settlement amounts incurred by the executive officer in any action or proceeding, including any action or proceeding by or in right of us, arising out of the person’s services as an executive officer. The foregoing description of the Indemnification Agreement is a summary of the material terms of such agreement and is qualified in its entirety by reference to the full text of the Indemnification Agreement, which was filed as Exhibit 10.13 to the Company’s Registration Statement on Form S-1/A on October 24, 2014 and is incorporated by reference herein.</w:t>
      </w:r>
    </w:p>
    <w:p>
      <w:pPr>
        <w:pStyle w:val="TextBody"/>
        <w:shd w:fill="FFFFFF" w:val="clear"/>
        <w:bidi w:val="0"/>
        <w:spacing w:before="0" w:after="0"/>
        <w:ind w:left="0" w:right="0" w:firstLine="385"/>
        <w:jc w:val="both"/>
        <w:rPr/>
      </w:pPr>
      <w:r>
        <w:rPr/>
        <w:t>​</w:t>
      </w:r>
    </w:p>
    <w:p>
      <w:pPr>
        <w:pStyle w:val="TextBody"/>
        <w:shd w:fill="FFFFFF" w:val="clear"/>
        <w:bidi w:val="0"/>
        <w:spacing w:before="0" w:after="0"/>
        <w:ind w:left="0" w:right="0" w:firstLine="385"/>
        <w:jc w:val="both"/>
        <w:rPr/>
      </w:pPr>
      <w:r>
        <w:rPr/>
        <w:t>​</w:t>
      </w:r>
    </w:p>
    <w:p>
      <w:pPr>
        <w:pStyle w:val="TextBody"/>
        <w:shd w:fill="FFFFFF" w:val="clear"/>
        <w:bidi w:val="0"/>
        <w:spacing w:before="0" w:after="0"/>
        <w:ind w:left="0" w:right="0" w:firstLine="385"/>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Calibri;Helvetica;sans-serif" w:hAnsi="Calibri;Helvetica;sans-serif"/>
          <w:b/>
          <w:sz w:val="20"/>
        </w:rPr>
      </w:pPr>
      <w:bookmarkStart w:id="30" w:name="_695bfa2e_9c66_4044_812f_6e41413afb3f"/>
      <w:bookmarkEnd w:id="30"/>
      <w:r>
        <w:rPr>
          <w:rFonts w:ascii="Calibri;Helvetica;sans-serif" w:hAnsi="Calibri;Helvetica;sans-serif"/>
          <w:b/>
          <w:sz w:val="20"/>
        </w:rPr>
        <w:t>SIGNATURES</w:t>
      </w:r>
    </w:p>
    <w:p>
      <w:pPr>
        <w:pStyle w:val="TextBody"/>
        <w:bidi w:val="0"/>
        <w:spacing w:before="0" w:after="0"/>
        <w:ind w:left="0" w:right="0" w:firstLine="489"/>
        <w:jc w:val="left"/>
        <w:rPr>
          <w:rFonts w:ascii="Calibri;Helvetica;sans-serif" w:hAnsi="Calibri;Helvetica;sans-serif"/>
          <w:sz w:val="20"/>
        </w:rPr>
      </w:pPr>
      <w:r>
        <w:rPr>
          <w:rFonts w:ascii="Calibri;Helvetica;sans-serif" w:hAnsi="Calibri;Helvetica;san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6104" w:type="dxa"/>
        <w:jc w:val="left"/>
        <w:tblInd w:w="0" w:type="dxa"/>
        <w:tblLayout w:type="fixed"/>
        <w:tblCellMar>
          <w:top w:w="0" w:type="dxa"/>
          <w:left w:w="0" w:type="dxa"/>
          <w:bottom w:w="0" w:type="dxa"/>
          <w:right w:w="0" w:type="dxa"/>
        </w:tblCellMar>
      </w:tblPr>
      <w:tblGrid>
        <w:gridCol w:w="2131"/>
        <w:gridCol w:w="326"/>
        <w:gridCol w:w="601"/>
        <w:gridCol w:w="304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53185" cy="175260"/>
                      <wp:effectExtent l="0" t="0" r="0" b="0"/>
                      <wp:wrapNone/>
                      <wp:docPr id="1" name="Frame1"/>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81635" cy="175260"/>
                      <wp:effectExtent l="0" t="0" r="0" b="0"/>
                      <wp:wrapNone/>
                      <wp:docPr id="2" name="Frame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934210" cy="175260"/>
                      <wp:effectExtent l="0" t="0" r="0" b="0"/>
                      <wp:wrapNone/>
                      <wp:docPr id="3" name="Frame3"/>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Date: December 11, 2023</w:t>
            </w:r>
          </w:p>
        </w:tc>
        <w:tc>
          <w:tcPr>
            <w:tcW w:w="326" w:type="dxa"/>
            <w:tcBorders/>
            <w:vAlign w:val="center"/>
          </w:tcPr>
          <w:p>
            <w:pPr>
              <w:pStyle w:val="TableContents"/>
              <w:bidi w:val="0"/>
              <w:spacing w:before="0" w:after="0"/>
              <w:ind w:left="0" w:right="0" w:hanging="0"/>
              <w:jc w:val="left"/>
              <w:rPr/>
            </w:pPr>
            <w:r>
              <w:rPr/>
              <w:t>    </w:t>
            </w:r>
          </w:p>
        </w:tc>
        <w:tc>
          <w:tcPr>
            <w:tcW w:w="3647" w:type="dxa"/>
            <w:gridSpan w:val="2"/>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COHERUS BIOSCIENCES, INC.</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046"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By:</w:t>
            </w:r>
          </w:p>
        </w:tc>
        <w:tc>
          <w:tcPr>
            <w:tcW w:w="3046" w:type="dxa"/>
            <w:tcBorders>
              <w:bottom w:val="single" w:sz="2" w:space="0" w:color="000000"/>
            </w:tcBorders>
            <w:tcMar>
              <w:bottom w:w="28" w:type="dxa"/>
            </w:tcMar>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/s/ Dennis M. Lanfear</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Name:</w:t>
            </w:r>
          </w:p>
        </w:tc>
        <w:tc>
          <w:tcPr>
            <w:tcW w:w="3046" w:type="dxa"/>
            <w:tcBorders>
              <w:top w:val="single" w:sz="2" w:space="0" w:color="000000"/>
            </w:tcBorders>
            <w:tcMar>
              <w:top w:w="28" w:type="dxa"/>
            </w:tcMar>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Dennis M. Lanfear</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Title:</w:t>
            </w:r>
          </w:p>
        </w:tc>
        <w:tc>
          <w:tcPr>
            <w:tcW w:w="3046"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900</Words>
  <Characters>5035</Characters>
  <CharactersWithSpaces>5957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