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30, 2015</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99060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96520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7"/>
          <w:szCs w:val="27"/>
          <w:b w:val="1"/>
          <w:bCs w:val="1"/>
          <w:color w:val="auto"/>
        </w:rPr>
        <w:t>OHERUS</w:t>
      </w:r>
      <w:r>
        <w:rPr>
          <w:rFonts w:ascii="Arial" w:cs="Arial" w:eastAsia="Arial" w:hAnsi="Arial"/>
          <w:sz w:val="32"/>
          <w:szCs w:val="32"/>
          <w:b w:val="1"/>
          <w:bCs w:val="1"/>
          <w:color w:val="auto"/>
        </w:rPr>
        <w:t xml:space="preserve"> B</w:t>
      </w:r>
      <w:r>
        <w:rPr>
          <w:rFonts w:ascii="Arial" w:cs="Arial" w:eastAsia="Arial" w:hAnsi="Arial"/>
          <w:sz w:val="27"/>
          <w:szCs w:val="27"/>
          <w:b w:val="1"/>
          <w:bCs w:val="1"/>
          <w:color w:val="auto"/>
        </w:rPr>
        <w:t>IO</w:t>
      </w:r>
      <w:r>
        <w:rPr>
          <w:rFonts w:ascii="Arial" w:cs="Arial" w:eastAsia="Arial" w:hAnsi="Arial"/>
          <w:sz w:val="32"/>
          <w:szCs w:val="32"/>
          <w:b w:val="1"/>
          <w:bCs w:val="1"/>
          <w:color w:val="auto"/>
        </w:rPr>
        <w:t>S</w:t>
      </w:r>
      <w:r>
        <w:rPr>
          <w:rFonts w:ascii="Arial" w:cs="Arial" w:eastAsia="Arial" w:hAnsi="Arial"/>
          <w:sz w:val="27"/>
          <w:szCs w:val="27"/>
          <w:b w:val="1"/>
          <w:bCs w:val="1"/>
          <w:color w:val="auto"/>
        </w:rPr>
        <w:t>CIENCES</w:t>
      </w:r>
      <w:r>
        <w:rPr>
          <w:rFonts w:ascii="Arial" w:cs="Arial" w:eastAsia="Arial" w:hAnsi="Arial"/>
          <w:sz w:val="32"/>
          <w:szCs w:val="32"/>
          <w:b w:val="1"/>
          <w:bCs w:val="1"/>
          <w:color w:val="auto"/>
        </w:rPr>
        <w:t>, I</w:t>
      </w:r>
      <w:r>
        <w:rPr>
          <w:rFonts w:ascii="Arial" w:cs="Arial" w:eastAsia="Arial" w:hAnsi="Arial"/>
          <w:sz w:val="27"/>
          <w:szCs w:val="27"/>
          <w:b w:val="1"/>
          <w:bCs w:val="1"/>
          <w:color w:val="auto"/>
        </w:rPr>
        <w:t>NC</w:t>
      </w:r>
      <w:r>
        <w:rPr>
          <w:rFonts w:ascii="Arial" w:cs="Arial" w:eastAsia="Arial" w:hAnsi="Arial"/>
          <w:sz w:val="32"/>
          <w:szCs w:val="32"/>
          <w:b w:val="1"/>
          <w:bCs w:val="1"/>
          <w:color w:val="auto"/>
        </w:rPr>
        <w:t>.</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57" w:lineRule="exact"/>
        <w:rPr>
          <w:sz w:val="24"/>
          <w:szCs w:val="24"/>
          <w:color w:val="auto"/>
        </w:rPr>
      </w:pPr>
    </w:p>
    <w:tbl>
      <w:tblPr>
        <w:tblLayout w:type="fixed"/>
        <w:tblInd w:w="1120" w:type="dxa"/>
        <w:tblCellMar>
          <w:top w:w="0" w:type="dxa"/>
          <w:left w:w="0" w:type="dxa"/>
          <w:bottom w:w="0" w:type="dxa"/>
          <w:right w:w="0" w:type="dxa"/>
        </w:tblCellMar>
      </w:tblPr>
      <w:tr>
        <w:trPr>
          <w:trHeight w:val="220"/>
        </w:trPr>
        <w:tc>
          <w:tcPr>
            <w:tcW w:w="2800" w:type="dxa"/>
            <w:vAlign w:val="bottom"/>
          </w:tcPr>
          <w:p>
            <w:pPr>
              <w:jc w:val="center"/>
              <w:ind w:right="1066"/>
              <w:spacing w:after="0"/>
              <w:rPr>
                <w:sz w:val="20"/>
                <w:szCs w:val="20"/>
                <w:color w:val="auto"/>
              </w:rPr>
            </w:pPr>
            <w:r>
              <w:rPr>
                <w:rFonts w:ascii="Arial" w:cs="Arial" w:eastAsia="Arial" w:hAnsi="Arial"/>
                <w:sz w:val="18"/>
                <w:szCs w:val="18"/>
                <w:b w:val="1"/>
                <w:bCs w:val="1"/>
                <w:color w:val="auto"/>
                <w:w w:val="88"/>
              </w:rPr>
              <w:t>Delaware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2836</w:t>
            </w:r>
          </w:p>
        </w:tc>
        <w:tc>
          <w:tcPr>
            <w:tcW w:w="2420" w:type="dxa"/>
            <w:vAlign w:val="bottom"/>
          </w:tcPr>
          <w:p>
            <w:pPr>
              <w:jc w:val="center"/>
              <w:ind w:left="1106"/>
              <w:spacing w:after="0"/>
              <w:rPr>
                <w:sz w:val="20"/>
                <w:szCs w:val="20"/>
                <w:color w:val="auto"/>
              </w:rPr>
            </w:pPr>
            <w:r>
              <w:rPr>
                <w:rFonts w:ascii="Arial" w:cs="Arial" w:eastAsia="Arial" w:hAnsi="Arial"/>
                <w:sz w:val="18"/>
                <w:szCs w:val="18"/>
                <w:b w:val="1"/>
                <w:bCs w:val="1"/>
                <w:color w:val="auto"/>
                <w:w w:val="87"/>
              </w:rPr>
              <w:t>27-3615821</w:t>
            </w:r>
          </w:p>
        </w:tc>
      </w:tr>
      <w:tr>
        <w:trPr>
          <w:trHeight w:val="149"/>
        </w:trPr>
        <w:tc>
          <w:tcPr>
            <w:tcW w:w="2800" w:type="dxa"/>
            <w:vAlign w:val="bottom"/>
          </w:tcPr>
          <w:p>
            <w:pPr>
              <w:jc w:val="center"/>
              <w:ind w:right="1066"/>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38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(Primary Standard Industrial</w:t>
            </w:r>
          </w:p>
        </w:tc>
        <w:tc>
          <w:tcPr>
            <w:tcW w:w="2420" w:type="dxa"/>
            <w:vAlign w:val="bottom"/>
          </w:tcPr>
          <w:p>
            <w:pPr>
              <w:jc w:val="center"/>
              <w:ind w:left="1086"/>
              <w:spacing w:after="0" w:line="149" w:lineRule="exact"/>
              <w:rPr>
                <w:sz w:val="20"/>
                <w:szCs w:val="20"/>
                <w:color w:val="auto"/>
              </w:rPr>
            </w:pPr>
            <w:r>
              <w:rPr>
                <w:rFonts w:ascii="Arial" w:cs="Arial" w:eastAsia="Arial" w:hAnsi="Arial"/>
                <w:sz w:val="14"/>
                <w:szCs w:val="14"/>
                <w:i w:val="1"/>
                <w:iCs w:val="1"/>
                <w:color w:val="auto"/>
                <w:w w:val="87"/>
              </w:rPr>
              <w:t>(I.R.S. Employer</w:t>
            </w:r>
          </w:p>
        </w:tc>
      </w:tr>
      <w:tr>
        <w:trPr>
          <w:trHeight w:val="172"/>
        </w:trPr>
        <w:tc>
          <w:tcPr>
            <w:tcW w:w="2800" w:type="dxa"/>
            <w:vAlign w:val="bottom"/>
          </w:tcPr>
          <w:p>
            <w:pPr>
              <w:jc w:val="center"/>
              <w:ind w:right="1066"/>
              <w:spacing w:after="0"/>
              <w:rPr>
                <w:sz w:val="20"/>
                <w:szCs w:val="20"/>
                <w:color w:val="auto"/>
              </w:rPr>
            </w:pPr>
            <w:r>
              <w:rPr>
                <w:rFonts w:ascii="Arial" w:cs="Arial" w:eastAsia="Arial" w:hAnsi="Arial"/>
                <w:sz w:val="14"/>
                <w:szCs w:val="14"/>
                <w:i w:val="1"/>
                <w:iCs w:val="1"/>
                <w:color w:val="auto"/>
                <w:w w:val="91"/>
              </w:rPr>
              <w:t>incorporation or organization)</w:t>
            </w:r>
          </w:p>
        </w:tc>
        <w:tc>
          <w:tcPr>
            <w:tcW w:w="3880" w:type="dxa"/>
            <w:vAlign w:val="bottom"/>
          </w:tcPr>
          <w:p>
            <w:pPr>
              <w:jc w:val="center"/>
              <w:spacing w:after="0"/>
              <w:rPr>
                <w:sz w:val="20"/>
                <w:szCs w:val="20"/>
                <w:color w:val="auto"/>
              </w:rPr>
            </w:pPr>
            <w:r>
              <w:rPr>
                <w:rFonts w:ascii="Arial" w:cs="Arial" w:eastAsia="Arial" w:hAnsi="Arial"/>
                <w:sz w:val="14"/>
                <w:szCs w:val="14"/>
                <w:i w:val="1"/>
                <w:iCs w:val="1"/>
                <w:color w:val="auto"/>
                <w:w w:val="88"/>
              </w:rPr>
              <w:t>Classification Code Number)</w:t>
            </w:r>
          </w:p>
        </w:tc>
        <w:tc>
          <w:tcPr>
            <w:tcW w:w="2420" w:type="dxa"/>
            <w:vAlign w:val="bottom"/>
          </w:tcPr>
          <w:p>
            <w:pPr>
              <w:jc w:val="center"/>
              <w:ind w:left="1106"/>
              <w:spacing w:after="0"/>
              <w:rPr>
                <w:sz w:val="20"/>
                <w:szCs w:val="20"/>
                <w:color w:val="auto"/>
              </w:rPr>
            </w:pPr>
            <w:r>
              <w:rPr>
                <w:rFonts w:ascii="Arial" w:cs="Arial" w:eastAsia="Arial" w:hAnsi="Arial"/>
                <w:sz w:val="14"/>
                <w:szCs w:val="14"/>
                <w:i w:val="1"/>
                <w:iCs w:val="1"/>
                <w:color w:val="auto"/>
                <w:w w:val="90"/>
              </w:rPr>
              <w:t>Identification Number)</w:t>
            </w:r>
          </w:p>
        </w:tc>
      </w:tr>
    </w:tbl>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 Redwood Shores Parkway, Suite 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649-3530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87630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Dennis M. Lanfear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Coherus BioSciences,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 Redwood Shores Parkway,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649-3530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96520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72" w:lineRule="exact"/>
        <w:rPr>
          <w:sz w:val="24"/>
          <w:szCs w:val="24"/>
          <w:color w:val="auto"/>
        </w:rPr>
      </w:pPr>
    </w:p>
    <w:tbl>
      <w:tblPr>
        <w:tblLayout w:type="fixed"/>
        <w:tblInd w:w="190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5080" w:type="dxa"/>
            <w:vAlign w:val="bottom"/>
          </w:tcPr>
          <w:p>
            <w:pPr>
              <w:ind w:left="780"/>
              <w:spacing w:after="0"/>
              <w:rPr>
                <w:sz w:val="20"/>
                <w:szCs w:val="20"/>
                <w:color w:val="auto"/>
              </w:rPr>
            </w:pPr>
            <w:r>
              <w:rPr>
                <w:rFonts w:ascii="Arial" w:cs="Arial" w:eastAsia="Arial" w:hAnsi="Arial"/>
                <w:sz w:val="14"/>
                <w:szCs w:val="14"/>
                <w:b w:val="1"/>
                <w:bCs w:val="1"/>
                <w:color w:val="auto"/>
              </w:rPr>
              <w:t>Copies to:</w:t>
            </w:r>
          </w:p>
        </w:tc>
      </w:tr>
      <w:tr>
        <w:trPr>
          <w:trHeight w:val="216"/>
        </w:trPr>
        <w:tc>
          <w:tcPr>
            <w:tcW w:w="2740" w:type="dxa"/>
            <w:vAlign w:val="bottom"/>
          </w:tcPr>
          <w:p>
            <w:pPr>
              <w:jc w:val="center"/>
              <w:ind w:right="672"/>
              <w:spacing w:after="0"/>
              <w:rPr>
                <w:sz w:val="20"/>
                <w:szCs w:val="20"/>
                <w:color w:val="auto"/>
              </w:rPr>
            </w:pPr>
            <w:r>
              <w:rPr>
                <w:rFonts w:ascii="Arial" w:cs="Arial" w:eastAsia="Arial" w:hAnsi="Arial"/>
                <w:sz w:val="18"/>
                <w:szCs w:val="18"/>
                <w:b w:val="1"/>
                <w:bCs w:val="1"/>
                <w:color w:val="auto"/>
                <w:w w:val="88"/>
              </w:rPr>
              <w:t>Alan C. Mendelson, Esq.</w:t>
            </w:r>
          </w:p>
        </w:tc>
        <w:tc>
          <w:tcPr>
            <w:tcW w:w="5080" w:type="dxa"/>
            <w:vAlign w:val="bottom"/>
          </w:tcPr>
          <w:p>
            <w:pPr>
              <w:jc w:val="center"/>
              <w:ind w:left="2855"/>
              <w:spacing w:after="0"/>
              <w:rPr>
                <w:sz w:val="20"/>
                <w:szCs w:val="20"/>
                <w:color w:val="auto"/>
              </w:rPr>
            </w:pPr>
            <w:r>
              <w:rPr>
                <w:rFonts w:ascii="Arial" w:cs="Arial" w:eastAsia="Arial" w:hAnsi="Arial"/>
                <w:sz w:val="18"/>
                <w:szCs w:val="18"/>
                <w:b w:val="1"/>
                <w:bCs w:val="1"/>
                <w:color w:val="auto"/>
                <w:w w:val="87"/>
              </w:rPr>
              <w:t>Alan F. Denenberg, Esq.</w:t>
            </w:r>
          </w:p>
        </w:tc>
      </w:tr>
      <w:tr>
        <w:trPr>
          <w:trHeight w:val="216"/>
        </w:trPr>
        <w:tc>
          <w:tcPr>
            <w:tcW w:w="2740" w:type="dxa"/>
            <w:vAlign w:val="bottom"/>
          </w:tcPr>
          <w:p>
            <w:pPr>
              <w:jc w:val="center"/>
              <w:ind w:right="652"/>
              <w:spacing w:after="0"/>
              <w:rPr>
                <w:sz w:val="20"/>
                <w:szCs w:val="20"/>
                <w:color w:val="auto"/>
              </w:rPr>
            </w:pPr>
            <w:r>
              <w:rPr>
                <w:rFonts w:ascii="Arial" w:cs="Arial" w:eastAsia="Arial" w:hAnsi="Arial"/>
                <w:sz w:val="18"/>
                <w:szCs w:val="18"/>
                <w:b w:val="1"/>
                <w:bCs w:val="1"/>
                <w:color w:val="auto"/>
                <w:w w:val="94"/>
              </w:rPr>
              <w:t>Latham &amp; Watkins LLP</w:t>
            </w:r>
          </w:p>
        </w:tc>
        <w:tc>
          <w:tcPr>
            <w:tcW w:w="5080" w:type="dxa"/>
            <w:vAlign w:val="bottom"/>
          </w:tcPr>
          <w:p>
            <w:pPr>
              <w:jc w:val="center"/>
              <w:ind w:left="2855"/>
              <w:spacing w:after="0"/>
              <w:rPr>
                <w:sz w:val="20"/>
                <w:szCs w:val="20"/>
                <w:color w:val="auto"/>
              </w:rPr>
            </w:pPr>
            <w:r>
              <w:rPr>
                <w:rFonts w:ascii="Arial" w:cs="Arial" w:eastAsia="Arial" w:hAnsi="Arial"/>
                <w:sz w:val="18"/>
                <w:szCs w:val="18"/>
                <w:b w:val="1"/>
                <w:bCs w:val="1"/>
                <w:color w:val="auto"/>
                <w:w w:val="92"/>
              </w:rPr>
              <w:t>Davis Polk &amp; Wardwell LLP</w:t>
            </w:r>
          </w:p>
        </w:tc>
      </w:tr>
      <w:tr>
        <w:trPr>
          <w:trHeight w:val="216"/>
        </w:trPr>
        <w:tc>
          <w:tcPr>
            <w:tcW w:w="2740" w:type="dxa"/>
            <w:vAlign w:val="bottom"/>
          </w:tcPr>
          <w:p>
            <w:pPr>
              <w:jc w:val="center"/>
              <w:ind w:right="672"/>
              <w:spacing w:after="0"/>
              <w:rPr>
                <w:sz w:val="20"/>
                <w:szCs w:val="20"/>
                <w:color w:val="auto"/>
              </w:rPr>
            </w:pPr>
            <w:r>
              <w:rPr>
                <w:rFonts w:ascii="Arial" w:cs="Arial" w:eastAsia="Arial" w:hAnsi="Arial"/>
                <w:sz w:val="18"/>
                <w:szCs w:val="18"/>
                <w:b w:val="1"/>
                <w:bCs w:val="1"/>
                <w:color w:val="auto"/>
                <w:w w:val="87"/>
              </w:rPr>
              <w:t>140 Scott Drive</w:t>
            </w:r>
          </w:p>
        </w:tc>
        <w:tc>
          <w:tcPr>
            <w:tcW w:w="5080" w:type="dxa"/>
            <w:vAlign w:val="bottom"/>
          </w:tcPr>
          <w:p>
            <w:pPr>
              <w:jc w:val="center"/>
              <w:ind w:left="2855"/>
              <w:spacing w:after="0"/>
              <w:rPr>
                <w:sz w:val="20"/>
                <w:szCs w:val="20"/>
                <w:color w:val="auto"/>
              </w:rPr>
            </w:pPr>
            <w:r>
              <w:rPr>
                <w:rFonts w:ascii="Arial" w:cs="Arial" w:eastAsia="Arial" w:hAnsi="Arial"/>
                <w:sz w:val="18"/>
                <w:szCs w:val="18"/>
                <w:b w:val="1"/>
                <w:bCs w:val="1"/>
                <w:color w:val="auto"/>
                <w:w w:val="89"/>
              </w:rPr>
              <w:t>1600 El Camino Real</w:t>
            </w:r>
          </w:p>
        </w:tc>
      </w:tr>
      <w:tr>
        <w:trPr>
          <w:trHeight w:val="216"/>
        </w:trPr>
        <w:tc>
          <w:tcPr>
            <w:tcW w:w="2740" w:type="dxa"/>
            <w:vAlign w:val="bottom"/>
          </w:tcPr>
          <w:p>
            <w:pPr>
              <w:jc w:val="center"/>
              <w:ind w:right="672"/>
              <w:spacing w:after="0"/>
              <w:rPr>
                <w:sz w:val="20"/>
                <w:szCs w:val="20"/>
                <w:color w:val="auto"/>
              </w:rPr>
            </w:pPr>
            <w:r>
              <w:rPr>
                <w:rFonts w:ascii="Arial" w:cs="Arial" w:eastAsia="Arial" w:hAnsi="Arial"/>
                <w:sz w:val="18"/>
                <w:szCs w:val="18"/>
                <w:b w:val="1"/>
                <w:bCs w:val="1"/>
                <w:color w:val="auto"/>
                <w:w w:val="90"/>
              </w:rPr>
              <w:t>Menlo Park, CA 94025</w:t>
            </w:r>
          </w:p>
        </w:tc>
        <w:tc>
          <w:tcPr>
            <w:tcW w:w="5080" w:type="dxa"/>
            <w:vAlign w:val="bottom"/>
          </w:tcPr>
          <w:p>
            <w:pPr>
              <w:jc w:val="center"/>
              <w:ind w:left="2855"/>
              <w:spacing w:after="0"/>
              <w:rPr>
                <w:sz w:val="20"/>
                <w:szCs w:val="20"/>
                <w:color w:val="auto"/>
              </w:rPr>
            </w:pPr>
            <w:r>
              <w:rPr>
                <w:rFonts w:ascii="Arial" w:cs="Arial" w:eastAsia="Arial" w:hAnsi="Arial"/>
                <w:sz w:val="18"/>
                <w:szCs w:val="18"/>
                <w:b w:val="1"/>
                <w:bCs w:val="1"/>
                <w:color w:val="auto"/>
                <w:w w:val="90"/>
              </w:rPr>
              <w:t>Menlo Park, CA 94025</w:t>
            </w:r>
          </w:p>
        </w:tc>
      </w:tr>
      <w:tr>
        <w:trPr>
          <w:trHeight w:val="216"/>
        </w:trPr>
        <w:tc>
          <w:tcPr>
            <w:tcW w:w="2740" w:type="dxa"/>
            <w:vAlign w:val="bottom"/>
          </w:tcPr>
          <w:p>
            <w:pPr>
              <w:jc w:val="center"/>
              <w:ind w:right="672"/>
              <w:spacing w:after="0"/>
              <w:rPr>
                <w:sz w:val="20"/>
                <w:szCs w:val="20"/>
                <w:color w:val="auto"/>
              </w:rPr>
            </w:pPr>
            <w:r>
              <w:rPr>
                <w:rFonts w:ascii="Arial" w:cs="Arial" w:eastAsia="Arial" w:hAnsi="Arial"/>
                <w:sz w:val="18"/>
                <w:szCs w:val="18"/>
                <w:b w:val="1"/>
                <w:bCs w:val="1"/>
                <w:color w:val="auto"/>
                <w:w w:val="88"/>
              </w:rPr>
              <w:t>Telephone: (650) 328-4600</w:t>
            </w:r>
          </w:p>
        </w:tc>
        <w:tc>
          <w:tcPr>
            <w:tcW w:w="5080" w:type="dxa"/>
            <w:vAlign w:val="bottom"/>
          </w:tcPr>
          <w:p>
            <w:pPr>
              <w:jc w:val="center"/>
              <w:ind w:left="2855"/>
              <w:spacing w:after="0"/>
              <w:rPr>
                <w:sz w:val="20"/>
                <w:szCs w:val="20"/>
                <w:color w:val="auto"/>
              </w:rPr>
            </w:pPr>
            <w:r>
              <w:rPr>
                <w:rFonts w:ascii="Arial" w:cs="Arial" w:eastAsia="Arial" w:hAnsi="Arial"/>
                <w:sz w:val="18"/>
                <w:szCs w:val="18"/>
                <w:b w:val="1"/>
                <w:bCs w:val="1"/>
                <w:color w:val="auto"/>
                <w:w w:val="88"/>
              </w:rPr>
              <w:t>Telephone: (650) 752-2000</w:t>
            </w:r>
          </w:p>
        </w:tc>
      </w:tr>
      <w:tr>
        <w:trPr>
          <w:trHeight w:val="228"/>
        </w:trPr>
        <w:tc>
          <w:tcPr>
            <w:tcW w:w="2740" w:type="dxa"/>
            <w:vAlign w:val="bottom"/>
          </w:tcPr>
          <w:p>
            <w:pPr>
              <w:jc w:val="center"/>
              <w:ind w:right="672"/>
              <w:spacing w:after="0"/>
              <w:rPr>
                <w:sz w:val="20"/>
                <w:szCs w:val="20"/>
                <w:color w:val="auto"/>
              </w:rPr>
            </w:pPr>
            <w:r>
              <w:rPr>
                <w:rFonts w:ascii="Arial" w:cs="Arial" w:eastAsia="Arial" w:hAnsi="Arial"/>
                <w:sz w:val="18"/>
                <w:szCs w:val="18"/>
                <w:b w:val="1"/>
                <w:bCs w:val="1"/>
                <w:color w:val="auto"/>
                <w:w w:val="87"/>
              </w:rPr>
              <w:t>Facsimile: (650) 463-2600</w:t>
            </w:r>
          </w:p>
        </w:tc>
        <w:tc>
          <w:tcPr>
            <w:tcW w:w="5080" w:type="dxa"/>
            <w:vAlign w:val="bottom"/>
          </w:tcPr>
          <w:p>
            <w:pPr>
              <w:jc w:val="center"/>
              <w:ind w:left="2855"/>
              <w:spacing w:after="0"/>
              <w:rPr>
                <w:sz w:val="20"/>
                <w:szCs w:val="20"/>
                <w:color w:val="auto"/>
              </w:rPr>
            </w:pPr>
            <w:r>
              <w:rPr>
                <w:rFonts w:ascii="Arial" w:cs="Arial" w:eastAsia="Arial" w:hAnsi="Arial"/>
                <w:sz w:val="18"/>
                <w:szCs w:val="18"/>
                <w:b w:val="1"/>
                <w:bCs w:val="1"/>
                <w:color w:val="auto"/>
                <w:w w:val="87"/>
              </w:rPr>
              <w:t>Facsimile: (650) 752-2111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104140</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97"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As soon as practicable after the effective date of this Registration Statement.</w:t>
      </w:r>
    </w:p>
    <w:p>
      <w:pPr>
        <w:spacing w:after="0" w:line="57" w:lineRule="exact"/>
        <w:rPr>
          <w:sz w:val="24"/>
          <w:szCs w:val="24"/>
          <w:color w:val="auto"/>
        </w:rPr>
      </w:pPr>
    </w:p>
    <w:p>
      <w:pPr>
        <w:ind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ind w:right="2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ind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ind w:firstLine="342"/>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2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000" w:type="dxa"/>
            <w:vAlign w:val="bottom"/>
          </w:tcPr>
          <w:p>
            <w:pPr>
              <w:ind w:left="4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040" w:type="dxa"/>
            <w:vAlign w:val="bottom"/>
          </w:tcPr>
          <w:p>
            <w:pPr>
              <w:ind w:left="17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40" w:type="dxa"/>
            <w:vAlign w:val="bottom"/>
            <w:gridSpan w:val="2"/>
          </w:tcPr>
          <w:p>
            <w:pPr>
              <w:ind w:left="42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22"/>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40" w:type="dxa"/>
            <w:vAlign w:val="bottom"/>
          </w:tcPr>
          <w:p>
            <w:pPr>
              <w:ind w:left="560"/>
              <w:spacing w:after="0"/>
              <w:rPr>
                <w:sz w:val="20"/>
                <w:szCs w:val="20"/>
                <w:color w:val="auto"/>
              </w:rPr>
            </w:pPr>
            <w:r>
              <w:rPr>
                <w:rFonts w:ascii="Arial" w:cs="Arial" w:eastAsia="Arial" w:hAnsi="Arial"/>
                <w:sz w:val="18"/>
                <w:szCs w:val="18"/>
                <w:color w:val="auto"/>
                <w:w w:val="95"/>
              </w:rPr>
              <w:t>(Do not check if a smaller reporting company)</w:t>
            </w:r>
          </w:p>
        </w:tc>
        <w:tc>
          <w:tcPr>
            <w:tcW w:w="16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Arial" w:cs="Arial" w:eastAsia="Arial" w:hAnsi="Arial"/>
                <w:sz w:val="14"/>
                <w:szCs w:val="14"/>
                <w:b w:val="1"/>
                <w:bCs w:val="1"/>
                <w:color w:val="auto"/>
              </w:rPr>
              <w:t>CALCULATION OF REGISTRATION FEE</w:t>
            </w:r>
          </w:p>
        </w:tc>
        <w:tc>
          <w:tcPr>
            <w:tcW w:w="16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55"/>
        </w:trPr>
        <w:tc>
          <w:tcPr>
            <w:tcW w:w="2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6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6"/>
              </w:rPr>
              <w:t>Proposed maximum</w:t>
            </w:r>
          </w:p>
        </w:tc>
        <w:tc>
          <w:tcPr>
            <w:tcW w:w="15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aggregate</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Amount of</w:t>
            </w:r>
          </w:p>
        </w:tc>
      </w:tr>
      <w:tr>
        <w:trPr>
          <w:trHeight w:val="189"/>
        </w:trPr>
        <w:tc>
          <w:tcPr>
            <w:tcW w:w="20" w:type="dxa"/>
            <w:vAlign w:val="bottom"/>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604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Title of securities to be registered</w:t>
            </w:r>
          </w:p>
        </w:tc>
        <w:tc>
          <w:tcPr>
            <w:tcW w:w="16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8"/>
              </w:rPr>
              <w:t>offering price</w:t>
            </w:r>
            <w:r>
              <w:rPr>
                <w:rFonts w:ascii="Arial" w:cs="Arial" w:eastAsia="Arial" w:hAnsi="Arial"/>
                <w:sz w:val="21"/>
                <w:szCs w:val="21"/>
                <w:b w:val="1"/>
                <w:bCs w:val="1"/>
                <w:color w:val="auto"/>
                <w:w w:val="88"/>
                <w:vertAlign w:val="superscript"/>
              </w:rPr>
              <w:t>(1)(2)</w:t>
            </w:r>
          </w:p>
        </w:tc>
        <w:tc>
          <w:tcPr>
            <w:tcW w:w="15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1"/>
                <w:szCs w:val="21"/>
                <w:b w:val="1"/>
                <w:bCs w:val="1"/>
                <w:color w:val="auto"/>
                <w:w w:val="90"/>
                <w:vertAlign w:val="superscript"/>
              </w:rPr>
              <w:t>(3)</w:t>
            </w:r>
          </w:p>
        </w:tc>
      </w:tr>
      <w:tr>
        <w:trPr>
          <w:trHeight w:val="210"/>
        </w:trPr>
        <w:tc>
          <w:tcPr>
            <w:tcW w:w="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$0.0001 par value per share</w:t>
            </w:r>
          </w:p>
        </w:tc>
        <w:tc>
          <w:tcPr>
            <w:tcW w:w="40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$115,000,000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$13,363</w:t>
            </w: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$15,000,000 of shares of common stock that may be purchased by the underwriters pursuant to an option to purchase additional shares.</w:t>
      </w: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registration fee pursuant to Rule 457(o) under the Securities Act of 1933, as amended, on the basis of the maximum aggregate offering price.</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6" w:lineRule="exact"/>
        <w:rPr>
          <w:sz w:val="24"/>
          <w:szCs w:val="24"/>
          <w:color w:val="auto"/>
        </w:rPr>
      </w:pPr>
    </w:p>
    <w:p>
      <w:pPr>
        <w:jc w:val="both"/>
        <w:ind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88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spacing w:after="0" w:line="321" w:lineRule="auto"/>
        <w:rPr>
          <w:sz w:val="20"/>
          <w:szCs w:val="20"/>
          <w:color w:val="auto"/>
        </w:rPr>
      </w:pPr>
      <w:r>
        <w:rPr>
          <w:rFonts w:ascii="Arial" w:cs="Arial" w:eastAsia="Arial" w:hAnsi="Arial"/>
          <w:sz w:val="12"/>
          <w:szCs w:val="12"/>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March 30,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203835</wp:posOffset>
            </wp:positionV>
            <wp:extent cx="1972310" cy="1071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231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offering $100,000,000 of shares of our common stock. Our common stock is listed on The NASDAQ Global Market under the symbol “CHRS.” At an assumed offering price of $28.41, the last reported sale price of our common stock on March 27, 2015, we would be offering 3,519,887 shares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under the federal securities laws and are subject to reduced public company reporting requirements.</w:t>
      </w:r>
    </w:p>
    <w:p>
      <w:pPr>
        <w:spacing w:after="0" w:line="233"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40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1"/>
                <w:szCs w:val="11"/>
                <w:color w:val="auto"/>
              </w:rPr>
              <w:t>(1)</w:t>
            </w:r>
          </w:p>
        </w:tc>
        <w:tc>
          <w:tcPr>
            <w:tcW w:w="3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commissions and estimated offering expenses.</w:t>
      </w:r>
    </w:p>
    <w:p>
      <w:pPr>
        <w:spacing w:after="0" w:line="25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intend to grant the underwriters the option to purchase up to an additional $15,000,000 of shares of our common stock from us at the public offering price less underwriting discounts and commissions. The underwriters can exercise this option at any time within 30 days after the date of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of common stock to investors on</w:t>
            </w:r>
          </w:p>
        </w:tc>
        <w:tc>
          <w:tcPr>
            <w:tcW w:w="96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96" w:lineRule="exact"/>
        <w:rPr>
          <w:sz w:val="20"/>
          <w:szCs w:val="20"/>
          <w:color w:val="auto"/>
        </w:rPr>
      </w:pPr>
    </w:p>
    <w:p>
      <w:pPr>
        <w:spacing w:after="0"/>
        <w:tabs>
          <w:tab w:leader="none" w:pos="9580" w:val="left"/>
        </w:tabs>
        <w:rPr>
          <w:sz w:val="20"/>
          <w:szCs w:val="20"/>
          <w:color w:val="auto"/>
        </w:rPr>
      </w:pP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28"/>
          <w:szCs w:val="28"/>
          <w:b w:val="1"/>
          <w:bCs w:val="1"/>
          <w:color w:val="auto"/>
        </w:rPr>
        <w:t>Credit Suisse</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Cowen and Company</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2015</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gridSpan w:val="1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w w:val="73"/>
              </w:rPr>
              <w:t>Page</w:t>
            </w:r>
          </w:p>
        </w:tc>
        <w:tc>
          <w:tcPr>
            <w:tcW w:w="4880" w:type="dxa"/>
            <w:vAlign w:val="bottom"/>
            <w:gridSpan w:val="11"/>
            <w:vMerge w:val="restart"/>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DESCRIPTION OF CAPITAL STOCK</w:t>
              </w:r>
            </w:hyperlink>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5100" w:type="dxa"/>
            <w:vAlign w:val="bottom"/>
            <w:gridSpan w:val="12"/>
            <w:vMerge w:val="continue"/>
          </w:tcPr>
          <w:p>
            <w:pPr>
              <w:spacing w:after="0"/>
              <w:rPr>
                <w:sz w:val="13"/>
                <w:szCs w:val="13"/>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40" w:type="dxa"/>
            <w:vAlign w:val="bottom"/>
          </w:tcPr>
          <w:p>
            <w:pPr>
              <w:spacing w:after="0"/>
              <w:rPr>
                <w:sz w:val="13"/>
                <w:szCs w:val="13"/>
                <w:color w:val="auto"/>
              </w:rPr>
            </w:pPr>
          </w:p>
        </w:tc>
        <w:tc>
          <w:tcPr>
            <w:tcW w:w="488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3"/>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RISK FACTORS</w:t>
              </w:r>
            </w:hyperlink>
          </w:p>
        </w:tc>
        <w:tc>
          <w:tcPr>
            <w:tcW w:w="800" w:type="dxa"/>
            <w:vAlign w:val="bottom"/>
            <w:gridSpan w:val="4"/>
          </w:tcPr>
          <w:p>
            <w:pPr>
              <w:spacing w:after="0"/>
              <w:rPr>
                <w:sz w:val="18"/>
                <w:szCs w:val="18"/>
                <w:color w:val="auto"/>
              </w:rPr>
            </w:pPr>
          </w:p>
        </w:tc>
        <w:tc>
          <w:tcPr>
            <w:tcW w:w="3080" w:type="dxa"/>
            <w:vAlign w:val="bottom"/>
            <w:gridSpan w:val="5"/>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4880" w:type="dxa"/>
            <w:vAlign w:val="bottom"/>
            <w:gridSpan w:val="1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SHARES ELIGIBLE FOR FUTURE SALE</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SPECIAL NOTE REGARDING FORWARD-LOOKING</w:t>
              </w:r>
            </w:hyperlink>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80" w:type="dxa"/>
            <w:vAlign w:val="bottom"/>
            <w:gridSpan w:val="11"/>
          </w:tcPr>
          <w:p>
            <w:pPr>
              <w:spacing w:after="0" w:line="196" w:lineRule="exact"/>
              <w:rPr>
                <w:rFonts w:ascii="Arial" w:cs="Arial" w:eastAsia="Arial" w:hAnsi="Arial"/>
                <w:sz w:val="18"/>
                <w:szCs w:val="18"/>
                <w:color w:val="0000EE"/>
                <w:w w:val="98"/>
              </w:rPr>
            </w:pPr>
            <w:hyperlink w:anchor="page83">
              <w:r>
                <w:rPr>
                  <w:rFonts w:ascii="Arial" w:cs="Arial" w:eastAsia="Arial" w:hAnsi="Arial"/>
                  <w:sz w:val="18"/>
                  <w:szCs w:val="18"/>
                  <w:color w:val="0000EE"/>
                  <w:w w:val="98"/>
                </w:rPr>
                <w:t>MATERIAL U.S. FEDERAL INCOME TAX CONSEQUENCES</w:t>
              </w:r>
            </w:hyperlink>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STATEMENTS</w:t>
              </w:r>
            </w:hyperlink>
          </w:p>
        </w:tc>
        <w:tc>
          <w:tcPr>
            <w:tcW w:w="2720" w:type="dxa"/>
            <w:vAlign w:val="bottom"/>
            <w:tcBorders>
              <w:top w:val="single" w:sz="8" w:color="0000EE"/>
            </w:tcBorders>
            <w:gridSpan w:val="7"/>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59</w:t>
            </w:r>
          </w:p>
        </w:tc>
        <w:tc>
          <w:tcPr>
            <w:tcW w:w="220" w:type="dxa"/>
            <w:vAlign w:val="bottom"/>
            <w:tcBorders>
              <w:top w:val="single" w:sz="8" w:color="0000EE"/>
            </w:tcBorders>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TO NON-U.S. HOLDERS</w:t>
              </w:r>
            </w:hyperlink>
          </w:p>
        </w:tc>
        <w:tc>
          <w:tcPr>
            <w:tcW w:w="2540" w:type="dxa"/>
            <w:vAlign w:val="bottom"/>
            <w:tcBorders>
              <w:top w:val="single" w:sz="8" w:color="0000EE"/>
            </w:tcBorders>
            <w:gridSpan w:val="5"/>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3240" w:type="dxa"/>
            <w:vAlign w:val="bottom"/>
            <w:gridSpan w:val="9"/>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MARKET, INDUSTRY AND OTHER DATA</w:t>
              </w:r>
            </w:hyperlink>
          </w:p>
        </w:tc>
        <w:tc>
          <w:tcPr>
            <w:tcW w:w="1860" w:type="dxa"/>
            <w:vAlign w:val="bottom"/>
            <w:gridSpan w:val="3"/>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61</w:t>
            </w:r>
          </w:p>
        </w:tc>
        <w:tc>
          <w:tcPr>
            <w:tcW w:w="4880" w:type="dxa"/>
            <w:vAlign w:val="bottom"/>
            <w:gridSpan w:val="1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UNDERWRITING</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USE OF PROCEEDS</w:t>
              </w:r>
            </w:hyperlink>
          </w:p>
        </w:tc>
        <w:tc>
          <w:tcPr>
            <w:tcW w:w="1720" w:type="dxa"/>
            <w:vAlign w:val="bottom"/>
            <w:gridSpan w:val="3"/>
          </w:tcPr>
          <w:p>
            <w:pPr>
              <w:spacing w:after="0"/>
              <w:rPr>
                <w:sz w:val="17"/>
                <w:szCs w:val="17"/>
                <w:color w:val="auto"/>
              </w:rPr>
            </w:pPr>
          </w:p>
        </w:tc>
        <w:tc>
          <w:tcPr>
            <w:tcW w:w="1860" w:type="dxa"/>
            <w:vAlign w:val="bottom"/>
            <w:gridSpan w:val="3"/>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62</w:t>
            </w:r>
          </w:p>
        </w:tc>
        <w:tc>
          <w:tcPr>
            <w:tcW w:w="4880" w:type="dxa"/>
            <w:vAlign w:val="bottom"/>
            <w:gridSpan w:val="1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LEGAL MATTERS</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PRICE RANGE OF OUR COMMON STOCK</w:t>
              </w:r>
            </w:hyperlink>
          </w:p>
        </w:tc>
        <w:tc>
          <w:tcPr>
            <w:tcW w:w="1800" w:type="dxa"/>
            <w:vAlign w:val="bottom"/>
            <w:gridSpan w:val="2"/>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63</w:t>
            </w: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EXPERTS</w:t>
              </w:r>
            </w:hyperlink>
          </w:p>
        </w:tc>
        <w:tc>
          <w:tcPr>
            <w:tcW w:w="4120" w:type="dxa"/>
            <w:vAlign w:val="bottom"/>
            <w:gridSpan w:val="9"/>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5100" w:type="dxa"/>
            <w:vAlign w:val="bottom"/>
            <w:gridSpan w:val="1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DIVIDEND POLICY</w:t>
              </w:r>
            </w:hyperlink>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64</w:t>
            </w:r>
          </w:p>
        </w:tc>
        <w:tc>
          <w:tcPr>
            <w:tcW w:w="4880" w:type="dxa"/>
            <w:vAlign w:val="bottom"/>
            <w:gridSpan w:val="1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WHERE YOU CAN FIND MORE INFORMATION</w:t>
              </w:r>
            </w:hyperlink>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CAPITALIZATION</w:t>
              </w:r>
            </w:hyperlink>
          </w:p>
        </w:tc>
        <w:tc>
          <w:tcPr>
            <w:tcW w:w="100" w:type="dxa"/>
            <w:vAlign w:val="bottom"/>
          </w:tcPr>
          <w:p>
            <w:pPr>
              <w:spacing w:after="0"/>
              <w:rPr>
                <w:sz w:val="17"/>
                <w:szCs w:val="17"/>
                <w:color w:val="auto"/>
              </w:rPr>
            </w:pPr>
          </w:p>
        </w:tc>
        <w:tc>
          <w:tcPr>
            <w:tcW w:w="3580" w:type="dxa"/>
            <w:vAlign w:val="bottom"/>
            <w:gridSpan w:val="6"/>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65</w:t>
            </w:r>
          </w:p>
        </w:tc>
        <w:tc>
          <w:tcPr>
            <w:tcW w:w="4880" w:type="dxa"/>
            <w:vAlign w:val="bottom"/>
            <w:gridSpan w:val="1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INCORPORATION OF CERTAIN INFORMATION BY</w:t>
              </w:r>
            </w:hyperlink>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0000EE"/>
            </w:tcBorders>
            <w:gridSpan w:val="2"/>
          </w:tcPr>
          <w:p>
            <w:pPr>
              <w:spacing w:after="0" w:line="196"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DILUTION</w:t>
              </w:r>
            </w:hyperlink>
          </w:p>
        </w:tc>
        <w:tc>
          <w:tcPr>
            <w:tcW w:w="580" w:type="dxa"/>
            <w:vAlign w:val="bottom"/>
            <w:tcBorders>
              <w:top w:val="single" w:sz="8" w:color="0000EE"/>
            </w:tcBorders>
            <w:gridSpan w:val="3"/>
          </w:tcPr>
          <w:p>
            <w:pPr>
              <w:spacing w:after="0"/>
              <w:rPr>
                <w:sz w:val="17"/>
                <w:szCs w:val="17"/>
                <w:color w:val="auto"/>
              </w:rPr>
            </w:pPr>
          </w:p>
        </w:tc>
        <w:tc>
          <w:tcPr>
            <w:tcW w:w="3680" w:type="dxa"/>
            <w:vAlign w:val="bottom"/>
            <w:gridSpan w:val="7"/>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67</w:t>
            </w:r>
          </w:p>
        </w:tc>
        <w:tc>
          <w:tcPr>
            <w:tcW w:w="220" w:type="dxa"/>
            <w:vAlign w:val="bottom"/>
            <w:tcBorders>
              <w:top w:val="single" w:sz="8" w:color="0000EE"/>
            </w:tcBorders>
          </w:tcPr>
          <w:p>
            <w:pPr>
              <w:spacing w:after="0"/>
              <w:rPr>
                <w:sz w:val="17"/>
                <w:szCs w:val="17"/>
                <w:color w:val="auto"/>
              </w:rPr>
            </w:pPr>
          </w:p>
        </w:tc>
        <w:tc>
          <w:tcPr>
            <w:tcW w:w="3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REFERENCE</w:t>
              </w:r>
            </w:hyperlink>
          </w:p>
        </w:tc>
        <w:tc>
          <w:tcPr>
            <w:tcW w:w="88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PRINCIPAL STOCKHOLDERS</w:t>
              </w:r>
            </w:hyperlink>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information that is different from that contained in this prospectus, the documents incorporated by reference herein or in any free writing prospectus we may authorize to be delivered or made available to you. We take no responsibility for, and can provide no assurance as to the reliability of, any other information that others may give you. We and the underwriters are offering to sell shares of common stock and seeking offers to buy shares of common stock only in jurisdictions where offers and sales are permitted. The information contained in this prospectus and the documents incorporated by reference herein is accurate only as of the date on the front of this prospectus, or such documents, as applicable, regardless of the time of delivery of this prospectus, such documents or any sale of shares of our common stock.</w:t>
      </w:r>
    </w:p>
    <w:p>
      <w:pPr>
        <w:spacing w:after="0" w:line="3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Coherus BioSciences</w:t>
      </w:r>
      <w:r>
        <w:rPr>
          <w:rFonts w:ascii="Arial" w:cs="Arial" w:eastAsia="Arial" w:hAnsi="Arial"/>
          <w:sz w:val="10"/>
          <w:szCs w:val="10"/>
          <w:color w:val="auto"/>
        </w:rPr>
        <w:t>®</w:t>
      </w:r>
      <w:r>
        <w:rPr>
          <w:rFonts w:ascii="Arial" w:cs="Arial" w:eastAsia="Arial" w:hAnsi="Arial"/>
          <w:sz w:val="16"/>
          <w:szCs w:val="16"/>
          <w:color w:val="auto"/>
        </w:rPr>
        <w:t xml:space="preserve"> and our logo are some of our trademarks used in this prospectus. This prospectus and the documents incorporated by reference herein also include trademarks, tradenames and service marks that are the property of other organizations. Solely for convenience, our trademarks and tradenames referred to in this prospectus appear without the </w:t>
      </w:r>
      <w:r>
        <w:rPr>
          <w:rFonts w:ascii="Arial" w:cs="Arial" w:eastAsia="Arial" w:hAnsi="Arial"/>
          <w:sz w:val="10"/>
          <w:szCs w:val="10"/>
          <w:color w:val="auto"/>
        </w:rPr>
        <w:t>®</w:t>
      </w:r>
      <w:r>
        <w:rPr>
          <w:rFonts w:ascii="Arial" w:cs="Arial" w:eastAsia="Arial" w:hAnsi="Arial"/>
          <w:sz w:val="16"/>
          <w:szCs w:val="16"/>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96"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i w:val="1"/>
          <w:iCs w:val="1"/>
          <w:color w:val="auto"/>
        </w:rPr>
        <w:t>This summary highlights the information contained in or incorporated by reference in this prospectus. This summary provides an overview of selected information and does not contain all of the information you should consider before buying our common stock. Therefore, you should read the entire prospectus carefully, especially the “Risk Factors” section beginning on page 11 and our consolidated financial statements and the related notes that are incorporated by reference herein, before deciding to invest in our common stock. In this prospectus, unless the context otherwise requires, references to “we,” “us,” “our,” “Coherus,” or “Coherus BioSciences,” refer to Coherus BioSciences, Inc. and its subsidiaries.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jc w:val="both"/>
        <w:ind w:left="200" w:firstLine="443"/>
        <w:spacing w:after="0" w:line="254" w:lineRule="auto"/>
        <w:rPr>
          <w:sz w:val="20"/>
          <w:szCs w:val="20"/>
          <w:color w:val="auto"/>
        </w:rPr>
      </w:pPr>
      <w:r>
        <w:rPr>
          <w:rFonts w:ascii="Arial" w:cs="Arial" w:eastAsia="Arial" w:hAnsi="Arial"/>
          <w:sz w:val="18"/>
          <w:szCs w:val="18"/>
          <w:color w:val="auto"/>
        </w:rPr>
        <w:t>We are a late-stage clinical biologics platform company focused on the global biosimilar market. Biosimilars are an emerging class of protein-based therapeutics with high similarity to approved originator products on the basis of various physicochemical and structural properties, as well as in terms of safety, purity and potency. Our goal is to become a global leader in the biosimilar market by leveraging our team’s collective expertise in key areas such as process science, analytical characterization, protein production and clinical-regulatory development. Since our founding in 2010, we have advanced one product candidate into Phase 3 clinical development, two others into or through Phase 1 clinical development and entered into partnerships with two global pharmaceutical companies.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summarizes key information regarding our current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firstLine="443"/>
        <w:spacing w:after="0" w:line="285" w:lineRule="auto"/>
        <w:rPr>
          <w:sz w:val="20"/>
          <w:szCs w:val="20"/>
          <w:color w:val="auto"/>
        </w:rPr>
      </w:pPr>
      <w:r>
        <w:rPr>
          <w:rFonts w:ascii="Arial" w:cs="Arial" w:eastAsia="Arial" w:hAnsi="Arial"/>
          <w:sz w:val="16"/>
          <w:szCs w:val="16"/>
          <w:color w:val="auto"/>
        </w:rPr>
        <w:t>Our clinical stage pipeline consists of two anti-inflammatory agents targeting tumor necrosis factor, or TNF, and a long-acting form of granulocyte colony-stimulating factor, or G-CSF. Our most clinically advanced anti-TNF product candidate, CHS-0214, is being developed as an etanercept (Enbrel) biosimilar that we have partnered with Baxter International Inc., Baxter Healthcare Corporation and Baxter Healthcare SA and Daiichi Sankyo Company, Limited to develop and commercialize in key markets outside of the United States. We are currently enrolling two Phase 3 clinical trials with CHS-0214 to support the planned filing of a marketing application in Europe in 2016. Our second anti-TNF product candidate, CHS-1420, is being developed as an adalimumab (Humira) biosimilar. This product successfully completed a pivotal Phase 1 PK study in August 2014 by meeting the primary study endpoint. We plan to initiate a Phase 3 trial during the first half of 2015 to support the planned filing of a marketing application in the United States in 2016 and the European Union, or E.U., in 2017. Our long-acting G-CSF product candidate, CHS-1701, is being developed as a pegfilgrastim (Neulasta) biosimilar. On October 9, 2014 we met with the FDA to discuss our development plan for CHS-1701. We informed the agency of our decision to transition from a 351(a) (novel biologic) approval pathway to a 351(k) (biosimilar) pathway. We believe the 351(k) (biosimilar) approval pathway may enable us to file for U.S. regulatory approval for CHS-1701 in the 4th quarter of 2015 or 1st quarter of 2016, approximately 6 to 12 months earlier than we project under a 351(a) (novel biologic) approval pathway. In March 2015, we received written feedback from the FDA on our development plan for CHS-1701 and we initiated a pivotal pharmacokinetic and pharmacodynamic study for CHS-1701 in the United States, which, if positive, we believe will support the planned filing of a biologics license application, or BLA, in the United States. An additional immunogenicity study is planned in healthy volunteers pursuant to this BLA and is projected to conclude in 2015. We continue to believe it may be possible to advance CHS-1701 to a 351(k) (biosimilar) approval application without a collaboration or licensing partner. We have retained full U.S. commercial rights to all of our product candidates and plan to seek strategic partnerships in territories outside of the United States.</w:t>
      </w:r>
    </w:p>
    <w:p>
      <w:pPr>
        <w:spacing w:after="0" w:line="40" w:lineRule="exact"/>
        <w:rPr>
          <w:sz w:val="20"/>
          <w:szCs w:val="20"/>
          <w:color w:val="auto"/>
        </w:rPr>
      </w:pPr>
    </w:p>
    <w:p>
      <w:pPr>
        <w:jc w:val="both"/>
        <w:ind w:left="200" w:firstLine="443"/>
        <w:spacing w:after="0" w:line="289" w:lineRule="auto"/>
        <w:rPr>
          <w:sz w:val="20"/>
          <w:szCs w:val="20"/>
          <w:color w:val="auto"/>
        </w:rPr>
      </w:pPr>
      <w:r>
        <w:rPr>
          <w:rFonts w:ascii="Arial" w:cs="Arial" w:eastAsia="Arial" w:hAnsi="Arial"/>
          <w:sz w:val="16"/>
          <w:szCs w:val="16"/>
          <w:color w:val="auto"/>
        </w:rPr>
        <w:t>Our team includes industry veterans with decades of experience in pioneering biologics companies, such as Amgen Inc., or Amgen, and Genentech Inc., or Genentech, where they were responsible for leading, and in some cases establishing, these organizations’ core capabilities in process development, protein manufacturing and analytical research and development. Our business model places our internal team at the center of a coordinated development effort in which our senior team of experts focuses on the highly-specialized, strategic and technical aspects of biosimilar development that are core to our business and difficult to replicate. For other aspects of our operations that require greater scale or more capital-intensive investments, we have established a network of highly-competent external organizations and strategic partnerships that we believe will provide the competitive scale required to address the global biosimilar market opportunity. Many such collaborators are also our equity holders, which we believe results in a strategically aligned consortium designed to select, evaluate and develop biosimilar product candidates in an efficient, cost-effective manner.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on Biosimilars</w:t>
      </w:r>
    </w:p>
    <w:p>
      <w:pPr>
        <w:spacing w:after="0" w:line="96" w:lineRule="exact"/>
        <w:rPr>
          <w:sz w:val="20"/>
          <w:szCs w:val="20"/>
          <w:color w:val="auto"/>
        </w:rPr>
      </w:pPr>
    </w:p>
    <w:p>
      <w:pPr>
        <w:jc w:val="both"/>
        <w:ind w:left="200" w:firstLine="443"/>
        <w:spacing w:after="0" w:line="254" w:lineRule="auto"/>
        <w:rPr>
          <w:sz w:val="20"/>
          <w:szCs w:val="20"/>
          <w:color w:val="auto"/>
        </w:rPr>
      </w:pPr>
      <w:r>
        <w:rPr>
          <w:rFonts w:ascii="Arial" w:cs="Arial" w:eastAsia="Arial" w:hAnsi="Arial"/>
          <w:sz w:val="18"/>
          <w:szCs w:val="18"/>
          <w:color w:val="auto"/>
        </w:rPr>
        <w:t>The global market opportunity for biosimilars is emerging as a result of several factors. Through 2020, 31 “blockbuster” biologics, each with annual sales in excess of $1 billion, face loss of patent exclusivity in at least one major pharmaceutical market. In response, regulatory agencies around the world have begun to define new approval pathways which we believe will help streamline the biosimilar approval process. Escalating healthcare costs and healthcare reforms have also been major drivers of the advancement of the biosimilar market, as governments and insurers are in search of mechanisms to contain costs and expand patient access without sacrificing quality of care. Consequently, we believe there is tremendous interest in bringing high-quality, lower-priced biologic therapeutics to market.</w:t>
      </w:r>
    </w:p>
    <w:p>
      <w:pPr>
        <w:spacing w:after="0" w:line="63"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While the potential market opportunity is significant, biosimilar product development poses a number of challenges that distinguish it from traditional, small-molecule generic product development. Heterogeneity arising from the physicochemical complexity of biologic therapeutics creates significant technical and scientific challenges in the context of their replication as biosimilar products. An example of such variability is related to</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glycosylation, or the attachment of sugars at certain amino acids, which can be critical to the half-life, efficacy and safety of the therapeutic. Accordingly, heterogeneity and inherent variation is a fundamental consideration with respect to establishing biosimilarity to an originator product to support regulatory approval.</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essential elements of our platform that distinguish our development approach include:</w:t>
      </w:r>
    </w:p>
    <w:p>
      <w:pPr>
        <w:spacing w:after="0" w:line="90" w:lineRule="exact"/>
        <w:rPr>
          <w:sz w:val="20"/>
          <w:szCs w:val="20"/>
          <w:color w:val="auto"/>
        </w:rPr>
      </w:pPr>
    </w:p>
    <w:p>
      <w:pPr>
        <w:jc w:val="both"/>
        <w:ind w:left="1060" w:hanging="323"/>
        <w:spacing w:after="0" w:line="30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Advanced proprietary analytics. </w:t>
      </w:r>
      <w:r>
        <w:rPr>
          <w:rFonts w:ascii="Arial" w:cs="Arial" w:eastAsia="Arial" w:hAnsi="Arial"/>
          <w:sz w:val="16"/>
          <w:szCs w:val="16"/>
          <w:color w:val="auto"/>
        </w:rPr>
        <w:t>Regulators require extensive and sophisticated analytics to demonstrate comparability with the originator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molecule. Analytical techniques, such as mass spectrometry, which enable the measurement of the structure and elemental composition of individual molecules, are an essential tool in this process. We have invested a substantial part of our capital budget in this area.</w:t>
      </w:r>
    </w:p>
    <w:p>
      <w:pPr>
        <w:spacing w:after="0" w:line="25" w:lineRule="exact"/>
        <w:rPr>
          <w:rFonts w:ascii="Arial" w:cs="Arial" w:eastAsia="Arial" w:hAnsi="Arial"/>
          <w:sz w:val="16"/>
          <w:szCs w:val="16"/>
          <w:color w:val="auto"/>
        </w:rPr>
      </w:pPr>
    </w:p>
    <w:p>
      <w:pPr>
        <w:jc w:val="both"/>
        <w:ind w:left="1060" w:right="20" w:hanging="323"/>
        <w:spacing w:after="0" w:line="25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Molecular tuning to achieve biosimilarity. </w:t>
      </w:r>
      <w:r>
        <w:rPr>
          <w:rFonts w:ascii="Arial" w:cs="Arial" w:eastAsia="Arial" w:hAnsi="Arial"/>
          <w:sz w:val="18"/>
          <w:szCs w:val="18"/>
          <w:color w:val="auto"/>
        </w:rPr>
        <w:t>Accurately reproducing the glycosylation pattern of the originator protein is particularly critical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development of a biosimilar, as this profile can substantially impact pharmacokinetics and biologic activity. By conducting a number of critical steps in a parallel fashion, we have been able to complete this process for our etanercept (Enbrel) biosimilar product candidate in an extremely short period of time while achieving a high degree of biosimilarity. The same parallel process has been applied to our other biosimilar product candidates.</w:t>
      </w:r>
    </w:p>
    <w:p>
      <w:pPr>
        <w:spacing w:after="0" w:line="61" w:lineRule="exact"/>
        <w:rPr>
          <w:rFonts w:ascii="Arial" w:cs="Arial" w:eastAsia="Arial" w:hAnsi="Arial"/>
          <w:sz w:val="18"/>
          <w:szCs w:val="18"/>
          <w:color w:val="auto"/>
        </w:rPr>
      </w:pPr>
    </w:p>
    <w:p>
      <w:pPr>
        <w:jc w:val="both"/>
        <w:ind w:left="1060" w:hanging="323"/>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Process science. </w:t>
      </w:r>
      <w:r>
        <w:rPr>
          <w:rFonts w:ascii="Arial" w:cs="Arial" w:eastAsia="Arial" w:hAnsi="Arial"/>
          <w:sz w:val="18"/>
          <w:szCs w:val="18"/>
          <w:color w:val="auto"/>
        </w:rPr>
        <w:t>We design and develop systems that integrate state-of-the-art growth media, chromatography resins, filters and techniques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 our products. We have demonstrated that our protein production processes are highly scalable, extremely robust and easily automated, resulting in consistent product quality, biosimilarity and yield.</w:t>
      </w:r>
    </w:p>
    <w:p>
      <w:pPr>
        <w:spacing w:after="0" w:line="59" w:lineRule="exact"/>
        <w:rPr>
          <w:rFonts w:ascii="Arial" w:cs="Arial" w:eastAsia="Arial" w:hAnsi="Arial"/>
          <w:sz w:val="18"/>
          <w:szCs w:val="18"/>
          <w:color w:val="auto"/>
        </w:rPr>
      </w:pPr>
    </w:p>
    <w:p>
      <w:pPr>
        <w:jc w:val="both"/>
        <w:ind w:left="1060" w:hanging="323"/>
        <w:spacing w:after="0" w:line="288"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Intellectual Property. </w:t>
      </w:r>
      <w:r>
        <w:rPr>
          <w:rFonts w:ascii="Arial" w:cs="Arial" w:eastAsia="Arial" w:hAnsi="Arial"/>
          <w:sz w:val="16"/>
          <w:szCs w:val="16"/>
          <w:color w:val="auto"/>
        </w:rPr>
        <w:t>We believe our expertise and investment in the discovery of proprietary technologies, such as in the area of protein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stabilization, enhances our ability to create intellectual property that can enable us to innovate around patent protected features of originator products. For example, stabilization of protein in solution (the protein’s ability to maintain its three dimensional structure and biological activity) is an essential part of obtaining a commercially viable therapeutic. While originator companies have pursued a strategy of establishing intellectual property around certain patent protected formulations, we believe our investment in proprietary formulation technology allows us to differentiate our products in order to avoid such patent protected formulations, thereby enabling earlier market entry than otherwise would be possible. In particular, we note that the originator formulations for Humira and Enbrel are subject to unexpired patents that specify use of various formulation ingredients and properties. We have developed proprietary formulations for our Enbrel and Humira biosimilar products which do not require these features.</w:t>
      </w:r>
    </w:p>
    <w:p>
      <w:pPr>
        <w:spacing w:after="0" w:line="38" w:lineRule="exact"/>
        <w:rPr>
          <w:rFonts w:ascii="Arial" w:cs="Arial" w:eastAsia="Arial" w:hAnsi="Arial"/>
          <w:sz w:val="16"/>
          <w:szCs w:val="16"/>
          <w:color w:val="auto"/>
        </w:rPr>
      </w:pPr>
    </w:p>
    <w:p>
      <w:pPr>
        <w:jc w:val="both"/>
        <w:ind w:left="1060" w:hanging="323"/>
        <w:spacing w:after="0" w:line="30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Global regulatory strategy and clinical development. </w:t>
      </w:r>
      <w:r>
        <w:rPr>
          <w:rFonts w:ascii="Arial" w:cs="Arial" w:eastAsia="Arial" w:hAnsi="Arial"/>
          <w:sz w:val="16"/>
          <w:szCs w:val="16"/>
          <w:color w:val="auto"/>
        </w:rPr>
        <w:t>The global biosimilar regulatory environment is rapidly evolving and differs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from that of innovator products. We and our global partners have met with competent authorities in the United States, the E.U. and Japan and have gained deep insight into the regulatory rationale and nuanced approach required to successfully navigate global requirements.</w:t>
      </w:r>
    </w:p>
    <w:p>
      <w:pPr>
        <w:spacing w:after="0" w:line="26"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apply our platform to five key steps of biosimilar development that are designed to provide the analytical, nonclinical and clinical basis to establish biosimilarity and support regulatory approval of our product candidates. We have had meetings with regulatory agencies in several of the major regulated markets to discuss our three most advanced product candidates and the data that will be required to support marketing approval. The outcomes of these discussions have informed our clinical designs, product development and regulatory strategies.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Development Portfolio</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Anti-TNF pipeline: CHS-0214 and CHS-1420</w:t>
      </w:r>
    </w:p>
    <w:p>
      <w:pPr>
        <w:spacing w:after="0" w:line="90"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TNF belongs to a family of soluble protein mediators, or cytokines, that play an important role in disease progression across a number of inflammatory and chronic conditions. Several biologic agents have been developed that inhibit the inflammatory activity of TNF in the context of these diseases, which are collectively referred to as the anti-TNF class of therapeutics. Our anti-TNF product candidates, CHS-0214 and CHS-1420, are based on two of the leading products in this category, etanercept (Enbrel) and adalimumab (Humira), respectively. We selected these originator products as biosimilar development targets for the following reasons:</w:t>
      </w:r>
    </w:p>
    <w:p>
      <w:pPr>
        <w:spacing w:after="0" w:line="62" w:lineRule="exact"/>
        <w:rPr>
          <w:sz w:val="20"/>
          <w:szCs w:val="20"/>
          <w:color w:val="auto"/>
        </w:rPr>
      </w:pPr>
    </w:p>
    <w:p>
      <w:pPr>
        <w:jc w:val="both"/>
        <w:ind w:left="1060" w:hanging="323"/>
        <w:spacing w:after="0" w:line="306"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Large market opportunity. </w:t>
      </w:r>
      <w:r>
        <w:rPr>
          <w:rFonts w:ascii="Arial" w:cs="Arial" w:eastAsia="Arial" w:hAnsi="Arial"/>
          <w:sz w:val="16"/>
          <w:szCs w:val="16"/>
          <w:color w:val="auto"/>
        </w:rPr>
        <w:t>Global sales of Enbrel and Humira are projected to exceed $24 billion in 2017, representing over 60%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estimated global sales in the anti-TNF monoclonal antibody and TNF inhibitor markets in 2017. Approximately $19 billion of this estimated market is in territories in which we or our partners currently intend to commercialize our anti-TNF products.</w:t>
      </w:r>
    </w:p>
    <w:p>
      <w:pPr>
        <w:spacing w:after="0" w:line="25" w:lineRule="exact"/>
        <w:rPr>
          <w:rFonts w:ascii="Arial" w:cs="Arial" w:eastAsia="Arial" w:hAnsi="Arial"/>
          <w:sz w:val="16"/>
          <w:szCs w:val="16"/>
          <w:color w:val="auto"/>
        </w:rPr>
      </w:pPr>
    </w:p>
    <w:p>
      <w:pPr>
        <w:jc w:val="both"/>
        <w:ind w:left="106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Receptivity to biosimilars. </w:t>
      </w:r>
      <w:r>
        <w:rPr>
          <w:rFonts w:ascii="Arial" w:cs="Arial" w:eastAsia="Arial" w:hAnsi="Arial"/>
          <w:sz w:val="18"/>
          <w:szCs w:val="18"/>
          <w:color w:val="auto"/>
        </w:rPr>
        <w:t>Because anti-TNF agents are typically used to treat diseases where there is a low risk of imminent mortality,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physicians and payors will be inclined to support adoption of biosimilar anti-TNF agents that allow for rapid confirmation of safety and efficacy for the individual patient.</w:t>
      </w:r>
    </w:p>
    <w:p>
      <w:pPr>
        <w:spacing w:after="0" w:line="59" w:lineRule="exact"/>
        <w:rPr>
          <w:rFonts w:ascii="Arial" w:cs="Arial" w:eastAsia="Arial" w:hAnsi="Arial"/>
          <w:sz w:val="18"/>
          <w:szCs w:val="18"/>
          <w:color w:val="auto"/>
        </w:rPr>
      </w:pPr>
    </w:p>
    <w:p>
      <w:pPr>
        <w:jc w:val="both"/>
        <w:ind w:left="106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Technical barriers to entry. </w:t>
      </w:r>
      <w:r>
        <w:rPr>
          <w:rFonts w:ascii="Arial" w:cs="Arial" w:eastAsia="Arial" w:hAnsi="Arial"/>
          <w:sz w:val="18"/>
          <w:szCs w:val="18"/>
          <w:color w:val="auto"/>
        </w:rPr>
        <w:t>There are numerous challenges in the development of biosimilars to these reference products related to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such as glycosylation that we believe our specialized expertise in protein chemistry and process science will allow us to overcome.</w:t>
      </w:r>
    </w:p>
    <w:p>
      <w:pPr>
        <w:spacing w:after="0" w:line="59" w:lineRule="exact"/>
        <w:rPr>
          <w:rFonts w:ascii="Arial" w:cs="Arial" w:eastAsia="Arial" w:hAnsi="Arial"/>
          <w:sz w:val="18"/>
          <w:szCs w:val="18"/>
          <w:color w:val="auto"/>
        </w:rPr>
      </w:pPr>
    </w:p>
    <w:p>
      <w:pPr>
        <w:jc w:val="both"/>
        <w:ind w:left="1060" w:hanging="323"/>
        <w:spacing w:after="0" w:line="294"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Timing of patent expiration. </w:t>
      </w:r>
      <w:r>
        <w:rPr>
          <w:rFonts w:ascii="Arial" w:cs="Arial" w:eastAsia="Arial" w:hAnsi="Arial"/>
          <w:sz w:val="16"/>
          <w:szCs w:val="16"/>
          <w:color w:val="auto"/>
        </w:rPr>
        <w:t>The expiration of certain originator patents pertaining to etanercept (Enbrel) and adalimumab (Humira) in many</w:t>
      </w:r>
      <w:r>
        <w:rPr>
          <w:rFonts w:ascii="Arial" w:cs="Arial" w:eastAsia="Arial" w:hAnsi="Arial"/>
          <w:sz w:val="16"/>
          <w:szCs w:val="16"/>
          <w:i w:val="1"/>
          <w:iCs w:val="1"/>
          <w:color w:val="auto"/>
        </w:rPr>
        <w:t xml:space="preserve"> </w:t>
      </w:r>
      <w:r>
        <w:rPr>
          <w:rFonts w:ascii="Arial" w:cs="Arial" w:eastAsia="Arial" w:hAnsi="Arial"/>
          <w:sz w:val="16"/>
          <w:szCs w:val="16"/>
          <w:color w:val="auto"/>
        </w:rPr>
        <w:t>major markets offers us a near-term opportunity to introduce biosimilar competitors in these markets. We believe we would not be precluded by the originator’s patents from introducing an etanercept (Enbrel) biosimilar candidate in Europe after August 2015, or in Japan after September 2015. In the case of adalimumab (Humira), we do not believe originator patents would preclude us from introducing a biosimilar in the United States after December 2016, in Europe after October 2018 and in Japan after August 2018 (for rheumatoid arthritis) or May 2020 (for psoriasis).</w:t>
      </w:r>
    </w:p>
    <w:p>
      <w:pPr>
        <w:spacing w:after="0" w:line="35" w:lineRule="exact"/>
        <w:rPr>
          <w:sz w:val="20"/>
          <w:szCs w:val="20"/>
          <w:color w:val="auto"/>
        </w:rPr>
      </w:pPr>
    </w:p>
    <w:p>
      <w:pPr>
        <w:jc w:val="both"/>
        <w:ind w:left="200" w:firstLine="443"/>
        <w:spacing w:after="0" w:line="253" w:lineRule="auto"/>
        <w:rPr>
          <w:sz w:val="20"/>
          <w:szCs w:val="20"/>
          <w:color w:val="auto"/>
        </w:rPr>
      </w:pPr>
      <w:r>
        <w:rPr>
          <w:rFonts w:ascii="Arial" w:cs="Arial" w:eastAsia="Arial" w:hAnsi="Arial"/>
          <w:sz w:val="18"/>
          <w:szCs w:val="18"/>
          <w:i w:val="1"/>
          <w:iCs w:val="1"/>
          <w:color w:val="auto"/>
        </w:rPr>
        <w:t>CHS-0214</w:t>
      </w:r>
      <w:r>
        <w:rPr>
          <w:rFonts w:ascii="Arial" w:cs="Arial" w:eastAsia="Arial" w:hAnsi="Arial"/>
          <w:sz w:val="18"/>
          <w:szCs w:val="18"/>
          <w:color w:val="auto"/>
        </w:rPr>
        <w:t>: Etanercept (Enbrel), the reference product for CHS-0214, is a complex fusion protein that links the protein for tumor necrosis factor</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2, or TNFR-2, to the immunoglobulin Fc fragment protein, or IgG1 Fc. We announced the dosing of the first patient in our Phase 3 rheumatoid arthritis clinical trial in June 2014, and in July 2014 initiated a separate Phase 3 clinical trial in psoriasis. The design of each Phase 3 clinical trial reflects guidance from regulatory agencies regarding key study parameters. If data are positive, we expect to file a marketing application for CHS-0214 with the European Medicines Agency, or EMA, and with the Japanese Pharmaceutical and Medical Devices Agency, or PMDA, in 2016. If approved, we believe we will be able to extrapolate the data from our trials in rheumatoid arthritis and psoriasis to gain approval for CHS-0214 in all of the indications included in the label for Enbrel.</w:t>
      </w:r>
    </w:p>
    <w:p>
      <w:pPr>
        <w:spacing w:after="0" w:line="66" w:lineRule="exact"/>
        <w:rPr>
          <w:sz w:val="20"/>
          <w:szCs w:val="20"/>
          <w:color w:val="auto"/>
        </w:rPr>
      </w:pPr>
    </w:p>
    <w:p>
      <w:pPr>
        <w:jc w:val="both"/>
        <w:ind w:left="200" w:firstLine="443"/>
        <w:spacing w:after="0" w:line="289" w:lineRule="auto"/>
        <w:rPr>
          <w:sz w:val="20"/>
          <w:szCs w:val="20"/>
          <w:color w:val="auto"/>
        </w:rPr>
      </w:pPr>
      <w:r>
        <w:rPr>
          <w:rFonts w:ascii="Arial" w:cs="Arial" w:eastAsia="Arial" w:hAnsi="Arial"/>
          <w:sz w:val="16"/>
          <w:szCs w:val="16"/>
          <w:i w:val="1"/>
          <w:iCs w:val="1"/>
          <w:color w:val="auto"/>
        </w:rPr>
        <w:t>CHS-1420</w:t>
      </w:r>
      <w:r>
        <w:rPr>
          <w:rFonts w:ascii="Arial" w:cs="Arial" w:eastAsia="Arial" w:hAnsi="Arial"/>
          <w:sz w:val="16"/>
          <w:szCs w:val="16"/>
          <w:color w:val="auto"/>
        </w:rPr>
        <w:t>: Adalimumab (Humira), the reference product for CHS-1420, is a fully humanized monoclonal antibody that binds TNF and interferes with</w:t>
      </w:r>
      <w:r>
        <w:rPr>
          <w:rFonts w:ascii="Arial" w:cs="Arial" w:eastAsia="Arial" w:hAnsi="Arial"/>
          <w:sz w:val="16"/>
          <w:szCs w:val="16"/>
          <w:i w:val="1"/>
          <w:iCs w:val="1"/>
          <w:color w:val="auto"/>
        </w:rPr>
        <w:t xml:space="preserve"> </w:t>
      </w:r>
      <w:r>
        <w:rPr>
          <w:rFonts w:ascii="Arial" w:cs="Arial" w:eastAsia="Arial" w:hAnsi="Arial"/>
          <w:sz w:val="16"/>
          <w:szCs w:val="16"/>
          <w:color w:val="auto"/>
        </w:rPr>
        <w:t>its binding to receptors on the cell surface. Monoclonal antibodies are identical antibodies that have an affinity for the same antigen and are produced by a specific clone or cell line. We have completed a pivotal Phase 1 pharmacokinetics, or PK, and pharmacodynamics, or PD, study comparing CHS-1420 to Humira in healthy volunteers, and the trial met the primary endpoint demonstrating PK similarity of CHS-1420 to Humira. We plan to initiate a Phase 3 clinical trial in the first half of 2015 to support the expected filing of a Biologics License Application, or BLA, in the United States in 2016 and the expected filing of a marketing application in the E.U. in 2017. We are in the process of reaching concurrence with regulatory authorities in the United States, Europe and Japan with the objective of designing a harmonized global Phase 3 clinical trial program to support registration in these territories. If approved, we believe we will be able</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68" w:lineRule="auto"/>
        <w:rPr>
          <w:sz w:val="20"/>
          <w:szCs w:val="20"/>
          <w:color w:val="auto"/>
        </w:rPr>
      </w:pPr>
      <w:r>
        <w:rPr>
          <w:rFonts w:ascii="Arial" w:cs="Arial" w:eastAsia="Arial" w:hAnsi="Arial"/>
          <w:sz w:val="18"/>
          <w:szCs w:val="18"/>
          <w:color w:val="auto"/>
        </w:rPr>
        <w:t>to extrapolate the data from our trials in rheumatoid arthritis and psoriasis to gain approval for CHS-1420 in all the indications included in the label for Humira.</w:t>
      </w:r>
    </w:p>
    <w:p>
      <w:pPr>
        <w:spacing w:after="0" w:line="51"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On October 29, 2014, as part of our quality process and upon routine visual inspection during storage, four syringes containing CHS-0214 from a production lot (Lot 5) in use in the ongoing clinical trials were observed to contain small dark particles. We immediately initiated a visual inspection of remaining unlabeled inventory of this lot as well as the follow-on production lot (Lot 6). None of the approximately 8,000 unlabeled syringes inspected exhibited any such particulate.</w:t>
      </w:r>
    </w:p>
    <w:p>
      <w:pPr>
        <w:spacing w:after="0" w:line="62"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also reviewed our clinical trials for injection site reactions reported directly by patients and observed by staff, since particulates in subcutaneously injected drug may cause injection site reactions. We found these to be no more frequent or worse in intensity than those normally reported for Enbrel (i.e., mild to moderate intensity and resolving without medical intervention over hours to days). We also reviewed the adverse events reported in the ongoing clinical trials and found that no serious or significant adverse events have been reported in either clinical trial.</w:t>
      </w:r>
    </w:p>
    <w:p>
      <w:pPr>
        <w:spacing w:after="0" w:line="32"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However, in the interest of patient safety we immediately stopped dosing of the ongoing Phase 3 clinical trials and initiated an investigation to determine the cause and incidence of the observed particulate. A chemical analysis of the particulate impurity by an independent laboratory subsequently determined that the particles found in the four syringes were not the result of any instability in the CHS-0214 protein product or its formulation. We have concluded that the particulate impurity is most likely a result of a non-recurring anomaly related to first use of new process equipment with Lot 5. The dosing of the Phase 3 clinical trials resumed in November 2014 for the rheumatoid arthritis trial and in December 2014 for the psoriasis trial.</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Long-acting G-CSF pipeline: CHS-1701</w:t>
      </w:r>
    </w:p>
    <w:p>
      <w:pPr>
        <w:spacing w:after="0" w:line="90"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G-CSF is a protein that promotes the survival, proliferation (an increase in the number of cells due to cell growth and cell division) and differentiation of certain types of white blood cells known as neutrophils. Recombinant G-CSF therapies, such as filgrastim (Neupogen) and pegfilgrastim (Neulasta), are commonly used in the prevention of chemotherapy-induced neutropenia in cancer, which is characterized by an abnormally low level of neutrophils and other white blood cells that aid in the defense against infections. We selected pegfilgrastim (Neulasta) as the development target for our biosimilar G-CSF product candidate for the following reasons:</w:t>
      </w:r>
    </w:p>
    <w:p>
      <w:pPr>
        <w:spacing w:after="0" w:line="62" w:lineRule="exact"/>
        <w:rPr>
          <w:sz w:val="20"/>
          <w:szCs w:val="20"/>
          <w:color w:val="auto"/>
        </w:rPr>
      </w:pPr>
    </w:p>
    <w:p>
      <w:pPr>
        <w:jc w:val="both"/>
        <w:ind w:left="10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Large market opportunity. </w:t>
      </w:r>
      <w:r>
        <w:rPr>
          <w:rFonts w:ascii="Arial" w:cs="Arial" w:eastAsia="Arial" w:hAnsi="Arial"/>
          <w:sz w:val="18"/>
          <w:szCs w:val="18"/>
          <w:color w:val="auto"/>
        </w:rPr>
        <w:t>The combined opportunity for both short- and long-acting G-CSF therapies worldwide is estimated to exceed</w:t>
      </w:r>
      <w:r>
        <w:rPr>
          <w:rFonts w:ascii="Arial" w:cs="Arial" w:eastAsia="Arial" w:hAnsi="Arial"/>
          <w:sz w:val="18"/>
          <w:szCs w:val="18"/>
          <w:i w:val="1"/>
          <w:iCs w:val="1"/>
          <w:color w:val="auto"/>
        </w:rPr>
        <w:t xml:space="preserve"> </w:t>
      </w:r>
      <w:r>
        <w:rPr>
          <w:rFonts w:ascii="Arial" w:cs="Arial" w:eastAsia="Arial" w:hAnsi="Arial"/>
          <w:sz w:val="18"/>
          <w:szCs w:val="18"/>
          <w:color w:val="auto"/>
        </w:rPr>
        <w:t>$5 billion in 2017, and pegfilgrastim therapies are expected to capture over 70% of the worldwide G-CSF market. It is estimated that the worldwide opportunity for Neulasta, the reference product for CHS-1701, will exceed $3.9 billion in 2017.</w:t>
      </w:r>
    </w:p>
    <w:p>
      <w:pPr>
        <w:spacing w:after="0" w:line="59" w:lineRule="exact"/>
        <w:rPr>
          <w:rFonts w:ascii="Arial" w:cs="Arial" w:eastAsia="Arial" w:hAnsi="Arial"/>
          <w:sz w:val="18"/>
          <w:szCs w:val="18"/>
          <w:color w:val="auto"/>
        </w:rPr>
      </w:pPr>
    </w:p>
    <w:p>
      <w:pPr>
        <w:jc w:val="both"/>
        <w:ind w:left="1060" w:hanging="323"/>
        <w:spacing w:after="0" w:line="25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Receptivity to biosimilars. </w:t>
      </w:r>
      <w:r>
        <w:rPr>
          <w:rFonts w:ascii="Arial" w:cs="Arial" w:eastAsia="Arial" w:hAnsi="Arial"/>
          <w:sz w:val="18"/>
          <w:szCs w:val="18"/>
          <w:color w:val="auto"/>
        </w:rPr>
        <w:t>We believe there is strong conviction among payors to drive biosimilar adoption in the G-CSF category. This is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by the uptake of filgrastim biosimilars in the EU5 (Spain, Great Britain, France, Germany and Italy), which were initially launched in 2008 and achieved approximately a 52% share of the short-acting G-CSF market and a 77% share of the filgrastim market by the third quarter of 2013.</w:t>
      </w:r>
    </w:p>
    <w:p>
      <w:pPr>
        <w:spacing w:after="0" w:line="62" w:lineRule="exact"/>
        <w:rPr>
          <w:rFonts w:ascii="Arial" w:cs="Arial" w:eastAsia="Arial" w:hAnsi="Arial"/>
          <w:sz w:val="18"/>
          <w:szCs w:val="18"/>
          <w:color w:val="auto"/>
        </w:rPr>
      </w:pPr>
    </w:p>
    <w:p>
      <w:pPr>
        <w:jc w:val="both"/>
        <w:ind w:left="1060" w:hanging="323"/>
        <w:spacing w:after="0" w:line="25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Timing of patent expiration. </w:t>
      </w:r>
      <w:r>
        <w:rPr>
          <w:rFonts w:ascii="Arial" w:cs="Arial" w:eastAsia="Arial" w:hAnsi="Arial"/>
          <w:sz w:val="18"/>
          <w:szCs w:val="18"/>
          <w:color w:val="auto"/>
        </w:rPr>
        <w:t>We believe that the expiration of certain originator patents pertaining to pegfilgrastim (Neulasta) in major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offers us a near-term opportunity to introduce biosimilar competitors in these markets. Specifically, we believe we would not be precluded by the originator’s patents from introducing a pegfilgrastim (Neulasta) biosimilar candidate in the United States after October 2015 and in Europe after February 2018.</w:t>
      </w:r>
    </w:p>
    <w:p>
      <w:pPr>
        <w:spacing w:after="0" w:line="62"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Under the 351(a) (novel biologic) pathway, we have successfully advanced CHS-1701 through completion of a Phase 1 PK / PD study in healthy volunteers. However, on October 9, 2014 we met with the FDA to discuss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98" w:lineRule="auto"/>
        <w:rPr>
          <w:sz w:val="20"/>
          <w:szCs w:val="20"/>
          <w:color w:val="auto"/>
        </w:rPr>
      </w:pPr>
      <w:r>
        <w:rPr>
          <w:rFonts w:ascii="Arial" w:cs="Arial" w:eastAsia="Arial" w:hAnsi="Arial"/>
          <w:sz w:val="16"/>
          <w:szCs w:val="16"/>
          <w:color w:val="auto"/>
        </w:rPr>
        <w:t>our development plan for CHS-1701. We informed the agency of our decision to transition from a 351(a) (novel biologic) approval pathway to a 351(k) (biosimilar) pathway. In March 2015, we received written feedback from the FDA on our development plan for CHS-1701 and we initiated a pivotal pharmacokinetic and pharmacodynamic study for CHS-1701 in the United States, which, if positive, we believe will support the planned filing of a BLA in the United States. An additional immunogenicity study is planned in healthy volunteers pursuant to this BLA and is projected to be concluded in 2015.</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goal is to become a leading global biosimilar company. The five key elements of our strategy are to:</w:t>
      </w:r>
    </w:p>
    <w:p>
      <w:pPr>
        <w:spacing w:after="0" w:line="90" w:lineRule="exact"/>
        <w:rPr>
          <w:sz w:val="20"/>
          <w:szCs w:val="20"/>
          <w:color w:val="auto"/>
        </w:rPr>
      </w:pPr>
    </w:p>
    <w:p>
      <w:pPr>
        <w:ind w:left="1060" w:right="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our platform and internal expertise in process science, molecular biology and protein production, as well as our clinical, regulatory and commercial strategies, to screen and select biosimilar candidates;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our lead programs through clinical development to secure approvals in major markets;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advance our early-stage product pipeline;</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maximize the value of our portfolio and pipeline by retaining commercial rights to our products in the United States and by selectively partnering with leading pharmaceutical companies to commercialize our products in other geographies;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attract and retain exceptionally capable team members who share our vision of bringing high quality, lower cost biologic therapeutics to patients.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business is subject to the risks and uncertainties discussed more fully in the section entitled “Risk Factors” immediately following this summary.</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risks include, among others:</w:t>
      </w:r>
    </w:p>
    <w:p>
      <w:pPr>
        <w:spacing w:after="0" w:line="84" w:lineRule="exact"/>
        <w:rPr>
          <w:sz w:val="20"/>
          <w:szCs w:val="20"/>
          <w:color w:val="auto"/>
        </w:rPr>
      </w:pPr>
    </w:p>
    <w:p>
      <w:pPr>
        <w:ind w:left="1060" w:hanging="323"/>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in an emerging regulatory environment on which to assess our business, have incurred significant losses since our inception and anticipate that we will continue to incur significant losses for the foreseeable future.</w:t>
      </w:r>
    </w:p>
    <w:p>
      <w:pPr>
        <w:spacing w:after="0" w:line="50" w:lineRule="exact"/>
        <w:rPr>
          <w:rFonts w:ascii="Arial" w:cs="Arial" w:eastAsia="Arial" w:hAnsi="Arial"/>
          <w:sz w:val="18"/>
          <w:szCs w:val="18"/>
          <w:color w:val="auto"/>
        </w:rPr>
      </w:pPr>
    </w:p>
    <w:p>
      <w:pPr>
        <w:jc w:val="both"/>
        <w:ind w:left="1060" w:hanging="323"/>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expect that we will need to raise substantial additional funding. This additional financing may not be available on acceptable terms or at all. Failure to obtain this necessary capital when needed may force us to delay, limit or terminate our product development efforts or other operations.</w:t>
      </w:r>
    </w:p>
    <w:p>
      <w:pPr>
        <w:spacing w:after="0" w:line="59" w:lineRule="exact"/>
        <w:rPr>
          <w:rFonts w:ascii="Arial" w:cs="Arial" w:eastAsia="Arial" w:hAnsi="Arial"/>
          <w:sz w:val="18"/>
          <w:szCs w:val="18"/>
          <w:color w:val="auto"/>
        </w:rPr>
      </w:pPr>
    </w:p>
    <w:p>
      <w:pPr>
        <w:ind w:left="1060" w:hanging="323"/>
        <w:spacing w:after="0" w:line="33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heavily dependent on the clinical success, regulatory approval and commercial success of our product candidates. We cannot give any assurance that any of our product candidates will receive regulatory approval, which is necessary before they can be commercialized.</w:t>
      </w:r>
    </w:p>
    <w:p>
      <w:pPr>
        <w:spacing w:after="0" w:line="4" w:lineRule="exact"/>
        <w:rPr>
          <w:rFonts w:ascii="Arial" w:cs="Arial" w:eastAsia="Arial" w:hAnsi="Arial"/>
          <w:sz w:val="16"/>
          <w:szCs w:val="16"/>
          <w:color w:val="auto"/>
        </w:rPr>
      </w:pPr>
    </w:p>
    <w:p>
      <w:pPr>
        <w:jc w:val="both"/>
        <w:ind w:left="1060" w:hanging="323"/>
        <w:spacing w:after="0" w:line="25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manufacture and commercialization of biosimilar products under various global regulatory pathways pose unique risks. Regulations for biosimilar approval differ across jurisdictions such that we may obtain approval in some jurisdictions, and not in others. The evolving legal and regulatory climate for biosimilars in the U.S. and abroad could result in legislative or regulatory requirements that could restrict our ability to commercialize our products. Even if our biosimilar products are approved, they may not be approved for all of the indications of the originator drug and the extent to which they will achieve marketplace acceptance in terms of quality, safety and efficacy is unclear.</w:t>
      </w:r>
    </w:p>
    <w:p>
      <w:pPr>
        <w:spacing w:after="0" w:line="63"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structure of complex proteins used in protein-based therapeutics is inherently variable and highly dependent on the processes and conditions used to manufacture them. If we are unable to develop</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manufacturing processes that achieve a requisite degree of biosimilarity to the originator drug, and within a range of variability considered acceptable by regulatory authorities, we may not be able to obtain regulatory approval for our products.</w:t>
      </w:r>
    </w:p>
    <w:p>
      <w:pPr>
        <w:spacing w:after="0" w:line="51" w:lineRule="exact"/>
        <w:rPr>
          <w:sz w:val="20"/>
          <w:szCs w:val="20"/>
          <w:color w:val="auto"/>
        </w:rPr>
      </w:pPr>
    </w:p>
    <w:p>
      <w:pPr>
        <w:jc w:val="both"/>
        <w:ind w:left="1060" w:hanging="323"/>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biosimilar product candidates, if approved, will face significant competition from the reference products and from other pharmaceuticals approved for the same indication as the originator products. Our failure to effectively compete may prevent us from achieving significant market penetration and expansion.</w:t>
      </w:r>
    </w:p>
    <w:p>
      <w:pPr>
        <w:spacing w:after="0" w:line="59" w:lineRule="exact"/>
        <w:rPr>
          <w:rFonts w:ascii="Arial" w:cs="Arial" w:eastAsia="Arial" w:hAnsi="Arial"/>
          <w:sz w:val="18"/>
          <w:szCs w:val="18"/>
          <w:color w:val="auto"/>
        </w:rPr>
      </w:pPr>
    </w:p>
    <w:p>
      <w:pPr>
        <w:jc w:val="both"/>
        <w:ind w:left="1060" w:hanging="323"/>
        <w:spacing w:after="0" w:line="306"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obtain and maintain effective patent rights for our product candidates or any future product candidates, we may not be able to prevent competitors from using technologies we consider important in our successful development and commercialization of our product candidates, resulting in loss of any potential competitive advantage our patents may have otherwise afforded us.</w:t>
      </w:r>
    </w:p>
    <w:p>
      <w:pPr>
        <w:spacing w:after="0" w:line="25" w:lineRule="exact"/>
        <w:rPr>
          <w:rFonts w:ascii="Arial" w:cs="Arial" w:eastAsia="Arial" w:hAnsi="Arial"/>
          <w:sz w:val="16"/>
          <w:szCs w:val="16"/>
          <w:color w:val="auto"/>
        </w:rPr>
      </w:pPr>
    </w:p>
    <w:p>
      <w:pPr>
        <w:jc w:val="both"/>
        <w:ind w:left="1060" w:hanging="323"/>
        <w:spacing w:after="0" w:line="256"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market our products in the United States may be significantly delayed or prevented by the patent dispute mechanism established under the Biologics Price Competition and Innovation Act of 2009. This mechanism requires us to disclose our biosimilar regulatory approval application to the originator. As a result of such disclosure, the originator could initiate patent infringement litigation against us which may delay or block our ability to commercialize our products.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We were incorporated in the State of Delaware in September 2010 under the name BioGenerics, Inc. We subsequently changed the name of the corporation to Coherus BioSciences, Inc. in April 2012. Our principal executive offices are located at 201 Redwood Shores Parkway, Suite 200, Redwood City, California 94065, and our telephone number is (650) 649-3530. Our website address is http://www.coherus.com. The information contained in or that can be accessed through our website is not part of this prospectus.</w:t>
      </w:r>
    </w:p>
    <w:p>
      <w:pPr>
        <w:spacing w:after="0" w:line="62" w:lineRule="exact"/>
        <w:rPr>
          <w:sz w:val="20"/>
          <w:szCs w:val="20"/>
          <w:color w:val="auto"/>
        </w:rPr>
      </w:pPr>
    </w:p>
    <w:p>
      <w:pPr>
        <w:jc w:val="both"/>
        <w:ind w:left="200" w:firstLine="443"/>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(1) the last day of the fiscal year (a) following the fifth anniversary of the completion of our initial public offering, which was completed on November 12, 2014, (b) in which we have total annual gross revenue of at least $1.0 billion or (c) in which we are deemed to be a large accelerated filer (this means the market value of our common stock that is held by non-affiliates exceeds $700 million as of the end of the second quarter of that fiscal year), or (2)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37" w:lineRule="exact"/>
        <w:rPr>
          <w:sz w:val="20"/>
          <w:szCs w:val="20"/>
          <w:color w:val="auto"/>
        </w:rPr>
      </w:pPr>
    </w:p>
    <w:p>
      <w:pPr>
        <w:ind w:left="1060" w:right="2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availed ourselves of the exemption from the requirement to obtain an attestation and report from our auditors on the assessment of our internal control over financial reporting pursuant to the Sarbanes-Oxley Act of 2002;</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not require shareholder non-binding advisory votes on executive compensation or golden parachute arrangements.</w:t>
      </w:r>
    </w:p>
    <w:p>
      <w:pPr>
        <w:spacing w:after="0" w:line="90"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However, we have irrevocably elected to “opt out” of the extended transition periods available under the JOBS Act for complying with new or revised accounting standards.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89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47891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Coherus BioSciences, Inc.</w:t>
      </w:r>
    </w:p>
    <w:p>
      <w:pPr>
        <w:spacing w:after="0" w:line="13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$100,000,000 of shares of common stock</w:t>
      </w:r>
    </w:p>
    <w:p>
      <w:pPr>
        <w:spacing w:after="0" w:line="13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37,136,249 shares</w:t>
      </w:r>
    </w:p>
    <w:p>
      <w:pPr>
        <w:spacing w:after="0" w:line="138" w:lineRule="exact"/>
        <w:rPr>
          <w:sz w:val="20"/>
          <w:szCs w:val="20"/>
          <w:color w:val="auto"/>
        </w:rPr>
      </w:pPr>
    </w:p>
    <w:p>
      <w:pPr>
        <w:sectPr>
          <w:pgSz w:w="11900" w:h="16838" w:orient="portrait"/>
          <w:cols w:equalWidth="0" w:num="2">
            <w:col w:w="3760" w:space="64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Up to $15,000,000 of shares of common stock</w:t>
      </w:r>
    </w:p>
    <w:p>
      <w:pPr>
        <w:spacing w:after="0" w:line="138" w:lineRule="exact"/>
        <w:rPr>
          <w:sz w:val="20"/>
          <w:szCs w:val="20"/>
          <w:color w:val="auto"/>
        </w:rPr>
      </w:pPr>
    </w:p>
    <w:p>
      <w:pPr>
        <w:sectPr>
          <w:pgSz w:w="11900" w:h="16838" w:orient="portrait"/>
          <w:cols w:equalWidth="0" w:num="2">
            <w:col w:w="3760" w:space="64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We expect to use the substantial majority of the net proceeds from this offering to fund the development of one or more biosimilar candidates currently in the pre-clinical stage, as well as the proof-of-concept Phase 2 study of INT-131, and the remainder for working capital and other corporate purposes. See “Use of Proceeds” on page 62 for a more complete description of the intended use of proceeds from this offering.</w:t>
      </w:r>
    </w:p>
    <w:p>
      <w:pPr>
        <w:spacing w:after="0" w:line="62"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See “Risk Factors” beginning on page 11 and other information included in this prospectus for a discussion of factors that you should consider carefully before deciding to invest in our common stock.</w:t>
      </w:r>
    </w:p>
    <w:p>
      <w:pPr>
        <w:spacing w:after="0" w:line="59"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Symbol on The NASDAQ Global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“CHRS”</w:t>
      </w:r>
    </w:p>
    <w:p>
      <w:pPr>
        <w:spacing w:after="0" w:line="12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jc w:val="both"/>
        <w:ind w:left="200" w:firstLine="443"/>
        <w:spacing w:after="0" w:line="298" w:lineRule="auto"/>
        <w:rPr>
          <w:sz w:val="20"/>
          <w:szCs w:val="20"/>
          <w:color w:val="auto"/>
        </w:rPr>
      </w:pPr>
      <w:r>
        <w:rPr>
          <w:rFonts w:ascii="Arial" w:cs="Arial" w:eastAsia="Arial" w:hAnsi="Arial"/>
          <w:sz w:val="16"/>
          <w:szCs w:val="16"/>
          <w:color w:val="auto"/>
        </w:rPr>
        <w:t>The number of shares of common stock to be outstanding after this offering is based on 33,257,978 shares of common stock outstanding as of December 31, 2014, and assumes the sale of $100.0 million of shares of common stock at an assumed offering price of $28.41 per share, the last reported sale price of our common stock on The NASDAQ Global Market on March 27, 2015, and the issuance of 358,384 shares of common stock to former InteKrin stockholders on March 6, 2015 in satisfaction of a contingent consideration obligation, and excludes the following:</w:t>
      </w:r>
    </w:p>
    <w:p>
      <w:pPr>
        <w:spacing w:after="0" w:line="32" w:lineRule="exact"/>
        <w:rPr>
          <w:sz w:val="20"/>
          <w:szCs w:val="20"/>
          <w:color w:val="auto"/>
        </w:rPr>
      </w:pPr>
    </w:p>
    <w:p>
      <w:pPr>
        <w:ind w:left="1060" w:right="2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5,560,345 shares of common stock issuable upon the exercise of outstanding stock options under our 2010 Equity Incentive Plan, as amended, as of December 31, 2014 having a weighted-average exercise price of $2.46 per share;</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209,962 shares of common stock issuable upon the exercise of outstanding stock options under our 2014 Equity Incentive Award Plan as of December 31, 2014 having a weighted-average exercise price of $14.69 per share;</w:t>
      </w:r>
    </w:p>
    <w:p>
      <w:pPr>
        <w:spacing w:after="0" w:line="50" w:lineRule="exact"/>
        <w:rPr>
          <w:rFonts w:ascii="Arial" w:cs="Arial" w:eastAsia="Arial" w:hAnsi="Arial"/>
          <w:sz w:val="18"/>
          <w:szCs w:val="18"/>
          <w:color w:val="auto"/>
        </w:rPr>
      </w:pPr>
    </w:p>
    <w:p>
      <w:pPr>
        <w:ind w:left="1060" w:right="20" w:hanging="323"/>
        <w:spacing w:after="0" w:line="33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2,652,500 shares of common stock reserved for issuance pursuant to future awards under our 2014 Equity Incentive Award Plan, as well as any future increases in the number of shares of our common stock reserved for future issuance under this plan; and</w:t>
      </w:r>
    </w:p>
    <w:p>
      <w:pPr>
        <w:spacing w:after="0" w:line="4" w:lineRule="exact"/>
        <w:rPr>
          <w:rFonts w:ascii="Arial" w:cs="Arial" w:eastAsia="Arial" w:hAnsi="Arial"/>
          <w:sz w:val="16"/>
          <w:szCs w:val="16"/>
          <w:color w:val="auto"/>
        </w:rPr>
      </w:pPr>
    </w:p>
    <w:p>
      <w:pPr>
        <w:ind w:left="1060" w:right="2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320,000 shares of common stock reserved for future issuance under our 2014 Employee Stock Purchase Plan, as well as any future increases in the number of shares of our common stock reserved for future issuance under this plan.</w:t>
      </w:r>
    </w:p>
    <w:p>
      <w:pPr>
        <w:spacing w:after="0" w:line="51"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Unless otherwise indicated, the number of shares of our common stock described above assumes no exercise of the underwriters’ option to purchase additional shares.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96" w:lineRule="exact"/>
        <w:rPr>
          <w:sz w:val="20"/>
          <w:szCs w:val="20"/>
          <w:color w:val="auto"/>
        </w:rPr>
      </w:pPr>
    </w:p>
    <w:p>
      <w:pPr>
        <w:jc w:val="both"/>
        <w:ind w:left="200" w:right="200" w:firstLine="443"/>
        <w:spacing w:after="0" w:line="290" w:lineRule="auto"/>
        <w:rPr>
          <w:sz w:val="20"/>
          <w:szCs w:val="20"/>
          <w:color w:val="auto"/>
        </w:rPr>
      </w:pPr>
      <w:r>
        <w:rPr>
          <w:rFonts w:ascii="Arial" w:cs="Arial" w:eastAsia="Arial" w:hAnsi="Arial"/>
          <w:sz w:val="16"/>
          <w:szCs w:val="16"/>
          <w:color w:val="auto"/>
        </w:rPr>
        <w:t>The following tables set forth a summary of our consolidated financial data as of, and for the period ended on, the dates indicated. The consolidated statement of operations data for the years ended December 31, 2012, 2013 and 2014, as well as the consolidated balance sheet data as of December 31, 2014, are derived from our audited consolidated financial statements incorporated by reference in this prospectus from our Annual Report on Form 10-K for the fiscal year ended December 31, 2014. You should read this data together with our audited consolidated financial statements and related notes, as well as the information under the captions “Selected Financial Data” and “Management’s Discussion and Analysis of Financial Condition and Results of Operations” in our Annual Report on Form 10-K for the fiscal year ended December 31, 2014 and incorporated by reference herein. Our historical results are not necessarily indicative of our future results.</w:t>
      </w:r>
    </w:p>
    <w:p>
      <w:pPr>
        <w:spacing w:after="0" w:line="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2013</w:t>
            </w: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and license revenue — related party</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Collaboration and license revenue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28,481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1,899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31,106</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34,886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31,279</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78,224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7,465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40,417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38,744</w:t>
            </w: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95,788</w:t>
            </w:r>
          </w:p>
        </w:tc>
        <w:tc>
          <w:tcPr>
            <w:tcW w:w="0" w:type="dxa"/>
            <w:vAlign w:val="bottom"/>
          </w:tcPr>
          <w:p>
            <w:pPr>
              <w:spacing w:after="0"/>
              <w:rPr>
                <w:sz w:val="1"/>
                <w:szCs w:val="1"/>
                <w:color w:val="auto"/>
              </w:rPr>
            </w:pPr>
          </w:p>
        </w:tc>
      </w:tr>
      <w:tr>
        <w:trPr>
          <w:trHeight w:val="28"/>
        </w:trPr>
        <w:tc>
          <w:tcPr>
            <w:tcW w:w="7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(35,993)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(64,682)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(5,293)</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(12,349)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(33,018)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(53,635)</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(87,177)</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Net loss attributable to Coherus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(33,018)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(53,635)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(87,133)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loss per share attributable to Coherus, basic and diluted</w:t>
            </w:r>
            <w:r>
              <w:rPr>
                <w:rFonts w:ascii="Arial" w:cs="Arial" w:eastAsia="Arial" w:hAnsi="Arial"/>
                <w:sz w:val="11"/>
                <w:szCs w:val="11"/>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(15.85)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shares used in computing net loss per share attributable to</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Coherus, basic and diluted</w:t>
            </w:r>
            <w:r>
              <w:rPr>
                <w:rFonts w:ascii="Arial" w:cs="Arial" w:eastAsia="Arial" w:hAnsi="Arial"/>
                <w:sz w:val="11"/>
                <w:szCs w:val="11"/>
                <w:color w:val="auto"/>
              </w:rPr>
              <w:t>(3)</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2,082,622</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3,332,020</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8,186,529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520" w:hanging="323"/>
        <w:spacing w:after="0"/>
        <w:tabs>
          <w:tab w:leader="none" w:pos="52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Represents revenue from Daiichi Sankyo Company, Limited, a holder of more than 10% of our common stock for the period presented until the closing of our IPO on November 12, 2014.</w:t>
      </w:r>
    </w:p>
    <w:p>
      <w:pPr>
        <w:ind w:left="520" w:hanging="323"/>
        <w:spacing w:after="0" w:line="182" w:lineRule="auto"/>
        <w:tabs>
          <w:tab w:leader="none" w:pos="520" w:val="left"/>
        </w:tabs>
        <w:numPr>
          <w:ilvl w:val="0"/>
          <w:numId w:val="11"/>
        </w:numPr>
        <w:rPr>
          <w:rFonts w:ascii="Arial" w:cs="Arial" w:eastAsia="Arial" w:hAnsi="Arial"/>
          <w:sz w:val="17"/>
          <w:szCs w:val="17"/>
          <w:color w:val="auto"/>
          <w:vertAlign w:val="superscript"/>
        </w:rPr>
      </w:pPr>
      <w:r>
        <w:rPr>
          <w:rFonts w:ascii="Arial" w:cs="Arial" w:eastAsia="Arial" w:hAnsi="Arial"/>
          <w:sz w:val="11"/>
          <w:szCs w:val="11"/>
          <w:color w:val="auto"/>
        </w:rPr>
        <w:t>Includes stock-based compensation expense as follows:</w:t>
      </w:r>
    </w:p>
    <w:p>
      <w:pPr>
        <w:ind w:left="520" w:hanging="323"/>
        <w:spacing w:after="0" w:line="185"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See Note 14 to our audited consolidated financial statements for an explanation of the method used to calculate basic and diluted net loss per share attributable to Coherus.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2013</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200" w:type="dxa"/>
            <w:vAlign w:val="bottom"/>
          </w:tcPr>
          <w:p>
            <w:pPr>
              <w:spacing w:after="0"/>
              <w:rPr>
                <w:sz w:val="18"/>
                <w:szCs w:val="18"/>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4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1,363</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c>
          <w:tcPr>
            <w:tcW w:w="200" w:type="dxa"/>
            <w:vAlign w:val="bottom"/>
          </w:tcPr>
          <w:p>
            <w:pPr>
              <w:spacing w:after="0"/>
              <w:rPr>
                <w:sz w:val="18"/>
                <w:szCs w:val="18"/>
                <w:color w:val="auto"/>
              </w:rPr>
            </w:pPr>
          </w:p>
        </w:tc>
      </w:tr>
      <w:tr>
        <w:trPr>
          <w:trHeight w:val="27"/>
        </w:trPr>
        <w:tc>
          <w:tcPr>
            <w:tcW w:w="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0" w:type="dxa"/>
            <w:vAlign w:val="bottom"/>
          </w:tcPr>
          <w:p>
            <w:pPr>
              <w:spacing w:after="0"/>
              <w:rPr>
                <w:sz w:val="18"/>
                <w:szCs w:val="18"/>
                <w:color w:val="auto"/>
              </w:rPr>
            </w:pPr>
          </w:p>
        </w:tc>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4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11,062</w:t>
            </w:r>
          </w:p>
        </w:tc>
        <w:tc>
          <w:tcPr>
            <w:tcW w:w="20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200" w:type="dxa"/>
            <w:vAlign w:val="bottom"/>
            <w:tcBorders>
              <w:bottom w:val="single" w:sz="8" w:color="auto"/>
            </w:tcBorders>
          </w:tcPr>
          <w:p>
            <w:pPr>
              <w:spacing w:after="0"/>
              <w:rPr>
                <w:sz w:val="12"/>
                <w:szCs w:val="12"/>
                <w:color w:val="auto"/>
              </w:rPr>
            </w:pPr>
          </w:p>
        </w:tc>
        <w:tc>
          <w:tcPr>
            <w:tcW w:w="4280" w:type="dxa"/>
            <w:vAlign w:val="bottom"/>
            <w:tcBorders>
              <w:bottom w:val="single" w:sz="8" w:color="auto"/>
            </w:tcBorders>
          </w:tcPr>
          <w:p>
            <w:pPr>
              <w:spacing w:after="0"/>
              <w:rPr>
                <w:sz w:val="12"/>
                <w:szCs w:val="12"/>
                <w:color w:val="auto"/>
              </w:rPr>
            </w:pPr>
          </w:p>
        </w:tc>
        <w:tc>
          <w:tcPr>
            <w:tcW w:w="4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59"/>
        </w:trPr>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0" w:type="dxa"/>
            <w:vAlign w:val="bottom"/>
          </w:tcPr>
          <w:p>
            <w:pPr>
              <w:jc w:val="right"/>
              <w:ind w:right="3032"/>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83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our balance sheet data as of December 31, 2014:</w:t>
      </w:r>
    </w:p>
    <w:p>
      <w:pPr>
        <w:spacing w:after="0" w:line="90"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jc w:val="both"/>
        <w:ind w:left="1060" w:hanging="323"/>
        <w:spacing w:after="0" w:line="25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as adjusted basis to give effect to (i) the reclassification of our contingent consideration liability to stockholders’ equity upon the issuance of 358,384 shares of common stock to former InteKrin stockholders to satisfy a contingent consideration obligation upon the achievement of the first dosing of a human subject in the phase 2 clinical trial for INT 131 on March 6, 2015; and (ii) the sale of $100,000,000 of shares of common stock in this offering based on an assumed public offering price of $28.41 per share, the last reported sale price of our common stock on The NASDAQ Global Market on March 27, 2015 and after deducting the underwriting discounts and commissions and estimated offering expenses payable by us.</w:t>
      </w: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 2014</w:t>
            </w:r>
          </w:p>
        </w:tc>
      </w:tr>
      <w:tr>
        <w:trPr>
          <w:trHeight w:val="115"/>
        </w:trPr>
        <w:tc>
          <w:tcPr>
            <w:tcW w:w="90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0"/>
              </w:rPr>
              <w:t>As</w:t>
            </w:r>
          </w:p>
        </w:tc>
        <w:tc>
          <w:tcPr>
            <w:tcW w:w="120" w:type="dxa"/>
            <w:vAlign w:val="bottom"/>
          </w:tcPr>
          <w:p>
            <w:pPr>
              <w:spacing w:after="0"/>
              <w:rPr>
                <w:sz w:val="10"/>
                <w:szCs w:val="10"/>
                <w:color w:val="auto"/>
              </w:rPr>
            </w:pPr>
          </w:p>
        </w:tc>
      </w:tr>
      <w:tr>
        <w:trPr>
          <w:trHeight w:val="176"/>
        </w:trPr>
        <w:tc>
          <w:tcPr>
            <w:tcW w:w="906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Actual</w:t>
            </w:r>
          </w:p>
        </w:tc>
        <w:tc>
          <w:tcPr>
            <w:tcW w:w="8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Adjusted</w:t>
            </w:r>
            <w:r>
              <w:rPr>
                <w:rFonts w:ascii="Arial" w:cs="Arial" w:eastAsia="Arial" w:hAnsi="Arial"/>
                <w:sz w:val="20"/>
                <w:szCs w:val="20"/>
                <w:b w:val="1"/>
                <w:bCs w:val="1"/>
                <w:color w:val="auto"/>
                <w:w w:val="91"/>
                <w:vertAlign w:val="superscript"/>
              </w:rPr>
              <w:t>(1)</w:t>
            </w:r>
          </w:p>
        </w:tc>
      </w:tr>
      <w:tr>
        <w:trPr>
          <w:trHeight w:val="129"/>
        </w:trPr>
        <w:tc>
          <w:tcPr>
            <w:tcW w:w="90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(unaudited)</w:t>
            </w:r>
          </w:p>
        </w:tc>
        <w:tc>
          <w:tcPr>
            <w:tcW w:w="120" w:type="dxa"/>
            <w:vAlign w:val="bottom"/>
          </w:tcPr>
          <w:p>
            <w:pPr>
              <w:spacing w:after="0"/>
              <w:rPr>
                <w:sz w:val="11"/>
                <w:szCs w:val="11"/>
                <w:color w:val="auto"/>
              </w:rPr>
            </w:pPr>
          </w:p>
        </w:tc>
      </w:tr>
      <w:tr>
        <w:trPr>
          <w:trHeight w:val="161"/>
        </w:trPr>
        <w:tc>
          <w:tcPr>
            <w:tcW w:w="9060" w:type="dxa"/>
            <w:vAlign w:val="bottom"/>
          </w:tcPr>
          <w:p>
            <w:pPr>
              <w:spacing w:after="0"/>
              <w:rPr>
                <w:sz w:val="14"/>
                <w:szCs w:val="14"/>
                <w:color w:val="auto"/>
              </w:rPr>
            </w:pPr>
          </w:p>
        </w:tc>
        <w:tc>
          <w:tcPr>
            <w:tcW w:w="20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$ 150,392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$ 243,742</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127,353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226,413</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187,221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280,571</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5,710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Accumulated deficit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(186,725)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(186,725)</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66,757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165,817</w:t>
            </w:r>
          </w:p>
        </w:tc>
      </w:tr>
    </w:tbl>
    <w:p>
      <w:pPr>
        <w:spacing w:after="0" w:line="138" w:lineRule="exact"/>
        <w:rPr>
          <w:sz w:val="20"/>
          <w:szCs w:val="20"/>
          <w:color w:val="auto"/>
        </w:rPr>
      </w:pPr>
    </w:p>
    <w:p>
      <w:pPr>
        <w:jc w:val="both"/>
        <w:ind w:left="520" w:hanging="323"/>
        <w:spacing w:after="0" w:line="268" w:lineRule="auto"/>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Each $1.00 increase (decrease) in the assumed public offering price of $28.41 per share, the last reported sale price of our common stock on The NASDAQ Global Market on March 27, 2015, would (decrease) increase the number of shares of common stock to be issued by us in this offering by (119,683) and 128,416, respectively, assuming the aggregate dollar amount of shares offered by us, as set forth on the cover page of this prospectus, remains the same and after deducting underwriting discounts and commissions and estimated offering expenses payable by us. We may also increase or decrease the aggregate dollar amount of shares we are offering. Each increase (decrease) of $1.0 million of shares offered by us would increase (decrease) the as adjusted amount of cash, working capital, total assets and total stockholders’ equity by approximately $940,000, assuming that the assumed public offering price remains the same, and after deducting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Before investing in our common stock, you should consider carefully the risks described below, together with the other information contained in this prospectus or incorporated by reference in this prospectus. If any of the risks set forth below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a limited operating history in an emerging regulatory environment on which to assess our business, have incurred significant losses since our inception and anticipate that we will continue to incur significant losses for the foreseeable future.</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a biopharmaceutical company with a limited operating history in an emerging regulatory environment. We have incurred net losses in each year since our inception in September 2010, including net losses of $87.2 million and $53.6 million for the years ended December 31, 2014 and 2013, respectively. As of December 31, 2014, we had an accumulated deficit of $186.7 million.</w:t>
      </w:r>
    </w:p>
    <w:p>
      <w:pPr>
        <w:spacing w:after="0" w:line="5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have devoted substantially all of our financial resources to identify and develop our product candidates, including conducting, among other things, analytical characterization, process development and manufacture, formulation and clinical studies, and providing general and administrative support for these operations. To date, we have financed our operations primarily through the sale of equity securities and convertible notes, as well as through our license agreements with Baxter International, Inc., Baxter Healthcare Corporation and Baxter Healthcare SA, or together, Baxter, and Daiichi Sankyo Company, Limited, or Daiichi Sankyo. The amount of our future net losses will depend, in part, on the rate of our future expenditures and our ability to obtain funding through equity or debt financings or strategic collaborations. Biopharmaceutical product development is a highly speculative undertaking and involves a substantial degree of risk. We are in Phase 3 clinical development with one of our lead products, CHS-0214 (our etanercept (Enbrel) biosimilar candidate). We are in earlier stages of clinical development with our other lead product candidates, namely CHS-1420 (our adalimumab (Humira) biosimilar candidate) and CHS-1701 (our pegfilgrastim (Neulasta) biosimilar candidate) for which we have not commenced Phase 3 clinical trials. It may be several years, if ever, before we complete Phase 3 clinical trials and have a product candidate ready to file for market approval with the relevant regulatory agencies. If we obtain regulatory approval to market a biosimilar product candidate, our future revenue will depend upon the size of any markets in which our product candidates may receive approval and our ability to achieve sufficient market acceptance, pricing, reimbursement from third-party payors and adequate market share for our product candidates in those markets. However, even if one or more of our product candidates gain regulatory approval and are commercialized, we may never become profitable.</w:t>
      </w:r>
    </w:p>
    <w:p>
      <w:pPr>
        <w:spacing w:after="0" w:line="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nonclinical and clinical development of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scope of our current clinical studies for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our programs into more expensive 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or add contract manufacturers, clinical research service providers, testing laboratories, device suppliers, legal service providers or other vendors or suppliers;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seek to identify, assess, acquire and/or develop other biosimilar product candidates or products that may be complementary to our products;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upfront, milestone, royalty or other payments under any license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create, maintain, protect and expand our intellectual property portfolio;</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legal counsel and technical experts to help us evaluate and avoid infringing any valid and enforceable intellectual property rights of third parties;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litigation including patent litigation with originator companies or others that may hold patents;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attract and retain skilled personnel;</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 and</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 including but not limited to failed studies, conflicting results, safety issues, manufacturing delays, litigation or regulatory challenges that may require longer follow-up of existing studies, additional major studies or additional supportive studies in order to pursue marketing approval.</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Further, the net losses we incur may fluctuate significantly from quarter-to-quarter and year-to-year such that a period-to-period comparison of our results of operations may not be a good indication of our future performance quarter-to-quarter and year-to-year due to factors including the timing of clinical trials, any litigation that we may initiate or that may be initiated against us, the execution of collaboration, licensing or other agreements and the timing of any payments we make or receive thereunder.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Although we have received upfront payments, milestone and other contingent payments and/or funding for development from some of our collaboration and license agreements (e.g., Baxter and Daiichi Sankyo), we have no products approved for commercialization and have never generated any revenue from product sales.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cannot predict when we will begin generating revenue from product sales, as this depends heavily on our success in many areas, including but not limited to:</w:t>
      </w:r>
    </w:p>
    <w:p>
      <w:pPr>
        <w:spacing w:after="0" w:line="35"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nonclinical and clinical development of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testing of our product formulations;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we complete clinical studies;</w:t>
      </w:r>
    </w:p>
    <w:p>
      <w:pPr>
        <w:spacing w:after="0" w:line="9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establishing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either directly or with collaboration partners or distributors;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adequate third-party coverage and reimbursements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assessing and developing (or acquiring/in-licensing) new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defending against any litigation including patent infringement lawsuits, that may be filed against us.</w:t>
      </w:r>
    </w:p>
    <w:p>
      <w:pPr>
        <w:spacing w:after="0" w:line="90"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to commercialize any such product. Our expenses could increase beyond our expectations if we are required by the U.S. Food and Drug Administration, or the FDA, the European Medicines Agency, or the EMA, other regulatory agencies, domestic or foreign, or by any unfavorable outcomes in intellectual property litigation filed against us, to change our manufacturing processes or assays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number of biosimilar competitors in such markets, the accepted price for the product, the ability to get reimbursement at any price, the nature and degree of competition from originators and other biosimilar companies (including competition from large pharmaceutical companies entering the biosimilar market that may be able to gain advantages in the sale of biosimilar products based on brand recognition and/or existing relationships with customers and payors) and whether we own (or have partnered) the commercial rights for that territory. If the market for our product candidates (or our share of that market) is not as significant as we expect,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unable to successfully complete development and obtain regulatory approval for our lead products, namely CHS-0214, CHS-1420 and CHS-1701, our business may suffer. Additionally, if we are not able to generate revenue from the sale of any approved products, we may never become profitable.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to raise substantial additional funding. This additional funding may not be available on acceptable terms or at all. Failure to obtain this necessary capital when needed may force us to delay, limit or terminate our product development efforts or other operations.</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currently advancing our CHS-0214, CHS-1420 and CHS-1701 product candidates through clinical development. Developing our product candidates is expensive, and we expect our research and development expenses to increase substantially in connection with our ongoing activities, particularly as we advance our product candidates through late-stage clinical studies.</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December 31, 2014, our cash and cash equivalents were $150.4 million. We expect that our existing cash and cash equivalents, together with funding we expect to receive under our license agreements with Daiichi Sankyo and Baxter, will be sufficient to fund our current operations for the next 12 months; however, we expect that we will require additional capital to obtain regulatory approval for, and to commercialize,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35" w:lineRule="exact"/>
        <w:rPr>
          <w:sz w:val="20"/>
          <w:szCs w:val="20"/>
          <w:color w:val="auto"/>
        </w:rPr>
      </w:pPr>
    </w:p>
    <w:p>
      <w:pPr>
        <w:ind w:left="5620" w:right="2620" w:hanging="5045"/>
        <w:spacing w:after="0" w:line="440" w:lineRule="auto"/>
        <w:tabs>
          <w:tab w:leader="none" w:pos="8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 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milestone and royalty payments thereunder;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timing and outcomes of any litigation that we may file or that may be filed against us by third parties.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the share ownership of our existing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for specific strategic considerations.</w:t>
      </w:r>
    </w:p>
    <w:p>
      <w:pPr>
        <w:spacing w:after="0" w:line="4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9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are heavily dependent on the clinical success, regulatory approval and commercial success of our product candidates. We cannot give any assurance that any of our product candidates will receive regulatory approval, which is necessary before they can be commercialized.</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To date, we have invested substantially all of our efforts and financial resources to identify, acquire and develop our product candidates. Our future success is dependent on our ability to develop, obtain regulatory approval for, and then commercialize and obtain adequate third party coverage and reimbursement for one or more product candidates. We currently do not have any approved products and generate no revenue from sales of any products, and we may never be able to develop or commercialize a marketable product.</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product candidates are in varying stages of development and will require additional clinical development, management of nonclinical, clinical and manufacturing activities, regulatory approval, adequate manufacturing supplies, commercial organization and significant marketing efforts before we generate any revenue from product sales. CHS-0214 has entered Phase 3 clinical development, and both CHS-1420 and CHS-1701 are expected to advance into a biologics license application, or BLA, enabling studies in 2015. CHS-0214 is our only product candidate that has advanced into a pivotal study.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clinical trials must use originator products as comparators, and such supplies may not be available on a timely basis to support such trials.</w:t>
      </w:r>
    </w:p>
    <w:p>
      <w:pPr>
        <w:spacing w:after="0" w:line="11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Although certain of our employees have prior experience with submitting marketing applications to the FDA or comparable foreign regulatory authorities, neither we nor our collaboration partners have submitted such applications for our product candidates. We cannot be certain that any of our product candidates will be successful in clinical trials or receive regulatory approval. Further, our product candidates may not receive regulatory approval even if they are successful in clinical trials. If we and our collaboration partners do not receive regulatory approvals for our product candidates, we may not be able to continue our operations.</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together with our collaboration partners, generally plan to seek regulatory approval to commercialize our product candidates in the United States, the European Union, or E.U., and in additional foreign countries where we or our partners have commercial rights. To obtain regulatory approval, we and our collaboration partners must comply with numerous and varying regulatory requirements of such countries regarding safety, efficacy, chemistry, manufacturing and controls, clinical studies, commercial sales and pricing and distribution of our product candidates. Even if we and our collaboration partners are successful in obtaining approval in one jurisdiction, we cannot ensure that we will obtain approval in any other jurisdictions. If we and our collaboration partners are unable to obtain approval for our product candidates in multiple jurisdictions, our revenue and results of operations could be negatively affected.</w:t>
      </w:r>
    </w:p>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the regulatory approval requirements for biosimilars are evolving. If we and our collaboration partners are ultimately unable to obtain regulatory approval for our product candidates, our business will be substantially harmed.</w:t>
      </w:r>
    </w:p>
    <w:p>
      <w:pPr>
        <w:spacing w:after="0" w:line="5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research, development, testing, manufacturing, labeling, packaging, approval, promotion, advertising, storage, marketing, distribution, post-approval monitoring and reporting and export and import of biologic products are subject to extensive regulation by the FDA and other regulatory authorities in the United States, by the EMA and EEA Competent Authorities in the European Economic Area, or EEA, and by other regulatory authorities in other countries, which regulations differ from country to country. Neither we nor any collaboration partner is permitted to market our product candidates in the United States until we and our collaboration partners receive approval from the FDA, or in the EEA until we and our collaboration partners receive E.U. Commission or EEA Competent Authority approvals.</w:t>
      </w:r>
    </w:p>
    <w:p>
      <w:pPr>
        <w:spacing w:after="0" w:line="6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may take many years following the completion of clinical studies and depends upon numerous factors.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Neither we nor any collaboration partner has obtained regulatory approval for any of our product candidates, and it is possible that none of our current or future product candidates will ever obtain regulatory approval.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Applications for our product candidates could fail to receive regulatory approval for many reasons, including but not limited to the following:</w:t>
      </w:r>
    </w:p>
    <w:p>
      <w:pPr>
        <w:spacing w:after="0" w:line="113" w:lineRule="exact"/>
        <w:rPr>
          <w:sz w:val="20"/>
          <w:szCs w:val="20"/>
          <w:color w:val="auto"/>
        </w:rPr>
      </w:pPr>
    </w:p>
    <w:p>
      <w:pPr>
        <w:jc w:val="both"/>
        <w:ind w:left="90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 BLA, a biosimilar product application under the 351(k) pathway of the Public Health Service Act, or PHSA, a biosimilar marketing authorization under Article 6 of Regulation (EC) No. 726/2004 and/or Article 10(4) of Directive 2001/83/EC in the EEA or other submission or to obtain regulatory approval in the United States, the EEA or elsewhere;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studies;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analytical and bioanalytical studies, nonclinical studies or clinical studies;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risk-benefit ratio for its proposed indication is acceptable;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lengthy approval process, as well as the unpredictability of the results of clinical studies, may result in our failure to obtain regulatory approval to market any of our product candidates, which would significantly harm our business. Moreover, any delays in the commencement or completion of clinical testing could significantly impact our product development costs and could result in the need for additional financing.</w:t>
      </w:r>
    </w:p>
    <w:p>
      <w:pPr>
        <w:spacing w:after="0" w:line="5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addition, if we change the regulatory pathway through which we intend to seek approval of any of our product candidates, we may have to conduct additional clinical trials, which may delay our ability to submit a marketing application for the product. Even if we or our collaboration partners were to obtain approval for any of our product candidates, regulatory agencies may limit the scope of such approval for fewer or more limited indications than we request, may grant approval contingent on the completion of costly additional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we are not able to demonstrate biosimilarity of our biosimilar product candidates to the satisfaction of regulatory authorities, we will not obtain regulatory approval for commercial sale of our biosimilar product candidates and our future results of operations would be adversely affected.</w:t>
      </w:r>
    </w:p>
    <w:p>
      <w:pPr>
        <w:spacing w:after="0" w:line="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future results of operations depend, to a significant degree, on our ability to obtain regulatory approval for and to commercialize our proposed biosimilar products. To obtain regulatory approval for the commercial sale of these product candidates, we will be required to demonstrate to the satisfaction of regulatory authorities, among other things, that our proposed biosimilar products are highly similar to biological reference products already licensed by the regulatory authority pursuant to marketing applications, notwithstanding minor differences in clinically inactive components, and that they have no clinically meaningful differences as compared to the marketed biological products in terms of the safety, purity and potency of the products. Each individual jurisdiction may apply different criteria to assess biosimilarity, based on a preponderance of the data that can be interpreted subjectively in some cases. In the EEA, the similar nature of a biosimilar and a reference product is demonstrated by comprehensive comparability studies covering quality, biological activity, safety and efficacy. For example, a determination of biosimilarity for CHS-0214 will be based on our demonstration of its high similarity to Enbrel.</w:t>
      </w:r>
    </w:p>
    <w:p>
      <w:pPr>
        <w:spacing w:after="0" w:line="3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Although our Phase 1 PK / PD trial for CHS-1701 met its primary endpoint and was satisfactory for purposes of pursuing a 351(a) (novel biologic) approval pathway (which does not require bioequivalence to the originator drug), we believe the results of the trial are indicative of the challenges in developing biosimilar drugs insofar as the data from the trial did not establish bioequivalence to Neulasta sufficient to support a 351(k) (biosimilar) approval pathway. However, on October 9, 2014 we met with the FDA to discuss our development plan for CHS-1701. We informed the agency of our decision to transition from a 351(a) (novel biologic) approval pathway to a 351(k) (biosimilar) pathway. We believe the 351(k) (biosimilar) approval pathway may enable us to file for U.S. regulatory approval for CHS-1701 in the 4th quarter of 2015 or 1st quarter of 2016, approximately 6 to 12 months earlier than we project under a 351(a) (novel biologic) approval pathway. In March 2015, we received written feedback from the FDA on our development plan for CHS-1701 and we initiated a pivotal pharmacokinetic and pharmacodynamic study for CHS-1701 in the United States, which, if positive, we believe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will support the planned filing of a BLA in the United States. An additional immunogenicity study is planned in healthy volunteers pursuant to this BLA and is projected to conclude in 2015. While we believe it may be possible to advance CHS-1701 to such 351(k) approval application without a collaboration or licensing partner, it remains uncertain whether execution of our development plan will result in data supporting our planned 351(k) approval application for CHS-1701.</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uncertain if regulatory authorities will grant the full originator label to biosimilar product candidates when they are approved. For example, an infliximab (Remicade) biosimilar molecule was approved in Europe for the full originator label but did not receive the full originator label when approved in Canada. A similar outcome could occur with respect to one or more of our product candidates.</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that regulatory authorities require us to conduct additional clinical trials or other lengthy processes, the commercialization of our proposed biosimilar products could be delayed or prevented. Delays in the commercialization of or the inability to obtain regulatory approval for these products could adversely affect our operating results by restricting or significantly delaying our introduction of new biosimilars.</w:t>
      </w:r>
    </w:p>
    <w:p>
      <w:pPr>
        <w:spacing w:after="0" w:line="2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The structure of complex proteins used in protein-based therapeutics is inherently variable and highly dependent on the processes and conditions used to manufacture them. If we are unable to develop manufacturing processes that achieve a requisite degree of biosimilarity to the originator drug, and within a range of variability considered acceptable by regulatory authorities, we may not be able to obtain regulatory approval for our products.</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Protein-based therapeutics are inherently heterogeneous and their structures are highly dependent on the production process and conditions. Products from one production facility can differ within an acceptable range from those produced in another facility. Similarly, physicochemical differences can also exist among different lots produced within a single facility. The physicochemical complexity and size of biologic therapeutics create significant technical and scientific challenges in the context of their replication as biosimilar products.</w:t>
      </w:r>
    </w:p>
    <w:p>
      <w:pPr>
        <w:spacing w:after="0" w:line="6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inherent variability in protein structure from one production lot to another is a fundamental consideration with respect to establishing biosimilarity to an originator product to support regulatory approval requirements. For example, the glycosylation of the protein, meaning the manner in which sugar molecules are attached to the protein backbone of a therapeutic protein when it is produced in a living cell, is critical to half-life (how long the drug stays in the body), efficacy and even safety of the therapeutic and is therefore a key consideration for biosimilarity. Defining and understanding the variability of an originator molecule in order to match its glycosylation profile requires significant skill in cell biology, protein purification and analytical protein chemistry. Furthermore, manufacturing proteins with reliable and consistent glycosylation profiles at scale is challenging and highly dependent on the skill of the cell biologist and process scientist.</w:t>
      </w:r>
    </w:p>
    <w:p>
      <w:pPr>
        <w:spacing w:after="0" w:line="6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There are extraordinary technical challenges in developing complex protein-based therapeutics that not only must achieve an acceptable degree of similarity to the originator molecule in terms of characteristics such as the unique glycosylation pattern (attachment of sugars to the protein) critical to therapeutic efficacy, but also the ability to develop manufacturing processes that can replicate the necessary structural characteristics within an acceptable range of variability sufficient to satisfy regulatory authorities.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Given the challenges caused by the inherent variability in protein production, we may not be successful in developing our products if regulators conclude that we have not achieved a sufficient level of biosimilarity to the originator product, or that the processes we use are unable to generate our products within an acceptable range of variability.</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and we may encounter substantial delays in our clinical studies or may fail to demonstrate safety and efficacy to the satisfaction of applicable regulatory authorities.</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(and/or our collaboration partners) must conduct clinical studies to demonstrate the safety and efficacy of the product candidates in humans.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study process. The results of preclinical studies and early clinical studies of our product candidates may not be predictive of the results of later-stage clinical studies. Product candidates that have shown promising results in early-stage clinical studies may still suffer significant setbacks in subsequent registration clinical studies. For example, results generated to date in clinical studies for our CHS-0214 product candidate do not ensure that later clinical studies will demonstrate similar positive results. There is a high failure rate for product candidates proceeding through clinical studies, and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Moreover, nonclinical and clinical data are often susceptible to varying interpretations and analyses. We do not know whether any clinical studies we may conduct will demonstrate consistent or adequate efficacy and safety to obtain regulatory approval.</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cannot guarantee that any clinical studies will be conducted as planned or completed on schedule, if at all. A failure of one or more clinical studies can occur at any stage of testing, and our future clinical studies may not be successful. Events that may prevent successful or timely completion of clinical development include but are not limited to:</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human 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9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study sites, the terms of which can be subject to extensive negotiation and may vary significantly among different CROs and clinical study sites;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90"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review of an investigational new drug, or IND, application or amendment or equivalent application or amendment, or an inspection of our clinical study operations or study sites or as a result of adverse events reported during a clinical trial;</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 sponsored by us or our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to perform in accordance with the FDA’s good clinical practices requirements or applicable regulatory guidelines in other countries;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 or patients dropping out of a study;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which may result in us deciding or regulators requiring us to conduct additional clinical studies or abandon product development programs;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and/or distributing sufficient stable quantities of our product candidates and originator products for use in clinical studies or the inability to do any of the foregoing.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inability to successfully complete nonclinical and clinical development could result in additional costs to us or impair our ability to generate revenue. In addition, if we make manufacturing or formulation changes to our product candidates, we may need to conduct additional studies to bridge our modified product candidates to earlier versions.</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example, we intend to alter the manufacturing process for CHS-0214 and will need to provide data to the FDA and foreign regulatory authorities demonstrating that the change in manufacturing process has not changed the product candidate. If we are unable to make that demonstration to the FDA or comparable foreign regulatory authorities, we could face significant delays or fail to obtain regulatory approval to market the product, which could significantly harm our business.</w:t>
      </w:r>
    </w:p>
    <w:p>
      <w:pPr>
        <w:spacing w:after="0" w:line="22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granted.</w:t>
      </w:r>
    </w:p>
    <w:p>
      <w:pPr>
        <w:spacing w:after="0" w:line="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As with most pharmaceutical products, use of our product candidates could be associated with side effects or adverse events which can vary in severity (from minor reactions to death) and frequency (infrequent or prevalent). Side effects or adverse events associated with the use of our product candidates may be observed at any time, including in clinical trials or when a product is commercialized. Undesirable side effects caused by our product candidates could cause us or regulatory authorities to interrupt, delay or halt clinical studies and could result in a more restrictive label or the delay or denial of regulatory approval by the FDA or other comparable foreign authorities. Results of our studies could reveal a high and unacceptable severity and prevalence of side effects such as toxicity or other safety issues and could require us or our collaboration partners to perform additional studies or halt development or sale of these product candidates or expose us to product liability lawsuits which will harm our business. In such an event, we may be required by regulatory agencies to conduct additional animal or human studies regarding the safety and efficacy of our product candidates which we have not planned or anticipated or our studies could be suspended or terminated, and the FDA or comparable foreign regulatory authorities could order us to cease further development of or deny or withdraw approval of our product candidates for any or all targeted indications. There can be no assurance that we will resolve any issues related to any product-related adverse events to the satisfaction of the FDA or any other regulatory agency in a timely manner, if ever, which could harm our business, prospects and financial condition.</w:t>
      </w:r>
    </w:p>
    <w:p>
      <w:pPr>
        <w:spacing w:after="0" w:line="4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Additionally, product quality characteristics have been shown to be sensitive to changes in process conditions, manufacturing techniques, equipment or sites and other such related considerations, hence any manufacturing process changes we implement prior to or after regulatory approval could impact product safety and efficacy.</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Drug-related side effects could affect patient recruitment for clinical trials, the ability of enrolled patients to complete our studies or result in potential product liability claims. We currently carry product liability insurance and we are required to maintain product liability insurance pursuant to certain of our license agreements. We believe our product liability insurance coverage is sufficient in light of our current clinical programs; however, we may not be able to maintain insurance coverage at a reasonable cost or in sufficient amounts to protect us against losses due to liability. A successful product liability claim or series of claims brought against us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3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but not limited to:</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9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required to create a Risk Evaluation and Mitigation Strategy, or REMS, plan, which could include a medication guide outlining the risks of such side effects for distribution to patients, a communication plan for healthcare providers and/or other elements to assure safe use;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we receive approval, regulatory agencies including the FDA, EMA, EEA Competent Authorities and other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the EMA, EEA Competent Authorities or other foreign regulatory agencies could take action including criminal prosecution, the imposition of civil monetary penalties, seizure of our products or delay in approval or clearance of future products.</w:t>
      </w:r>
    </w:p>
    <w:p>
      <w:pPr>
        <w:spacing w:after="0" w:line="199" w:lineRule="exact"/>
        <w:rPr>
          <w:sz w:val="20"/>
          <w:szCs w:val="20"/>
          <w:color w:val="auto"/>
        </w:rPr>
      </w:pPr>
    </w:p>
    <w:p>
      <w:pPr>
        <w:ind w:right="1420"/>
        <w:spacing w:after="0" w:line="344" w:lineRule="auto"/>
        <w:rPr>
          <w:sz w:val="20"/>
          <w:szCs w:val="20"/>
          <w:color w:val="auto"/>
        </w:rPr>
      </w:pPr>
      <w:r>
        <w:rPr>
          <w:rFonts w:ascii="Arial" w:cs="Arial" w:eastAsia="Arial" w:hAnsi="Arial"/>
          <w:sz w:val="18"/>
          <w:szCs w:val="18"/>
          <w:b w:val="1"/>
          <w:bCs w:val="1"/>
          <w:i w:val="1"/>
          <w:iCs w:val="1"/>
          <w:color w:val="auto"/>
        </w:rPr>
        <w:t xml:space="preserve">The development, manufacture and commercialization of biosimilar products under various global regulatory pathways pose unique risks. </w:t>
      </w:r>
      <w:r>
        <w:rPr>
          <w:rFonts w:ascii="Arial" w:cs="Arial" w:eastAsia="Arial" w:hAnsi="Arial"/>
          <w:sz w:val="18"/>
          <w:szCs w:val="18"/>
          <w:i w:val="1"/>
          <w:iCs w:val="1"/>
          <w:color w:val="auto"/>
        </w:rPr>
        <w:t>United States Regulatory Framework for Biosimilars</w:t>
      </w:r>
    </w:p>
    <w:p>
      <w:pPr>
        <w:spacing w:after="0" w:line="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and our collaboration partners intend to pursue market authorization globally. In the United States, an abbreviated pathway for approval of biosimilar products was established by the Biologics Price Competition and Innovation Act of 2009, or BPCIA, enacted on March 23, 2010, as part of the Patient Protection and Affordable Care Act. The BPCIA established this abbreviated pathway under section 351(k) of the Public Health Service Act, or PHSA. Subsequent to the enactment of the BPCIA, the FDA issued draft guidance regarding the demonstration of biosimilarity as well as the submission and review of biosimilar applications. Moreover, market acceptance of biosimilar products in the United States is unclear. Numerous states are considering or have already enacted laws that regulate or restrict the substitution by state pharmacies of biosimilars for originator products already licensed by the FDA. Market success of biosimilar products will depend on demonstrating to patients, physicians, payors and relevant authorities that such products are similar in quality, safety and efficacy as compared to the reference product.</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will continue to analyze and incorporate into our biosimilar development plans any final regulations issued by the FDA, pharmacy substitution policies enacted by state governments and other applicable requirements established by relevant authorities. The costs of development and approval, along with the probability of success for our biosimilar product candidates, will be dependent upon application of any laws and regulations issued by the relevant regulatory authorities.</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Biosimilar products may also be subject to extensive patent clearances and patent infringement litigation, which may delay and could prevent the commercial launch of a product. Moreover, the BPCIA prohibits the FDA from accepting an application for a biosimilar candidate to a reference product within four years of the reference product’s licensure by the FDA. In addition, the BPCIA provides innovative biologics with 12 years of exclusivity from the date of their licensure, during which time the FDA cannot approve any application for a biosimilar candidate to the reference product. For example, the FDA would not be able to grant approval of any application submitted for an etanercept (Enbrel) biosimilar, an adalimumab (Humira) biosimilar or a pegfilgrastim (Neulasta) biosimilar, until 12 years after the original BLAs for these drugs were approved, which occurred on September 12, 2002 in the case of Enbrel, December 31, 2002 in the case of Humira and January 31, 2002 in the case of Neulasta.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BPCIA is complex and only beginning to be interpreted and implemented by the FDA. As a result, its ultimate impact, implementation and meaning are evolving and subject to significant uncertainty. Future implementation decisions by the FDA could result in delays in the development or commercialization of our product candidates or increased costs to assure regulatory compliance and could adversely affect our operating results by restricting or significantly delaying our ability to market new biosimilar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Framework for Biosimilars Outside the United States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2004, the European Parliament issued legislation allowing the approval of biosimilar therapeutics. Since then, the European Commission has granted marketing authorizations for more than 20 biosimilars pursuant to a set of general and product class-specific guidelines for biosimilar approvals issued over the past few years. Because of their extensive experience in the review and approval of biosimilars, Europe has more guidelines for these products than the FDA, including data requirements needed to support approval.</w:t>
      </w:r>
    </w:p>
    <w:p>
      <w:pPr>
        <w:spacing w:after="0" w:line="6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Under current EU regulations, an application for regulatory approval of a biosimilar drug cannot be submitted in the EU until expiration of an eight year data exclusivity period for the reference (originator) product, measured from the date of the reference product’s initial marketing authorization. Furthermore, once approved, the biosimilar cannot be marketed until expiration of a 10-year period following the initial marketing authorization of the reference product, such ten year period being extendible to 11 years if the reference product received approval of an additional therapeutic indication, within the first eight years following its initial marketing authorization, representing a significant clinical benefit in comparison with existing therapies. However, we understand that reference products approved prior to November 20, 2005 (which would include, for example, Enbrel, Humira and Neulasta, approved in the EU on March 2, 2000, August 9, 2003 and August 22, 2002, respectively) are subject to a 10 year period of data exclusivity. While the data exclusivity periods for Enbrel, Humira and Neulasta have now expired in Europe, these reference products are presently still subject to unexpired patents.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Europe, the approval of a biosimilar for marketing is based on an opinion issued by the EMA and a decision issued by the European Commission. Therefore, the marketing approval will cover the entire EEA. However, substitution of a biosimilar for the originator is a decision that is made at the local (national) level on a country-by-country basis. Additionally, a number of countries do not permit the automatic substitution of biosimilars for the originator product. Therefore, even if we obtain marketing approval for the entire EEA, we may not receive substitution in one or more European nations, thereby restricting our ability to market our products in those jurisdictions.</w:t>
      </w:r>
    </w:p>
    <w:p>
      <w:pPr>
        <w:spacing w:after="0" w:line="6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Other regions, including Canada, Japan and Korea, also have their own legislation outlining a regulatory pathway for the approval of biosimilars. In some cases other countries have either adopted European guidance (Singapore and Malaysia) or are following guidance issued by the World Health Organization (Cuba and Brazil). While there is overlap in the regulatory requirements across regions, there are also some areas of non-overlap. Additionally, we cannot predict whether countries that we may wish to market in, which do not yet have an established or tested regulatory framework could decide to issue regulations or guidance and/or adopt a more conservative viewpoint than other regions. Therefore, it is possible that even if we obtain agreement from one health authority to an accelerated or optimized development plan, we will need to defer to the most conservative view to ensure global harmonization of the development plan. Also, for regions where regulatory authorities do not yet have sufficient experience in the review and approval of a biosimilar product, these authorities may rely on the approval from another region (e.g., the United States or the E.U.), which could delay our approval in that region. Finally, it is possible that some countries will not approve a biosimilar without clinical data from their population and/or may require that the biosimilar product be manufactured within their region.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other biosimilars of etanercept (Enbrel), adalimumab (Humira) or pegfilgrastim (Neulasta) are approved and successfully commercialized before our product candidates for these originator products (CHS-0214, CHS-1420 or CHS-1701, respectively), our business would suffer.</w:t>
      </w:r>
    </w:p>
    <w:p>
      <w:pPr>
        <w:spacing w:after="0" w:line="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expect other companies to seek approval to manufacture and market biosimilar versions of Enbrel, Neulasta or Humira. If other biosimilars of Enbrel, Humira or Neulasta are approved and successfully commercialized before CHS-0214, CHS-1420 or CHS-1701, respectively, we may never achieve significant market share for these products, our revenue would be reduced and, as a result, our business, prospects and financial condition could suffer.</w:t>
      </w:r>
    </w:p>
    <w:p>
      <w:pPr>
        <w:spacing w:after="0" w:line="18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other biosimilars of etanercept (Enbrel), adalimumab (Humira) or pegfilgrastim (Neulasta) are determined to be interchangeable and our biosimilars candidates for these originator products are not, our business would suffer.</w:t>
      </w:r>
    </w:p>
    <w:p>
      <w:pPr>
        <w:spacing w:after="0" w:line="5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FDA or other relevant regulatory authorities may determine that a proposed biosimilar product is “interchangeable” with a reference product, meaning that the biosimilar product may be substituted for the reference product without the intervention of the health care provider who prescribed the reference product, if the application includes sufficient information to show that the product is biosimilar to the reference product and that it can be expected to produce the same clinical result as the reference product in any given patient. If the biosimilar product may be administered more than once to a patient, the applicant must demonstrate that the risk in terms of safety or diminished efficacy of alternating or switching between the biosimilar product candidate and the reference product is not greater than the risk of using the reference product without such alternation or switch. To make a final determination of interchangeability, regulatory authorities may require additional confirmatory information beyond what we plan to initially submit in our applications for approval, such as more in-depth analytical characterization, animal testing or further clinical studies. Provision of sufficient information for approval may prove difficult and expensive.</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cannot predict whether any of our biosimilar product candidates will meet regulatory authority requirements for approval not only as a biosimilar product but also as an interchangeable product in any jurisdiction. Furthermore, legislation governing interchangeability could differ by jurisdiction on a state or national level worldwide.</w:t>
      </w:r>
    </w:p>
    <w:p>
      <w:pPr>
        <w:spacing w:after="0" w:line="5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concept of “interchangeability” is important because, in the United States for example, the first biosimilar determined to be interchangeable with a particular reference, or originator, product for any condition of use is eligible for a period of market exclusivity that delays an FDA determination that a second or subsequent biosimilar product is interchangeable with that originator product for any condition of use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 Thus, a determination that another company’s product is interchangeable with the originator biologic before we obtain approval of our corresponding biosimilar product candidates may delay the potential determination that our products are interchangeable with the originator product, which could materially adversely affect our results of operations and delay, prevent or limit our ability to generate revenue.</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Failure to obtain regulatory approval in any targeted regulatory jurisdiction would prevent us from marketing our products to a larger patient population and reduce our commercial opportunities.</w:t>
      </w:r>
    </w:p>
    <w:p>
      <w:pPr>
        <w:spacing w:after="0" w:line="5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and our collaboration partners have not initiated marketing efforts in any regulatory jurisdiction. Subject to product approvals and relevant patent expirations, we or our collaboration partners intend to market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etanercept (Enbrel) biosimilar product, CHS-0214 in Japan (through our licensee Daiichi Sankyo), Europe (through our licensee Baxter) and certain Latin American countries (through our licensee, Orox). We intend to market our pegfilgrastim (Neulasta) biosimilar product, CHS-1701 and our adalimumab (Humira) biosimilar in the United States without collaboration partners, and have not decided on whether to enter into collaborations for marketing of CHS-1701 or CHS-1420 outside the United States.</w:t>
      </w:r>
    </w:p>
    <w:p>
      <w:pPr>
        <w:spacing w:after="0" w:line="6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order to market our products in the E.U., the United States and other jurisdictions, we and our collaboration partners must obtain separate regulatory approvals and comply with numerous and varying regulatory requirements. The EMA is responsible for the centralized procedure for the regulation and approval of human medicines. This procedure results in a single marketing authorization that is valid in all E.U. countries, as well as in Iceland, Liechtenstein and Norway. The time required to obtain approval abroad may differ from that required to obtain FDA approval. The foreign regulatory approval process may include all of the risks associated with obtaining FDA approval and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or our collaboration partners may not be able to file for regulatory approvals and may not receive necessary approvals to commercialize our products within the United States or in any market outside the United States. Failure to obtain these approvals would materially and adversely affect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2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current Good Manufacturing Practices, or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3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Any regulatory approvals that we or our collaboration partners receive for our product candidates may be subject to limitations on the approved indicated uses for which the product may be marketed or to the conditions of approval or may contain requirements for potentially costly additional clinical trials and surveillance to monitor the safety and efficacy of the product candidate. We will be required to report certain adverse events and production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If our product candidates are approved, we must submit new or supplemental applications and obtain approval for certain changes to the approved products, product labeling or manufacturing process. We or our collaboration partners could also be asked to conduct post-marketing clinical studies to verify the safety and efficacy of our products in general or in specific patient subsets. If original marketing approval is obtained via an accelerated biosimilar approval pathway, we could be required to conduct a successful post-marketing clinical study to confirm clinical benefit for our products. An unsuccessful post-marketing study or failure to complete such a study could result in the withdrawal of marketing approval.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possibilities:</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of our ongoing 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We may elect to seek licensure of our biosimilar products under the 351(a) (novel biologic) approval pathway instead of the 351(k) (biosimilar) approval pathway. This approval pathway may require us to undertake more expensive clinical trials and may present greater risk of failure than the 351(k) (biosimilar) approval pathway.</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While we have elected to proceed under the 351(k) (biosimilar) approval pathway for CHS-0214, our etanercept (Enbrel) biosimilar, CHS-1420, our adalimumab (Humira) biosimilar and for CHS-1701, our pegfilgrastim (Neulasta) biosimilar, we may elect for future products to pursue a 351(a) (novel biologic) approval pathway for a variety of clinical, regulatory and business reasons. The 351(a) (novel biologic) approval pathway generally requires three study phases (as contrasted with the two study phases required under the 351(k) (biosimilar) pathway). Moreover, the 351(a) pathway generally does not allow for the possibility that a clinical trial in one indication can be extrapolated to multiple indications as is generally the case under the 351(k) (biosimilar) approval pathway. Pursuing licensure under the 351(a) (novel biologic) approval pathway may present disadvantages in terms of the requirements for additional clinical and nonclinical studies, clinical trial cost and failure risk, as well as the likelihood that multiple clinical trials would be required to obtain approval for all of the indications approved for the originator biologic.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involving an originator product, or other biosimilars of such originator product, may adversely affect our business.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event that use of an originator product, or other biosimilar for such originator product, results in unanticipated side effects or other adverse events, it is likely that our biosimilar product candidate will be viewed comparably and may become subject to the same scrutiny and regulatory sanctions as the originator product or other biosimilar, as applicable. Accordingly, we may become subject to regulatory supervisions, clinical holds, product recalls or other regulatory actions for matters outside of our control that affect the originator product, or other biosimilar, as applicable, if and until we are able to demonstrate to the satisfaction of our regulators that our biosimilar product candidate is not subject to the same issues leading to the regulatory action as the originator product or other biosimilar, as applicable.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Ability to Hire Highly Qualified Personnel and our Reliance on Third Parties</w:t>
      </w:r>
    </w:p>
    <w:p>
      <w:pPr>
        <w:spacing w:after="0" w:line="96"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i w:val="1"/>
          <w:iCs w:val="1"/>
          <w:color w:val="auto"/>
        </w:rPr>
        <w:t>We are highly dependent on the services of our key executives and personnel, including our President and Chief Executive Officer, Dennis M. Lanfear, and if we are not able to retain these members of our management or recruit additional management, clinical and scientific personnel, our business will suffer.</w:t>
      </w:r>
    </w:p>
    <w:p>
      <w:pPr>
        <w:jc w:val="both"/>
        <w:ind w:firstLine="456"/>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and technical staff. The loss of service of any of our management or key scientific and technical staff could harm our business. In addition, we are dependent on our continued ability to attract, retain and motivate highly qualified additional management, clinical and scientific personnel. If we are not able to retain our management, particularly our President and Chief Executive Officer, Mr. Lanfear, and to attract, on acceptable terms, additional qualified personnel necessary for the continued development of our business, we may not be able to sustain our operations or grow.</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will need to expand and effectively manage our managerial, scientific, operational, financial and other resources in order to successfully pursue our clinical development and commercialization efforts. Our success also depends on our continued ability to attract, retain and motivate highly qualified management and scientific personnel. We may not be able to attract or retain qualified management and scientific and clinical personnel in the future due to the intense competition for qualified personnel among biotechnology, pharmaceutical and other businesses, particularly in the San Francisco Bay Area.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 Additionally, we do not currently maintain “key person” life insurance on the lives of our executives or any of our employees.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expand our organization and we may experience difficulties in managing this growth, which could disrupt our operations.</w:t>
      </w:r>
    </w:p>
    <w:p>
      <w:pPr>
        <w:spacing w:after="0" w:line="11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As of December 31, 2014, we had 66 full-time employees. As our development and commercialization plans and strategies develop, we expect to need additional managerial, operational, sales,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59"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We have relied upon and plan to continue to rely upon third-party CROs to monitor and manage data for our ongoing nonclinical and clinical programs.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cGMP, current good clinical practices, or cGCP,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any of our CROs, service providers or investigators fail to comply with applicable regulations or cGCPs, the data generated in our nonclinical and clinical studies may be deemed unreliable and the FDA, EMA or comparable foreign regulatory authorities may require us to perform additional nonclinical and clinical studies before approving our marketing applications. We cannot assure you that upon inspection by a given regulatory authority, such regulatory authority will determine that any of our clinical studies comply with cGCP regulations. In addition, our clinical studies must be conducted with product generated under cGMP regulations. Failure to comply by any of the participating parties or ourselves with these regulations may require us to repeat clinical studies, which would delay the regulatory approval process. Moreover, our business may be implicated if our CRO or any other participating parties violate federal or state fraud and abuse or false claims laws and regulations or healthcare privacy and security laws.</w:t>
      </w:r>
    </w:p>
    <w:p>
      <w:pPr>
        <w:spacing w:after="0" w:line="4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strive to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on third parties, and in some cases a single third party, to manufacture nonclinical and clinical supplies of our product candidates and to store critical components of our product candidates for us. Our business could be harmed if those third parties fail to provide us with sufficient quantities of product candidates or fail to do so at acceptable quality levels or prices.</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do not currently have the infrastructure or capability internally to manufacture supplies of our product candidates for use in our nonclinical and clinical studies, and we lack the resources and the capability to manufacture any of our product candidates on a clinical or commercial scale. We rely on third party manufacturers to manufacture and supply us with our product candidates for our preclinical and clinical studies. Successfully transferring complicated manufacturing techniques to contract manufacturing organizations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scaling up these techniques for commercial quantities is time consuming and we may not be able to achieve such transfer or do so in a timely manner. Moreover, the availability of contract manufacturing services for protein-based therapeutics is highly variable and there are periods of relatively abundant capacity alternating with periods in which there is little available capacity. If our need for contract manufacturing services increases during a period of industry-wide production capacity shortage, we may not be able to produce our product candidates on a timely basis or on commercially viable terms. Although we will plan accordingly and generally do not begin a clinical study unless we believe we have a sufficient supply of a product candidate to complete such study, any significant delay or discontinuation in the supply of a product candidate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6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Reliance on third-party manufacturers entails additional risks, including reliance on the third party for regulatory compliance and quality assurance, the possible breach of the manufacturing agreement by the third party and the possible termination or nonrenewal of the agreement by the third party at a time that is costly or inconvenient for us. In addition, third party manufacturers may not be able to comply with cGMP or similar regulatory requirements outside the United States. Our failure or the failure of our third party manufacturers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or any other product candidates or products that we may develop. Any failure or refusal to supply the components for our product candidates that we may develop could delay, prevent or impair our clinical development or commercialization efforts. If our contract manufacturers were to breach or terminate their manufacturing arrangements with us, the development or commercialization of the affected products or product candidates could be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4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If any of our product candidates are approved, in order to produce the quantities necessary to meet anticipated market demand, any contract manufacturer that we engage may need to increase manufacturing capacity. If we are unable to produce our product candidates in sufficient quantities to meet the requirements for the launch of these products or to meet future demand, our revenue and gross margins could be adversely affected. Although we believe that we will not have any material supply issues, we cannot be certain that we will be able to obtain long-term supply arrangements for our product candidates or materials used to produce them on acceptable terms, if at all. If we are unable to arrange for third-party manufacturing, or to do so on commercially reasonable terms, we may not be able to complete development of our products or market them.</w:t>
      </w:r>
    </w:p>
    <w:p>
      <w:pPr>
        <w:spacing w:after="0" w:line="20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have entered into collaborations with third parties in connection with the development of certain of our product candidates. Even if we believe that the development of our technology and product candidates is promising, our partners may choose not to proceed with such development.</w:t>
      </w:r>
    </w:p>
    <w:p>
      <w:pPr>
        <w:spacing w:after="0" w:line="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collaborations with several partners for the development and commercialization of certain of our product candidates. Our existing agreements with our collaboration partners are generally subject to termination by the counterparty on short notice under certain circumstances. Accordingly, even if we believe that the development of certain product candidates is worth pursuing, our partners may choose not to continue with such development. If any of our collaborations are terminated, we may be required to devote additional resources to the development of our product candidates or seek a new collaboration partner on short notice, and the terms of any additional collaborations or other arrangements that we establish may not be favorable to us or available at all.</w:t>
      </w:r>
    </w:p>
    <w:p>
      <w:pPr>
        <w:spacing w:after="0" w:line="3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are also at risk that our collaborations or other arrangements may not be successful. Factors that may affect the success of our collaborations include the following:</w:t>
      </w:r>
    </w:p>
    <w:p>
      <w:pPr>
        <w:spacing w:after="0" w:line="51" w:lineRule="exact"/>
        <w:rPr>
          <w:sz w:val="20"/>
          <w:szCs w:val="20"/>
          <w:color w:val="auto"/>
        </w:rPr>
      </w:pPr>
    </w:p>
    <w:p>
      <w:pPr>
        <w:ind w:left="5620" w:right="340" w:hanging="5045"/>
        <w:spacing w:after="0" w:line="440" w:lineRule="auto"/>
        <w:tabs>
          <w:tab w:leader="none" w:pos="8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collaboration partners may incur financial, legal or other difficulties that force them to limit or reduce their participation in our joint projects; 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hanging="325"/>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may be pursuing alternative technologies or developing alternative products that are competitive to our technology and products, either on their own or in partnership with others. For example, in December 2014 Momenta Pharmaceuticals, or Momenta, announced acceptance by the UK of a clinical trial application for M923, an adalimumab (Humira) biosimilar being developed by Momenta in collaboration with Baxter;</w:t>
      </w:r>
    </w:p>
    <w:p>
      <w:pPr>
        <w:spacing w:after="0" w:line="62"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may terminate their collaborations with us, which could make it difficult for us to attract new partners or adversely affect perception of us in the business and financial communities. For example, in July 2014 our partner Daiichi terminated its license with us pertaining to a rituximab (Rituxan) biosimilar;</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may pursue higher priority programs or change the focus of their development programs, which could affect their commitment to us; and</w:t>
      </w:r>
    </w:p>
    <w:p>
      <w:pPr>
        <w:spacing w:after="0" w:line="5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from time to time we have discussions with our collaboration partners regarding potential amendments to our collaboration agreements to address developments occurring after such agreement was originally signed. For example, we are currently engaged in discussions with Baxter regarding potential modifications to certain aspects of our collaboration agreement pertaining to CHS-0214.</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cannot maintain successful collaborations, our business, financial condition and operating results may be adversely affected.</w:t>
      </w:r>
    </w:p>
    <w:p>
      <w:pPr>
        <w:spacing w:after="0" w:line="25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are dependent on Daiichi Sankyo, Baxter and Orox for the commercialization of our biosimilar products candidates in certain major markets, and their failure to commercialize in those markets could have a material adverse effect on our business and operating results.</w:t>
      </w:r>
    </w:p>
    <w:p>
      <w:pPr>
        <w:spacing w:after="0" w:line="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exclusive licensee, Baxter, is responsible for commercialization of CHS-0214 in Europe, Brazil and other jurisdictions outside the U.S. (excluding Japan and certain Caribbean and Latin American countries). Our exclusive licensee, Daiichi Sankyo, is responsible for commercialization of CHS-0214 in Japan. Our exclusive licensee, Orox Pharmaceuticals B.V., or Orox, is responsible for commercialization of certain of our products, including CHS-0214, CHS-1420 and CHS-1701, in certain Caribbean and Latin American countries (excluding Brazil). If these entities fail to exercise commercially reasonable efforts to market and sell our products in their respective licensed jurisdictions or are otherwise ineffective in doing so, our business will be harmed and we may not be able to adequately remedy the harm through negotiation, litigation, arbitration or termination of the license agreements. Moreover, any disputes with our collaboration partners concerning the adequacy of their commercialization efforts will substantially divert the attention of our senior management from other business activities and will require us to incur substantial legal costs to fund litigation or arbitration proceedings.</w:t>
      </w:r>
    </w:p>
    <w:p>
      <w:pPr>
        <w:spacing w:after="0" w:line="1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are subject to a multitude of manufacturing risks. Any adverse developments affecting the manufacturing operations of our biosimilar product candidates could substantially increase our costs and limit supply for our product candidates.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process of manufacturing our product candidates is complex, highly regulated and subject to several risks, including but not limited to:</w:t>
      </w:r>
    </w:p>
    <w:p>
      <w:pPr>
        <w:spacing w:after="0" w:line="113"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product loss due to contamination, equipment failure or improper installation or operation of equipment or vendor or operator error; and</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equipment failures, labor shortages, natural disasters, power failures and numerous other factors associated with the manufacturing facilities in which our product candidates are produced.</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Even minor deviations from normal manufacturing processes for any of our product candidates could result in reduced production yields, product defects and other supply disruptions. For example, we have experienced failures with respect to the manufacturing of certain lots of each of our product candidates resulting in delays prior to our taking corrective action. Additionally, if microbial, viral or other contaminations are discovered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 candidates or in the manufacturing facilities in which our product candidates are made, such manufacturing facilities may need to be closed for an extended period of time to investigate and remedy the contamination.</w:t>
      </w:r>
    </w:p>
    <w:p>
      <w:pPr>
        <w:spacing w:after="0" w:line="5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For example in October 2014, as part of our quality process and upon routine visual inspection during storage, four syringes containing CHS-0214 (our etanercept (Enbrel) biosimilar candidate) from a production lot in use in our ongoing Phase 3 clinical trials were observed to contain small dark particles. We immediately initiated a visual inspection of remaining unlabeled inventory of this lot as well as a subsequent lot. While none of the approximately 8,000 unlabeled syringes inspected exhibited any such particulate, we decided in the interests of patient safety, to temporarily stop dosing in the ongoing Phase 3 clinical trials of CHS-0214 in order to determine a potential cause and incidence of the observed phenomenon. Based on our investigation, including a chemical analysis of the particles by a qualified independent laboratory, we concluded that the particulates did not result from any instability in the CHS-0214 protein product or its formulation, but were most likely a result of a non-recurring anomaly related to first use of new process equipment. We therefore concluded that the approximately 7,000 unlabeled syringes that were 100% inspected and found free of any particulates were safe for patient use in our clinical trials. In consultation with the FDA, our Phase 3 trial was resumed in December 2014 and is ongoing.</w:t>
      </w:r>
    </w:p>
    <w:p>
      <w:pPr>
        <w:spacing w:after="0" w:line="3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Any adverse developments affecting manufacturing operations for our product candidates may result in shipment delays, inventory shortages, lot failures, withdrawals or recalls or other interruptions in the supply of our product candidates. We may also have to take inventory write-offs and incur other charges and expenses for product candidates that fail to meet specifications, undertake costly remediation efforts or seek more costly manufacturing alternatives.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currently engage single suppliers for manufacture, clinical trial services, formulation development and product testing of our product candidates. The loss of any of these suppliers or vendors could materially and adversely affect our business.</w:t>
      </w:r>
    </w:p>
    <w:p>
      <w:pPr>
        <w:spacing w:after="0" w:line="5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For each of our lead products, CHS-0214, CHS-1701 and CHS-1420, we currently engage a distinct vendor or service provider for each of the principal activities supporting our manufacture and development of these lead products, such as manufacture of the biological substance present in each of the products, manufacture of the final filled and finished presentation of these products, as well as laboratory testing, formulation development and clinical testing of these products. Because we currently have not engaged back up suppliers or vendors for these single-sourced services, and although we believe that there are alternate sources that could fulfill these activities, we cannot assure you that identifying and establishing relationships with alternate suppliers and vendors would not result in significant delay in the development of our product candidates. Additionally, we may not be able to enter into arrangements with alternative service providers on commercially reasonable terms or at all. A delay in the development of our product candidates, or having to enter into a new agreement with a different third party on less favorable terms than we have with our current suppliers, could have a material adverse impact on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and our collaboration partners and contract manufacturers are subject to significant regulation with respect to manufacturing our product candidates.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manufacturing facilities on which we rely may not continue to meet regulatory requirements or may not be able to meet supply demands.</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collaboration partners or our contract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manufacturers must supply all necessary documentation in support of a BLA or MAA on a timely basis and must adhere to GLP and cGMP regulations enforced by the FDA and other regulatory agencies through their facilities inspection program. Some of our contract manufacturers may have never produced a commercially approved pharmaceutical product and therefore have not obtained the requisite regulatory authority approvals to do so. The facilities and quality systems of some or all of our collaboration partners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4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collaboration partners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biologic product, withdrawal of an approval or suspension of production. As a result, our business, financial condition and results of operations may be materially harmed.</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 BLA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collaboration partners,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biosimilar product candidates, if approved, will face significant competition from the reference products and from other pharmaceuticals approved for the same indication as the originator products. Our failure to effectively compete may prevent us from achieving significant market penetration and expansion.</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expect to enter highly competitive pharmaceutical markets. Successful competitors in the pharmaceutical market have demonstrated the ability to effectively discover, obtain patents, develop, test and obtain regulatory approvals for products, as well as an ability to effectively commercialize, market and promote approved products. Numerous companies, universities and other research institutions are engaged in developing, patenting, manufacturing and marketing of products competitive with those that we are developing. Many of these potential competitors are large, experienced pharmaceutical companies that enjoy significant competitive advantages, such as substantially greater financial, research and development, manufacturing, personnel and marketing resources. These companies also have greater brand recognition and more experience in conducting preclinical testing and clinical trials of product candidates and obtaining FDA and other regulatory approvals of products.</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an improved version of an originator product, such as Enbrel, Humira or Neulasta, is developed or if the market for the originator product significantly declines, sales or potential sales of our biosimilar product candidates may suffer.</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Originator companies may develop improved versions of a reference product as part of a life cycle extension strategy and may obtain regulatory approval of the improved version under a new or supplemental BLA filed with the applicable regulatory authority. Should the originator company succeed in obtaining an approval of an improved biologic product, it may capture a significant share of the collective reference product market in the applicable jurisdiction and significantly reduce the market for the reference product and thereby the potential size of the market for our biosimilar product candidates. In addition, the improved product may be protected by additional patent rights that may subject our follow-on biosimilar to claims of infringement.</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Biologic reference products may also face competition as technological advances are made that may offer patients a more convenient form of administration or increased efficacy or as new products are introduced. As new products are approved that compete with the reference product to our biosimilar product candidates, or sales of the reference originator products may be adversely impacted or rendered obsolete. If the market for the reference product is impacted, we may lose significant market share or experience limited market potential for our approved biosimilar products or product candidates, and the value of our product pipeline could be negatively impacted. As a result of the above factors, our business, prospects and financial condition could suffer.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efforts by manufacturers of originator products to delay or limit the use of biosimilars are successful, our sales of biosimilar products may suffer.</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Many manufacturers of originator products have increasingly used legislative, regulatory and other means, such as litigation, to delay regulatory approval and to seek to restrict competition from manufacturers of biosimilars. These efforts may include or have included:</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settling patent lawsuits with biosimilar companies, resulting in such patents remaining an obstacle for biosimilar approval by others;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submitting Citizen Petitions to request the FDA Commissioner to take administrative action with respect to prospective and submitted biosimilar applications;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appealing denials of Citizen Petitions in United States federal district courts and seeking injunctive relief to reverse approval of biosimilar applications;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restricting access to reference brand products for equivalence and biosimilarity testing that interferes with timely biosimilar development plans;</w:t>
      </w:r>
    </w:p>
    <w:p>
      <w:pPr>
        <w:spacing w:after="0" w:line="113"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attempting to influence potential market share by conducting medical education with physicians, payors, regulators and patients claiming that biosimilar products are too complex for biosimilar approval or are too dissimilar from originator products to be trusted as safe and effective alternatives;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implementing payor market access tactics that benefit their brands at the expense of biosimilars;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seeking state law restrictions on the substitution of biosimilar products at the pharmacy without the intervention of a physician or through other restrictive means such as excessive recordkeeping requirements or patient and physician notification;</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seeking federal or state regulatory restrictions on the use of the same non-proprietary name as the reference brand product for a biosimilar or interchangeable biologic;</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seeking changes to the United States Pharmacopeia, an industry recognized compilation of drug and biologic standards;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new patents covering existing products or processes which could extend patent exclusivity for a number of years or otherwise delay the launch of biosimilars;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influencing legislatures so that they attach special patent extension amendments to unrelated federal legislation.</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2012, Abbott Laboratories filed a Citizen Petition with the FDA asking the agency to refrain from accepting biosimilar applications under the BPCIA arguing that to approve such applications, without compensation to the originator, would constitute an unconstitutional taking of an originator company’s valuable trade secrets under the fifth amendment of the United States constitution. The FDA has not yet acted on this petition and its outcome is uncertain. If the FDA grants Abbott Laboratories’ petition, we may be precluded from applying for approval of CHS-0214, CHS-1420 and CHS-1701 under the 351(k) pathway. Even if the FDA rejects Abbott Laboratories’ petition, we think it is likely that Abbott will file appeals to the federal courts and ultimately pursue its appeals to the United States Supreme Court. Other originator companies may file Citizen Petitions in an effort to restrict or prevent the introduction of biosimilars.</w:t>
      </w:r>
    </w:p>
    <w:p>
      <w:pPr>
        <w:spacing w:after="0" w:line="201"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jc w:val="both"/>
        <w:ind w:firstLine="456"/>
        <w:spacing w:after="0" w:line="287"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specialty pharmaceutical companies and biotechnology companies. Some of the pharmaceutical and biotechnology companies we expect to compete with include, for example, Sandoz International GmbH, or Sandoz, Hospira, Inc., or Hospira, Amgen, Pfizer Inc., or Pfizer, Boehringer Ingelheim GmbH, or Boehringer, Teva Pharmaceutical Industries, Ltd., or Teva, Samsung Bioepis, Ltd., or Bioepis, (a Merck/Biogen/Samsung biosimilar venture) and Hanwha Chemical Corporation, or Hanwha Momenta, as well as other smaller companies. We are currently aware that such competitors are engaged in the development of biosimilar product candidates to etanercept (Enbrel), adalimumab (Humira) and pegfilgrastim (Neulasta). For example, we understand that Sandoz, Samsung Group and Hanwha are each currently engaged in the development of competing biosimilar product candidates for etanercept (Enbrel). Each of Sandoz, Bioepis and Hanwha appear to have ongoing Phase 3 clinical trials for an etanercept (Enbrel) biosimilar product candidate which they initiated earlier than our own Phase 3 clinical trials. Similarly, we understand that Sandoz is engaged in the development of a pegfilgrastim (Neulasta) biosimilar product candidate and believe such development has completed two Phase 3 clinical trials. Boehringer, Amgen, and Pfizer are examples of companies engaged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development of biosimilar product candidates for adalimumab (Humira). We understand Boehringer Ingelheim’s program is in Phase 1, Pfizer’s program is in Phase 3, and that Amgen’s program has successfully completed Phase 3.</w:t>
      </w:r>
    </w:p>
    <w:p>
      <w:pPr>
        <w:spacing w:after="0" w:line="5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Many of our competitors have substantially greater financial, technical and other resources, such as larger research and development staff and experienced marketing and manufacturing organizations. Additional mergers and acquisitions in the pharmaceutical industry may result in even more resources being concentrated in our competitors. As a result, these companies may obtain regulatory approval more rapidly than we are able to and may be more effective in selling and marketing their products. Smaller or early-stage companies may also prove to be significant competitors, particularly through collaborative arrangements with large, established companies. Our competitors may succeed in developing, acquiring or licensing on an exclusive basis, products that are more effective or less costly than any product candidate that we may develop; they may also obtain patent protection that could block our products; and they may obtain regulatory approval, product commercialization and market penetration earlier than we do. Biosimilar product candidates developed by our competitors may render our potential product candidates uneconomical, less desirable or obsolete, and we may not be successful in marketing our product candidates against competitors. Competitors may also assert in their marketing or medical education programs that their biosimilar products demonstrate a higher degree of biosimilarity to the originator products than do ours or other competitor’s biosimilar products, thereby seeking to influence health care practitioners to select their biosimilar products, versus ours or other competitors.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If we are unable to establish sales and marketing capabilities in jurisdictions for which we choose to retain commercialization rights or if we are unable to enter into agreements with third parties to market and sell our product candidates, we may be unable to generate any revenue.</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currently have no marketing or sales organization. Although our employees may have sold other biologic products in the past while employed at other companies, our products have not yet been approved for sale, and thus we as a company have no experience selling and marketing our product candidates. To successfully commercialize any products that may result from our development programs, we will need to develop these capabilities, either on our own or with others. If our product candidates receive regulatory approval, we intend to establish a sales and marketing organization with technical expertise and supporting distribution capabilities to commercialize our product candidates in major markets where we may choose to retain commercialization rights. Doing so will be expensive, difficult and time consuming. Any failure or delay in the development of our internal sales, marketing and distribution capabilities would adversely impact the commercialization of our products.</w:t>
      </w:r>
    </w:p>
    <w:p>
      <w:pPr>
        <w:spacing w:after="0" w:line="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Further, given our lack of prior experience in marketing and selling biopharmaceutical products, our initial estimate of the size of the required sales force may be materially more or less than the size of the sales force actually required to effectively commercialize our product candidates. As such, we may be required to hire substantially more sales representatives to adequately support the commercialization of our product candidates or we may incur excess costs as a result of hiring more sales representatives than necessary. With respect to certain geographical markets, we may enter into collaborations with other entities to utilize their local marketing and distribution capabilities, but we may be unable to enter into such agreements on favorable terms, if at all. If our future collaboration partners do not commit sufficient resources to commercialize our future products, if any, and we are unable to develop the necessary marketing capabilities on our own, we will be unable to generate sufficient product revenue to sustain our business. We expect competition from companies such as Sandoz, Teva, Boehringer, Hospira, Pfizer and Amgen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0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may need to enter into alliances with other companies that can provide capabilities and funds for the development and commercialization of our product candidates. If we are unsuccessful in forming or maintaining these alliances on favorable terms, our business could be adversely affected.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Because we have limited or no internal capabilities for late-stage product development, manufacturing, sales, marketing and distribution, we have found it necessary to enter into alliances with other companies. For example, we entered into a collaboration agreement with Baxter for the development and commercialization of CHS-0214 in Europe, Brazil and other jurisdictions outside the United States. Similarly, we entered into a collaboration agreement with Daiichi Sankyo for the development and commercialization of CHS-0214 in Japan. For commercialization of our biosimilar product candidates in certain Caribbean and Latin American countries, we entered into an exclusive distribution arrangement with Orox. In the future, we may also find it necessary to form alliances or joint ventures with major pharmaceutical companies to jointly develop and/or commercialize specific biosimilar product candidates. In such alliances, we would expect our collaboration partners to provide substantial capabilities in clinical development, manufacturing, regulatory affairs, sales and marketing. We may not be successful in entering into any such alliances. Even if we do succeed in securing such alliances, we may not be able to maintain them if, for example, development or approval of a product candidate is delayed or sales of an approved product are disappointing. If we are unable to secure or maintain such alliances we may not have the capabilities necessary to continue or complete development of our product candidates and bring them to market, which may have an adverse effect on our business.</w:t>
      </w:r>
    </w:p>
    <w:p>
      <w:pPr>
        <w:spacing w:after="0" w:line="4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to product development and commercialization capabilities, we may depend on our alliances with other companies to provide substantial additional funding for development and potential commercialization of our product candidates. We may not be able to obtain funding on favorable terms from these alliances, and if we are not successful in doing so, we may not have sufficient funds to develop a particular product candidate internally or to bring product candidates to market. Failure to bring our product candidates to market will prevent us from generating sales revenue, and this may substantially harm our business. Furthermore, any delay in entering into these alliances could delay the development and commercialization of our product candidates and reduce their competitiveness even if they reach the market. As a result, our business and operating results may be adversely affected.</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Even with the requisite approvals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The degree of market acceptance of any of our product candidates, if approved for commercial sale, will depend on a number of factors, including:</w:t>
      </w:r>
    </w:p>
    <w:p>
      <w:pPr>
        <w:spacing w:after="0" w:line="3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studies and potential advantages over competing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that a competitor may achieve interchangeability and we may not;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our product may be more or less similar to the originator product than competing biosimilar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policies and practices governing the naming of biosimilar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prevalence of the disease or condition for which the product is approved;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treatment, particularly in relation to competing treatments;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the product is approved for inclusion on formularies of hospitals and managed care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extent to which third-party payors provide adequate third-party coverage and reimbursement for our product candidates, if approved;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Even if a potential product displays a favorable efficacy and safety profile in nonclinical and clinical studies, market acceptance of the product will not be fully known until after it is launched and may be negatively affected by a potential poor safety experience and the track record of other biosimilar product candidates. Our efforts to educate the medical community and third-party payors on the benefits of the product candidates may require significant resources, may be under-resourced compared to large well-funded pharmaceutical entities and may never be successful.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Policies and practices governing the naming of biosimilar product candidates are neither fully established nor fully harmonized and are subject to debate and change. Failure to achieve a non-proprietary name sufficiently close to the reference product or be competitively disadvantaged in this regard, could adversely affect the commercial performance of our biosimilar product candidate.</w:t>
      </w:r>
    </w:p>
    <w:p>
      <w:pPr>
        <w:spacing w:after="0" w:line="5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United States Adopted Name, and International Nonproprietary Names, or INN, two important bodies involved in nonproprietary nomenclature, have no policy for the naming of biosimilar product candidates, and products are named on a case-by-case basis. Non-glycosylated proteins can follow the approach established for small molecule generics, which is to retain the same non-proprietary name if it is synthesized by a different route provided the substance is the same. Glycosylated proteins from different sources are given distinct names, as these proteins are expected to differ in their glycosylation profile. The same approach is valid for all other modifications to the protein that can occur in a cell after the cell has finished making the protein. A system currently under discussion at the World Health Organization that would enable the clear definition of all Similar Biotherapeutic Proteins would include the INN of the reference product in the first part of the name, and some form of biological qualifier that could uniquely identify the substance. Currently the FDA and EMA have final authority regarding names in the United States and the E.U. respectively, and it is unclear how they will handle nonproprietary nomenclature in the future. However, if they adopt policies requiring non-proprietary names that are distinct from the reference product or chose to assign a competing biosimilar product candidate to a Coherus product with a lower degree of nomenclature distinction from the reference product, payors, providers and patients may be more hesitant to use our biosimilar product candidate, believing the difference in nomenclature to be indicative of an important difference in quality of function from the reference product or the competing biosimilar product candidate. If this were to occur, our business could be negatively affected.</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The third-party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Pricing, coverage and reimbursement of our biosimilar product candidates, if approved, may not be adequate to support our commercial infrastructure. Our per-patient prices may not be sufficient to recover our development and manufacturing costs and potentially achieve profitability. Accordingly, the availability and adequacy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coverage and reimbursement by governmental and private payors are essential for most patients to be able to afford expensive treatments such as ours, if approved.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adequate to allow us to establish or maintain pricing sufficient to realize a return on our investment.</w:t>
      </w:r>
    </w:p>
    <w:p>
      <w:pPr>
        <w:spacing w:after="0" w:line="39"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There is significant uncertainty related to third-party coverage and reimbursement of newly approved products. In the United States, third-party payors, including private and governmental payors such as the Medicare and Medicaid programs, play an important role in determining the extent to which new drugs and biologics will be covered and reimbursed. The Medicare program covers certain individuals aged 65 or older or those who are disabled or suffering from end-stage renal disease. The Medicaid program, which varies from state to state, covers certain individuals and families who have limited financial means. The Medicare and Medicaid programs increasingly are used as models for how private payors and other governmental payors develop their coverage and reimbursement policies for drugs and biologics. It is difficult to predict at this time what third-party payors will decide with respect to the coverage and reimbursement for our biosimilar product candidates, if approved. In addition, in the United States, no uniform policy of coverage and reimbursement for biologics exists among third-party payors. Therefore, coverage and reimbursement for biologics can differ significantly from payor to payor. As a result, the process for obtaining favorable coverage determinations often is time-consuming and costly and may require us to provide scientific and clinical support for the use of our products to each payor separately, with no assurance that coverage and adequate reimbursement will be obtained.</w:t>
      </w:r>
    </w:p>
    <w:p>
      <w:pPr>
        <w:spacing w:after="0" w:line="4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Outside the United States, pharmaceutical businesses are generally subject to extensive governmental price controls and other market regulations.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control healthcare costs may cause such organizations to limit both coverage and the level of reimbursement for new products approved and, as a result, they may not cover or provide adequate payment for our product candidates. While cost containment practices generally benefit biosimilars, severe cost containment practices may adversely affect our product sales.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biosimilar product candidates, if approved, could face price competition from other biosimilars of the same reference products for the same indication. This price competition could exceed our capacity to respond, detrimentally affecting our market share and revenue as well as adversely affecting the overall financial health and attractiveness of the market for the biosimilar.</w:t>
      </w:r>
    </w:p>
    <w:p>
      <w:pPr>
        <w:spacing w:after="0" w:line="5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expect to enter highly competitive biosimilar markets. Successful competitors in the biosimilar market have the ability to effectively compete on price through payors and their third-party administrators who exert downward pricing pressure. It is possible our biosimilar competitors’ compliance with price discounting demands in exchange for market share could exceed our capacity to respond in kind and reduce market prices beyond our expectations. Such practices may limit our and our collaboration partners’ ability to increase market share and will also impact profitability.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infringe or are alleged to infringe intellectual property rights of third parties, our business could be harmed. Third-party claims of intellectual property infringement may prevent or delay our development and commercialization efforts.</w:t>
      </w:r>
    </w:p>
    <w:p>
      <w:pPr>
        <w:spacing w:after="0" w:line="5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commercial success depends in large part on avoiding infringement of the patents and proprietary rights of third parties. There have been many lawsuits and other proceedings involving patent and other intellectual property rights in the pharmaceutical industry, including patent infringement lawsuits, interferences, oppositions and reexamination proceedings before the U.S. Patent and Trademark Office, or USPTO, and corresponding foreign patent offices. Numerous U.S. and foreign issued patents and pending patent applications, which are owned by third parties, exist in the fields in which we are developing product candidates. As the pharmaceutical industry expands and more patents are issued, the risk increases that our product candidates may be subject to claims of infringement of the patent rights of third parties.</w:t>
      </w:r>
    </w:p>
    <w:p>
      <w:pPr>
        <w:spacing w:after="0" w:line="6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research, development and commercialization activities may infringe or otherwise violate or be claimed to infringe or otherwise violate patents owned or controlled by other parties. The companies that originated the products for which we intend to introduce biosimilar versions, such as Amgen and AbbVie Inc., or AbbVie, as well as other competitors (including other companies developing biosimilars) have developed worldwide patent portfolios of varying sizes and breadth, many of which are in fields relating to our business, and it may not always be clear to industry participants, including us, which patents cover various types of products or methods of use.</w:t>
      </w:r>
    </w:p>
    <w:p>
      <w:pPr>
        <w:spacing w:after="0" w:line="6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compositions, formulations, methods of manufacture or methods for treatment related to the use or manufacture of our product candidates. While we have conducted freedom to operate analyses with respect to our lead product candidates CHS-0214, CHS-1420 and CHS-1701, we cannot guarantee that any of our analyses are complete and thorough, nor can we be sure that we have identified each and every patent and pending application in the United States and abroad that is relevant or necessary to the commercialization of our product candidates. Moreover, because patent applications can take many years to issue, there may be currently pending patent applications that may later result in issued patents covering our product candidates. We have not yet completed freedom to operate analysis on products we are evaluating for inclusion in our future biosimilar product pipeline and therefore we do not know whether or to what extent these products may be subject to unexpired patents.</w:t>
      </w:r>
    </w:p>
    <w:p>
      <w:pPr>
        <w:spacing w:after="0" w:line="3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which do not require publication of patent applications until 18 months after filing. Moreover, we face claims from non-practicing entities that have no relevant product revenue and against whom our own patent portfolio may have no deterrent effect. In addition,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and/or unenforceable, and we may not be able to do this. Proving that a patent is invalid or unenforceable is difficult. For example, in the United States, proving invalidity requires a showing of clear and convincing evidence to overcome the presumption of validity enjoyed by issued patents. Also in proceedings before courts in Europe, the burden of proving invalidity of the patent usually rests on the party alleging invalidity.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4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Third parties could bring claims against us that would cause us to incur substantial expenses and, if successful against us, could cause us to pay substantial monetary damages. Further, if a patent infringement suit were brought against us, we could be forced to stop or delay research, development, manufacturing or sales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product or product candidate that is the subject of the suit. Ultimately, we could be prevented from commercializing a product or be forced to cease some aspect of our business operations, if, as a result of actual or threatened patent infringement claims, we are unable to enter into licenses on commercially acceptable terms or at all. If, as a result of patent infringement claims or to avoid potential claims, we choose or are required to seek licenses from third parties, these licenses may not be available on acceptable terms or at all. Even if we are able to obtain a license, the license may obligate us to pay substantial license fees or royalties or both, and the rights granted to us might be nonexclusive, which could result in our competitors gaining access to the same intellectual property. Parties making claims against us may obtain injunctive or other equitable relief, which could effectively block our ability to further develop and commercialize one or more of our product candidates. Defense of these claims, regardless of their merit, would likely involve substantial litigation expense and would likely be a substantial diversion of employee resources from our business. In the event of a successful claim of infringement against us, we may, in addition to being blocked from the market, have to pay substantial monetary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4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addition to infringement claims against us, we may become a party to other patent litigation and other proceedings, including interference, inter partes review, or IPR, derivation or post-grant proceedings declared or granted by the USPTO and similar proceedings in foreign countries, regarding intellectual property rights with respect to our current or future products.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Third parties may submit applications for patent term extensions in the United States or other jurisdictions where similar extensions are available and/or Supplementary Protection Certificates in the E.U. states (including Switzerland) seeking to extend certain patent protection which, if approved, may interfere with or delay the launch of one or more of our biosimilar products.</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cost to us of any patent litigation or other proceeding, even if resolved in our favor, could be substantial. Patent litigation and other proceedings may fail, and even if successful, may result in substantial costs and distract our management and other employees. The companies that originated the products for which we intend to introduce biosimilar versions, as well as other competitors (including other biosimilar companies) may be able to sustain the costs of such litigation or proceedings more effectively than we can because of their substantially greater financial resources. Uncertainties resulting from the initiation and continuation of patent litigation or other proceedings could impair our ability to compete in the marketplace.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So called “submarine” patents may be granted to our competitors that may significantly alter our launch timing expectations, reduce our projected market size, cause us to modify our product or process or block us from the market altogether.</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term “submarine” patent has been used in the pharmaceutical industry and in other industries to denote a patent issuing from an application that was not published, publically known or available prior to its grant. Submarine patents add substantial risk and uncertainty to our business. Submarine patents may issue to our competitors covering our biosimilar product candidates or our pipeline candidates and thereby cause significant market entry delay, defeat our ability to market our products or cause us to abandon development and/or commercialization of a molecule.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Examples of submarine patents include Brockhaus, </w:t>
      </w:r>
      <w:r>
        <w:rPr>
          <w:rFonts w:ascii="Arial" w:cs="Arial" w:eastAsia="Arial" w:hAnsi="Arial"/>
          <w:sz w:val="18"/>
          <w:szCs w:val="18"/>
          <w:i w:val="1"/>
          <w:iCs w:val="1"/>
          <w:color w:val="auto"/>
        </w:rPr>
        <w:t>et al</w:t>
      </w:r>
      <w:r>
        <w:rPr>
          <w:rFonts w:ascii="Arial" w:cs="Arial" w:eastAsia="Arial" w:hAnsi="Arial"/>
          <w:sz w:val="18"/>
          <w:szCs w:val="18"/>
          <w:color w:val="auto"/>
        </w:rPr>
        <w:t>., U.S. patents 8,063,182 and 8,163,522 (controlled by Amgen), which are directed to the fusion protein in Enbrel. The Brockhaus patents are presently subject to litigation in which Sandoz is seeking to invalidate the patents. If challenges to the scope, validity or enforceability of the Brockhaus patents are not successful, these patents, unless licensed to us by Amgen, will preclude our ability to introduce an etanercept (Enbrel) biosimilar product candidate in the U.S. market until at least 2029.</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issuance of one or more submarine patents may harm our business by causing substantial delays in our ability to introduce a biosimilar candidate into the U.S. market.</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not identify relevant patents or may incorrectly interpret the relevance, scope or expiration of a patent which might adversely affect our ability to develop and market our products.</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products are not covered by a third party patent.</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failure to identify and correctly interpret relevant patents may negatively impact our ability to develop and market our products.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Although we are not currently involved in any litigation, we may be involved in lawsuits to protect or enforce our patents, which could be expensive, time consuming and unsuccessful.</w:t>
      </w:r>
    </w:p>
    <w:p>
      <w:pPr>
        <w:spacing w:after="0" w:line="5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Although we have no issued patents, when and if we do obtain issued patents, we may discover that competitors are infringing those patents. Expensive and time-consuming litigation may be required to abate such infringement. Although we are not currently involved in any litigation to enforce patents, if we or one of our collaboration partners, such as Baxter, Daiichi Sankyo or Orox,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but not limited to lack of novelty, obviousness or non-enablement. Grounds for an unenforceability assertion could include an allegation that someone involved in the prosecution of the patent withheld relevant or material information related to the patentability of the invention from the USPTO or made a misleading statement during prosecution. The outcome following legal assertions of invalidity and unenforceability is unpredictable.</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the prevailing party. Our business could be harmed if we cannot obtain a license from the prevailing party on commercially reasonable terms. Third parties may request an IPR of our patents in the USPTO. An unfavorable decision may result in the revocation of our patent or a limitation to the scope of the claims of our patents. Our defense of litigation, interference or IPR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any litigation we initiate to enforce our patents.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2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employ individuals, retain independent contractors and consultants and members on our board of directors or Scientific Advisory Board who were previously employed at universities or other pharmaceutical companies, including our competitors or potential competitors. For example, our Chief Executive Officer, Dennis M. Lanfear, and our Chief Technical Officer, Peter K. Watler, Ph.D., are former employees of Amgen. Our Chief Scientific Officer, Alan C. Herman, Ph.D., is a former employee of Amgen and Genentech. Mr. Lanfear and Drs. Watler and Herman were employed at Amgen during periods when Amgen’s operations included the development and commercialization of Neupogen, Neulasta and Enbrel. Our Chief Medical Officer, Barbara K. Finck, M.D., is a former employee of Immunex Corporation, or Immunex (the company that initially discovered the drug Enbrel and was later acquired by Amgen). Dr. Finck was involved in the clinical development of etanercept (Enbrel) while at Immunex and is a named inventor on at least four U.S. patents assigned to Amgen directed to the use of etanercept (Enbrel) for the treatment of psoriasis and psoriatic arthritis. Our board of directors and Scientific Advisory Board include members that were former employees of Genentech, Amgen and Abbott Laboratories. Although we try to ensure that our employees, consultants and independent contractors do not use the proprietary information or know-how of others in their work for us and we are not currently subject to any claims that they have done so, we may in the future be subject to such claims.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we are unable to obtain and maintain effective patent rights for our product candidates or any future product candidates, we may not be able to prevent competitors from using technologies we consider important in our successful development and commercialization of our product candidates, resulting in loss of any potential competitive advantage our patents may have otherwise afforded us.</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While our principal focus in matters relating to intellectual property is to avoid infringing the valid and enforceable rights of third parties, we also rely upon a combination of patents, trade secret protection and confidentiality agreements to protect our own intellectual property related to our product candidates and development programs. Our ability to enjoy any competitive advantages afforded by our own intellectual property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have sought to protect our proprietary position by filing patent applications in the United States and abroad related to our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we file will result in an issued patent having claims that protect our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w:t>
      </w:r>
    </w:p>
    <w:p>
      <w:pPr>
        <w:spacing w:after="0" w:line="3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patent positions of biopharmaceutical companies generally are highly uncertain and involve complex legal and factual questions for which legal principles remain unresolved. As a result, the patent applications that we own or license may fail to result in issued patents with claims that cover our product candidates in the United States or in other foreign countries for many reasons.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Even if patents do successfully issue, and even if such patents cover our product candidates, third parties may challenge their validity, enforceability or scope, which may result in such patent claims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w:t>
      </w:r>
    </w:p>
    <w:p>
      <w:pPr>
        <w:spacing w:after="0" w:line="39"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Patents granted by the European Patent Office may be opposed by any person within nine months from the publication of their grant and, in addition, may be challenged before national courts at any time.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 In addition, recent changes to the patent laws of the United States provide additional procedures for third parties to challenge the validity of issued patents based on patent applications filed after March 15, 2013. If the breadth or strength of protection provided by the patents and patent applications we hold or pursue with respect to our current or future product candidates is challenged, then it could threaten our ability to prevent competitive products using our proprietary technology. Further, because patent applications in the United States and most other countries are confidential for a period of time, typically for 18 months after filing, we cannot be certain that we were the first to either (i) file any patent application related to our product candidates or (ii) invent any of the inventions claimed in our patents or patent applications. Furthermore, for applications filed before March 16, 2013 or patents issuing from such applications, an interference proceeding can be provoked by a third party or instituted by the USPTO to determine who was the first to invent any of the subject matter covered by the patent claims of our applications and patents. As of March 16, 2013, the United States transitioned to a “first-to-file” system for deciding which party should be granted a patent when two or more patent applications claiming the same invention are filed by different parties. A third party that files a patent application in the USPTO before we do could therefore be awarded a patent covering an invention of ours even if we had made the invention before it was made by the third party.</w:t>
      </w:r>
    </w:p>
    <w:p>
      <w:pPr>
        <w:spacing w:after="0" w:line="4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change to “first-to-file” from “first-to-invent” is one of the changes to the patent laws of the United States resulting from the Leahy-Smith America Invents Act, or the Leahy-Smith Act, signed into law on September 16, 2011. Among some of the other significant changes to the patent laws are changes that limit where a patentee may file a patent infringement suit and provide opportunities for third parties to challenge any issued patent in the USPTO. It is not yet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do not have any issued patents, but we have filed patent applications, which are currently pending, covering various aspects of our product candidates. We cannot offer any assurances about which, if any, patents will issue, the breadth of any such patent or whether any issued patents will be found invalid and unenforceable or will be threatened or infringed by third parties. Any successful actions by third parties to challenge the validity or enforceability of any patents which may issue to us could deprive us of the ability to prevent others from using the technologies claimed in such issued patents. Further, if we encounter delays in regulatory approvals, the period of time during which we could market a product candidate under patent protection could be reduced.</w:t>
      </w:r>
    </w:p>
    <w:p>
      <w:pPr>
        <w:spacing w:after="0" w:line="35"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While our business is based primarily on the timing of our biosimilar product launches to occur after the expiration of relevant patents, we have filed a number of patents covering our own proprietary formulations and processes for our product candidates when we have believed securing such patents may afford a competitive advantage. For example, the companies that originated Enbrel and Humira (Amgen and AbbVie, respectively) own patents directed to formulations for these products. Rather than wait for the expiration of these formulation patents, we have developed our own proprietary formulations for these products which we believe are not covered by third party patents, including Amgen or AbbVie’s formulation patents; and we have filed patent applications covering our formulations. We cannot guarantee that our proprietary formulations will avoid infringement of third party patents. Moreover, because competitors may be able to develop their own proprietary product formulations, it is uncertain whether issuance of any of our pending patent applications directed to formulations of etanercept (Enbrel) and adalimumab (Humira) would cover the formulations of any competitors. For example, we are aware that Sandoz is developing biosimilar versions of etanercept (Enbrel) and adalimumab (Humira) and has filed patent applications directed to formulations of etanercept (Enbrel) and adalimumab (Humira). We are also aware that Boehringer-Ingelheim is developing a biosimilar version of adalimumab (Humira) and has filed a patent application directed to formulations of adalimumab (Humira). We have also filed patent applications, none of which have yet issued, directed to aspects of our manufacturing processes for CHS-0214. In contrast to our patent applications directed to formulations of CHS-0214 and CHS-1420, the proprietary technologies embodied in our process-related patent filings, while directed to inventions we believe may provide us with competitive advantage, were not developed by us to avoid third party patents. As in the case of our formulation patent filings, it is highly uncertain and we cannot predict whether our patent filings on process enhancements will afford us a competitive advantage against third parties.</w:t>
      </w:r>
    </w:p>
    <w:p>
      <w:pPr>
        <w:spacing w:after="0" w:line="4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do not consider it necessary for us or our competitors to obtain or maintain a proprietary patent position in order to engage in the business of biosimilar development and commercialization. Hence, while our ability to secure patent coverage on our own proprietary developments may improve our competitive position with respect to the product candidates we intend to commercialize, we do not view our own patent filings as a necessary or essential requirement for conducting our business nor do we rely on our own patent filings or the potential for any commercial advantage they may provide us as a basis for our success.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Filing, prosecuting, defending and enforcing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protect intellectual property rights to the same extent as federal and state laws in the United States. Further, licensing partners such as Baxter or Daiichi Sankyo may chose not to file patent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products and our patents or other intellectual property rights may not be effective or sufficient to prevent them from competing.</w:t>
      </w:r>
    </w:p>
    <w:p>
      <w:pPr>
        <w:spacing w:after="0" w:line="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Governments of some foreign countries may force us to license our patents to third parties on terms that are not commercially reasonable or acceptable to us. Accordingly, our efforts to enforce our intellectual property rights around the world may be inadequate to obtain a significant commercial advantage from the intellectual property that we develop or license.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Therefore, obtaining and enforcing biopharmaceutical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to increasing uncertainty with regard to our ability to obtain patents in the future, this combination of events has created uncertainty with respect to the value of patents, once obtained. Depending on future actions by the United States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maintain effective (non-patent) proprietary rights for our product candidates or any future product candidates, we may not be able to compete effectively in our markets.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for example, our employees, consultants, scientific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advisors, board members, contractors, potential collaborators and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spacing w:after="0" w:line="3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We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 filings and other intellectual property.</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Although we are not currently aware of any claims challenging the inventorship of our patent applications or ownership of our intellectual property, 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2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are a party to certain non-exclusive intellectual property license agreements with Genentech (pertaining to the production of monoclonal antibodies) and Selexis SA (pertaining to cell lines for CHS-0214 and CHS-1420) that are important to our business, and we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event we breach any of our obligations related to such agreements, we may incur significant liability to our licensing partners. Disputes may arise regarding intellectual property subject to a licensing agreement, including but not limited to:</w:t>
      </w:r>
    </w:p>
    <w:p>
      <w:pPr>
        <w:spacing w:after="0" w:line="5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sublicensing of patents and other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have a material adverse effect on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 candidates through acquisitions and in-licenses.</w:t>
      </w:r>
    </w:p>
    <w:p>
      <w:pPr>
        <w:spacing w:after="0" w:line="11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currently have rights to certain intellectual property, through licenses from third parties and under patent applications that we own, to develop CHS-0214 and CHS-1420.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 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3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market our products in the United States may be significantly delayed or prevented by the BPCIA patent dispute resolution mechanism.</w:t>
      </w:r>
    </w:p>
    <w:p>
      <w:pPr>
        <w:spacing w:after="0" w:line="11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Biologics Price Competition and Innovation Act of 2009, Title VII, Subtitle A of the Patent Protection and Affordable Care Act, Pub.L.No.111-148, 124 Stat.119, Sections 7001-02 signed into law March 23, 2010, and codified in 42 U.S.C. §262, or the BPCIA, created an elaborate and complex patent dispute resolution mechanism for biosimilars that could prevent us from launching our product candidates in the United States or could substantially delay such launches. The BPCIA mechanism required for 351(k) biosimilar applicants may pose greater risk that patent infringement litigation will disrupt our activities, as compared to the litigation risk to which we might be exposed under a traditional 351(a) BLA regulatory pathway.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BPCIA mandates patent disclosure and briefing requirements that are demanding, time-sensitive and, to date, untested. The following is an overview of the patent exchange and patent briefing procedures required by the BPCIA:</w:t>
      </w:r>
    </w:p>
    <w:p>
      <w:pPr>
        <w:spacing w:after="0" w:line="51" w:lineRule="exact"/>
        <w:rPr>
          <w:sz w:val="20"/>
          <w:szCs w:val="20"/>
          <w:color w:val="auto"/>
        </w:rPr>
      </w:pPr>
    </w:p>
    <w:p>
      <w:pPr>
        <w:ind w:left="9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Disclosure of the Biosimilar Application. Within 20 days after the FDA publishes a notice that its application has been accepted for review, a 351(k) biosimilar applicant must provide a copy of its application to the originator.</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Pertinent Patents. Within 60 days of the date of receipt of the application the originator must identify patents owned or controlled by the originator which it believes could be asserted against the biosimilar applicant.</w:t>
      </w:r>
    </w:p>
    <w:p>
      <w:pPr>
        <w:spacing w:after="0" w:line="50"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Statement by the Biosimilar Applicant. Following the receipt of the originator’s patent list, the biosimilar applicant must state either that it will not market its product until the relevant patents have expired or alternatively provide its arguments that the patents are invalid, unenforceable or would not be infringed by the proposed biosimilar product candidate. The biosimilar applicant may also provide the originator with a list of patents it believes the brand-name firm could assert against the reference product.</w:t>
      </w:r>
    </w:p>
    <w:p>
      <w:pPr>
        <w:spacing w:after="0" w:line="62"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Statement by the Originator. In the event the biosimilar applicant has asserted that the patents are invalid, unenforceable or would not be infringed by the proposed follow-on product, the originator must provide the biosimilar applicant with a response within 60 days. The response must provide the legal and factual basis of the opinion that such patent will be infringed by the commercial marketing of the proposed biosimilar.</w:t>
      </w:r>
    </w:p>
    <w:p>
      <w:pPr>
        <w:spacing w:after="0" w:line="25" w:lineRule="exact"/>
        <w:rPr>
          <w:rFonts w:ascii="Arial" w:cs="Arial" w:eastAsia="Arial" w:hAnsi="Arial"/>
          <w:sz w:val="16"/>
          <w:szCs w:val="16"/>
          <w:color w:val="auto"/>
        </w:rPr>
      </w:pPr>
    </w:p>
    <w:p>
      <w:pPr>
        <w:jc w:val="both"/>
        <w:ind w:left="90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Resolution Negotiations. If the originator provides its detailed views that the proposed biosimilar would infringe valid and enforceable patents, then the parties are required to engage in good faith negotiations to identify which of the discussed patents will be the subject of a patent infringement action. If the parties agree on the patents to be litigated, the brand-name firm must bring an action for patent infringement within 30 days.</w:t>
      </w:r>
    </w:p>
    <w:p>
      <w:pPr>
        <w:spacing w:after="0" w:line="62"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Simultaneous Exchange of Patents. If those negotiations do not result in an agreement within 15 days, then the biosimilar applicant must notify the originator of how many patents (but not the identity of those patents) that it wishes to litigate. Within five days, the parties are then required to exchange lists identifying the patents to be litigated. The number of patents identified by the originator may not exceed the number provided by the biosimilar applicant. However, if the biosimilar applicant previously indicated that no patents should be litigated, then the originator may identify one patent.</w:t>
      </w:r>
    </w:p>
    <w:p>
      <w:pPr>
        <w:spacing w:after="0" w:line="61"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of Patent Litigation. The originator must then commence patent infringement litigation within 30 days. That litigation will involve all of the patents on the originator’s list and all of the patents on the follow-on applicant’s list. The follow-on applicant must then notify the FDA of the litigation. The FDA must then publish a notice of the litigation in the Federal Register.</w:t>
      </w:r>
    </w:p>
    <w:p>
      <w:pPr>
        <w:spacing w:after="0" w:line="59"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Notice of Commercial Marketing. The BPCIA requires the biosimilar applicant to provide notice to the originator 180 days in advance of its first commercial marketing of its proposed follow-on biologic. The originator is allowed to seek a preliminary injunction blocking such marketing based upon any patents that either party had preliminarily identified, but were not subject to the initial phase of patent litigation. The litigants are required to “reasonably cooperate to expedite such further discovery as is needed” with respect to the preliminary injunction motion.</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Biosimilar companies such as ours have the option of applying for U.S. regulatory approval for our products under either a traditional 351(a) BLA approval route, or under the recently enacted streamlined 351(k) approval route established by the BPCIA. The factors underpinning such a decision are extremely complex and involve, among other things, balancing legal risk (in terms of, e.g., the degree and timing of exposure to potential patent litigation by the originator) versus regulatory risks (in terms of, e.g., the development costs and the differing scope of regulatory approval that may be afforded under 351(a) versus 351(k)).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 significant legal risk in pursuing regulatory approval under the 351(k) regulatory approval route is that the above-summarized patent exchange process established by the BPCIA could result in the initiation of patent infringement litigation prior to FDA approval of a 351(k) application, and such litigation could result in blocking the market entry of our products. In particular, while the 351(k) route is more attractive to us (versus 351(a)) for reasons related to development time and costs and the potential broader scope of eventual regulatory approval for our proposed biosimilar candidates, the countervailing risk in such a regulatory choice is that the complex patent exchange process mandated by the BPCIA could ultimately prevent or substantially delay us from launching our products in the United States.</w:t>
      </w:r>
    </w:p>
    <w:p>
      <w:pPr>
        <w:spacing w:after="0" w:line="6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Moreover, the disclosure process required in Step 1 of the process outlined above, which requires the biosimilar applicant to disclose not only the regulatory application but also the applicant’s manufacturing process, has the potential to afford originators an easier path than traditional infringement litigation for developing any factual grounds they may require to support allegations of infringement. The rules established in the BPCIA’s patent dispute procedures (versus the rules governing traditional patent infringement litigation) place biosimilar firms at a significant disadvantage by affording originators a much easier mechanism for factual discovery, thereby increasing the risk that a biosimilar product could be blocked from the market more quickly than under traditional patent infringement litigation processes.</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Preparing for and conducting the patent exchange, briefing and negotiation process outlined above will require extraordinarily sophisticated legal counseling and extensive planning, all under extremely tight deadlines. Moreover, it may be difficult for us to secure such legal support if large, well-funded originators have already entered into engagements with highly qualified law firms or if the most highly qualified law firms choose not to represent biosimilar applicants due to their long standing relationships with originators.</w:t>
      </w:r>
    </w:p>
    <w:p>
      <w:pPr>
        <w:spacing w:after="0" w:line="6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Furthermore, we could be at a serious disadvantage in this process as an originator company, such as Amgen (in the case of CHS-1420 or CHS-0214) or AbbVie (in the case of CHS-1420) may be able to apply substantially greater legal and financial resources to this process than we could.</w:t>
      </w:r>
    </w:p>
    <w:p>
      <w:pPr>
        <w:spacing w:after="0" w:line="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 xml:space="preserve">We are aware that some biosimilar companies, namely Sandoz and Celltrion, Inc., or Celltrion, have engaged in legal challenges against originators to establish their right to bring declaratory judgment actions against such originators outside the complex framework of the BPCIA patent exchange rules in order to challenge the validity of the originators’ patents </w:t>
      </w:r>
      <w:r>
        <w:rPr>
          <w:rFonts w:ascii="Arial" w:cs="Arial" w:eastAsia="Arial" w:hAnsi="Arial"/>
          <w:sz w:val="16"/>
          <w:szCs w:val="16"/>
          <w:i w:val="1"/>
          <w:iCs w:val="1"/>
          <w:color w:val="auto"/>
        </w:rPr>
        <w:t>prior</w:t>
      </w:r>
      <w:r>
        <w:rPr>
          <w:rFonts w:ascii="Arial" w:cs="Arial" w:eastAsia="Arial" w:hAnsi="Arial"/>
          <w:sz w:val="16"/>
          <w:szCs w:val="16"/>
          <w:color w:val="auto"/>
        </w:rPr>
        <w:t xml:space="preserve"> to the filing of any biosimilar regulatory application. For example, in the Sandoz case against the originator Amgen (relating to Sandoz’ proposed etanercept (Enbrel) biosimilar) the Federal District Court ruled that Sandoz did not have the right to bring a declaratory judgment action against Amgen to challenge the validity of certain Amgen-controlled patents directed to Enbrel, but instead determined that Sandoz must use the patent exchange mechanism established in the BPCIA. Sandoz appealed this decision to the United States Court of Appeals for the Federal Circuit, and on December 5, 2014 the Federal Circuit Court ruled that Sandoz had not met the legal requirements to pursue a declaratory judgment action against Amgen. The Federal Circuit Court did not address whether the patent resolution mechanism established in the BPCIA would preclude Sandoz from filing its declaratory judgment action against Amgen if and when it files an FDA application under the BCPIA for its etanercept biosimilar.</w:t>
      </w:r>
    </w:p>
    <w:p>
      <w:pPr>
        <w:spacing w:after="0" w:line="3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October 2014, Amgen filed suit in federal district court against Sandoz alleging that Sandoz unlawfully refused to follow the patent resolution provisions of the BPCIA in connection with Sandoz’ July 2014 regulatory approval application under 351(k) for its Neupogen (filgrastim) biosimilar, Zarxio. Amgen is seeking declaratory and injunctive relief. In October 2014 Amgen also filed a Citizen’s Petition with the FDA asking that the FDA require biosimilar applicants to comply with the BCPIA by providing to the reference product sponsor a copy of the biosimilar application accepted for review, together with information that fully describes the manufacture of the proposed biosimilar product, within 20 days after being informed by the FDA that the biosimilar application has been accepted for review. On March 19, 2015, the district court refused Amgen’s request to enjoin Sandoz’ launch of Zarxio and ruled that the patent resolution provisions of the BPCIA (summarized above in paragraphs 1 through 8) are optional insofar as it is permissible for a 351(k) applicant to decide not to provide its BLA and/or manufacturing information to the originator. The court also held that a biosimilar applicant need not wait until it receives BLA approval to provide the 180 prior day notice of commercial marketing set forth in the BPCIA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provisions (see paragraph 8 above), but instead may provide such notice to the originator, if at all, prior to receiving FDA approval. On March 26, 2015, the FDA denied Amgen’s Citizen’s Petition.</w:t>
      </w:r>
    </w:p>
    <w:p>
      <w:pPr>
        <w:spacing w:after="0" w:line="5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While the ability to file declaratory judgment actions outside the framework of the BPCIA, or to treat the patent resolution mechanism of this framework as optional, may be attractive to us for addressing and resolving patent infringement risks prior to the expenditure of substantial development and regulatory costs, we see substantial risk that the Federal Appeals Court could reverse the District Court’s decision in the Amgen v. Sandoz case and instead rule that the patent resolution framework of the BCPIA is mandatory, and that Sandoz violated this framework by refusing to follow it. These pending court cases may ultimately require biosimilar applicants to test (or defend against) originator patents </w:t>
      </w:r>
      <w:r>
        <w:rPr>
          <w:rFonts w:ascii="Arial" w:cs="Arial" w:eastAsia="Arial" w:hAnsi="Arial"/>
          <w:sz w:val="16"/>
          <w:szCs w:val="16"/>
          <w:i w:val="1"/>
          <w:iCs w:val="1"/>
          <w:color w:val="auto"/>
        </w:rPr>
        <w:t>only</w:t>
      </w:r>
      <w:r>
        <w:rPr>
          <w:rFonts w:ascii="Arial" w:cs="Arial" w:eastAsia="Arial" w:hAnsi="Arial"/>
          <w:sz w:val="16"/>
          <w:szCs w:val="16"/>
          <w:color w:val="auto"/>
        </w:rPr>
        <w:t xml:space="preserve"> in the BPCIA process, </w:t>
      </w:r>
      <w:r>
        <w:rPr>
          <w:rFonts w:ascii="Arial" w:cs="Arial" w:eastAsia="Arial" w:hAnsi="Arial"/>
          <w:sz w:val="16"/>
          <w:szCs w:val="16"/>
          <w:i w:val="1"/>
          <w:iCs w:val="1"/>
          <w:color w:val="auto"/>
        </w:rPr>
        <w:t>after</w:t>
      </w:r>
      <w:r>
        <w:rPr>
          <w:rFonts w:ascii="Arial" w:cs="Arial" w:eastAsia="Arial" w:hAnsi="Arial"/>
          <w:sz w:val="16"/>
          <w:szCs w:val="16"/>
          <w:color w:val="auto"/>
        </w:rPr>
        <w:t xml:space="preserve"> they have filed for regulatory approval under 351(k). We believe this required order of events may expose biosimilar applicants to more patent litigation risk than they might otherwise be exposed to in litigation conducted outside the BPCIA framework, such as (i) under a regulatory application that we might choose to pursue under 351(a), where an originator would not be able to use the BPCIA procedures to potentially block the launch of a biosimilar product candidate; or (ii) under a 351(k) application in which federal court rulings may conclude it is permissible for biosimilar applicants to “opt out” of the BCPIA patent resolution mechanism, as has Sandoz in its 351(k) application for Zarxio.</w:t>
      </w:r>
    </w:p>
    <w:p>
      <w:pPr>
        <w:spacing w:after="0" w:line="4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Whether courts will ultimately view the BPCIA process as the </w:t>
      </w:r>
      <w:r>
        <w:rPr>
          <w:rFonts w:ascii="Arial" w:cs="Arial" w:eastAsia="Arial" w:hAnsi="Arial"/>
          <w:sz w:val="18"/>
          <w:szCs w:val="18"/>
          <w:i w:val="1"/>
          <w:iCs w:val="1"/>
          <w:color w:val="auto"/>
        </w:rPr>
        <w:t>sole</w:t>
      </w:r>
      <w:r>
        <w:rPr>
          <w:rFonts w:ascii="Arial" w:cs="Arial" w:eastAsia="Arial" w:hAnsi="Arial"/>
          <w:sz w:val="18"/>
          <w:szCs w:val="18"/>
          <w:color w:val="auto"/>
        </w:rPr>
        <w:t xml:space="preserve"> and mandatory framework for a biosimilar entity and the originator to identify and potentially initiate patent litigation prior to launch of a biosimilar product remains highly uncertain. We see substantial risk that a final outcome to that effect in the Sandoz and Celltrion cases could increase patent infringement risks for companies, including ours, seeking to introduce biosimilar versions of originator products.</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we file a 351(k) regulatory approval application for one or more of our products, we may consider it necessary or advisable to adopt the strategy of selecting one or more patents of the originator to litigate in the above described BPCIA process (for example in steps 3 and 7, of the process, as outlined above), either to assert our non-infringement of such patents or to challenge their validity; but we may ultimately not be successful in that strategy and could be prevented from marketing the product in the United States.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complex, untested and uncertain rules of the BPCIA patent provisions, coupled with the inherent uncertainty surrounding the legal interpretation of any originator patents that might be asserted against us in this new process, we see substantial risk that the BPCIA process may significantly delay or defeat our ability to market our products in the United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develop or commercialize additional product candidates.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Although a substantial amount of our effort will focus on the continued clinical testing, potential approval and commercialization of our existing product candidates, the success of our business also depends upon our ability to identify, develop and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development efforts may fail to yield additional product candidates suitable for clinical development and commercialization for a number of reasons, including but not limited to the following:</w:t>
      </w:r>
    </w:p>
    <w:p>
      <w:pPr>
        <w:spacing w:after="0" w:line="35"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successful in identifying potential product candidates that pass our strict screening criteria;</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overcome technological hurdles to development or a product candidate may not be capable of producing commercial quantities at an acceptable cost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product candidates may not succeed in nonclinical or clinical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potential product candidates may fail to show sufficient biosimilarity to originator molecules;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 or the market for a product candidate may change such that a product candidate may not justify further development.</w:t>
      </w:r>
    </w:p>
    <w:p>
      <w:pPr>
        <w:spacing w:after="0" w:line="5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or we may not be able to identify, develop or commercialize additional product candidates, which would have a material adverse effect on our business and could potentially cause us to cease operations.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 addition, the Sarbanes-Oxley Act of 2002, or the Sarbanes-Oxley Act, as well as rules subsequently implemented by the Securities and Exchange Commission, or SEC, and The NASDAQ Global Market, or NASDAQ,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pay parity. Recent legislation permits smaller “emerging growth companies” such as us to implement many of these requirements over a longer period and up to five years from the pricing of our IPO on November 6, 2014.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In particular, we will be required to perform system and process evaluation and testing of our internal controls over financial reporting to allow management to report, commencing in our annual report on Form 10-K for the year ending December 31, 2015, on the effectiveness of our internal controls over financial reporting, if then required by Section 404 of the Sarbanes-Oxley Act. Our testing may reveal deficiencies in our internal controls over financial reporting that are deemed to be material weaknesses. Our compliance with Section 404 will require that we incur substantial accounting expense and expend significant management efforts. We currently do not have an internal audit group and rely on independent contractors for control monitoring and for the preparation and review of our consolidated financial statements. We are actively seeking additional accounting and financial staff with appropriate public company experience and technical accounting knowledge to augment our current staff. Moreover, if we are not able to comply with the requirements of Section 404 in a timely manner or if we identify or our independent registered public accounting firm identifies deficiencies in our internal controls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4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New laws and regulations as well as changes to existing laws and regulations affecting public companies, including the provisions of the Sarbanes-Oxley Act and rules adopted by the SEC and by NASDAQ, would likely result in increased costs to us as we respond to their requirements.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material weakness in our internal controls over financial reporting.</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connection with the audit of our financial statements from inception through December 31, 2013,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deficiency in the design and operating effectiveness of our internal control related to the valuation of complex securities.</w:t>
      </w:r>
    </w:p>
    <w:p>
      <w:pPr>
        <w:spacing w:after="0" w:line="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implemented changes to our disclosure controls and procedures and internal control over financial reporting to remediate the material weakness identified above. We strengthened the operation of our internal controls over the accounting for non-routine, complex equity transactions, including increasing the depth and experience within our accounting and finance organization, as well as designing and implementing improved processes and internal controls to identify such matters. We have hired additional personnel to build our financial management and reporting infrastructure, including the hiring of our Chief Financial Officer and Vice President of Finance, in the third and fourth quarter of 2014, respectively.</w:t>
      </w:r>
    </w:p>
    <w:p>
      <w:pPr>
        <w:spacing w:after="0" w:line="3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Although we have taken steps that we believe have addressed the underlying causes of the material weakness described above and there were no material weaknesses identified in connection with the audit of our financial statements for the year ended December 31, 2014, other material weaknesses or deficiencies in our control environment may be identified in the future and we may be unable to accurately report our financial results, or report them within the time frames required by law or exchange regulations.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together, the PPACA, was passed, which substantially changes the way health care is financed by both governmental and private insurers and significantly impacts the U.S. pharmaceutical industry. The PPACA, among other things,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adds a provision to increase the Medicaid rebate for line extensions or reformulated drugs, establishes annual fees and taxes on manufacturers of certain branded prescription drugs and promotes a new Medicare Part D coverage gap discount program.</w:t>
      </w:r>
    </w:p>
    <w:p>
      <w:pPr>
        <w:spacing w:after="0" w:line="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will stay in effect through 2024 unless additional Congressional action is taken. On January 2, 2013, President Obama signed into law the American Taxpayer Relief Act of 2012 which, among other things, further reduced Medicare payments to certain providers, including physicians, hospitals and cancer treatment centers.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57" w:lineRule="auto"/>
        <w:rPr>
          <w:sz w:val="20"/>
          <w:szCs w:val="20"/>
          <w:color w:val="auto"/>
        </w:rPr>
      </w:pPr>
      <w:r>
        <w:rPr>
          <w:rFonts w:ascii="Arial" w:cs="Arial" w:eastAsia="Arial" w:hAnsi="Arial"/>
          <w:sz w:val="15"/>
          <w:szCs w:val="15"/>
          <w:b w:val="1"/>
          <w:bCs w:val="1"/>
          <w:i w:val="1"/>
          <w:iCs w:val="1"/>
          <w:color w:val="auto"/>
        </w:rPr>
        <w:t>We may be subject, directly or indirectly, to federal and state healthcare laws, including fraud and abuse, false claims, physician payment transparency and health information privacy and security laws. If we are unable to comply or have not fully complied with such laws, we could face substantial penalties.</w:t>
      </w:r>
    </w:p>
    <w:p>
      <w:pPr>
        <w:jc w:val="both"/>
        <w:ind w:firstLine="456"/>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62" w:lineRule="exact"/>
        <w:rPr>
          <w:sz w:val="20"/>
          <w:szCs w:val="20"/>
          <w:color w:val="auto"/>
        </w:rPr>
      </w:pPr>
    </w:p>
    <w:p>
      <w:pPr>
        <w:jc w:val="both"/>
        <w:ind w:left="900" w:hanging="325"/>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cash or in kind, to induce or in return for the purchase, recommendation, order or furnishing of an item or service reimbursable, in whole or in part, under a federal healthcare program, such as the Medicare and Medicaid programs;</w:t>
      </w:r>
    </w:p>
    <w:p>
      <w:pPr>
        <w:spacing w:after="0" w:line="25"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and which may apply to entities that provide coding and billing advice to customers;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which imposes certain requirements relating to the privacy, security and transmission of individually identifiable health information;</w:t>
      </w:r>
    </w:p>
    <w:p>
      <w:pPr>
        <w:spacing w:after="0" w:line="4" w:lineRule="exact"/>
        <w:rPr>
          <w:rFonts w:ascii="Arial" w:cs="Arial" w:eastAsia="Arial" w:hAnsi="Arial"/>
          <w:sz w:val="16"/>
          <w:szCs w:val="16"/>
          <w:color w:val="auto"/>
        </w:rPr>
      </w:pPr>
    </w:p>
    <w:p>
      <w:pPr>
        <w:jc w:val="both"/>
        <w:ind w:left="900" w:hanging="325"/>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PPACA, which requires certain manufacturers of drugs, devices, biologics and medical supplies to report annually to the Centers for Medicare &amp; Medicaid Services information related to payments and other transfers of value made by such manufacturers to physicians and teaching hospitals and ownership and investment interests held by physicians and their immediate family members and applicable group purchasing organizations; and</w:t>
      </w:r>
    </w:p>
    <w:p>
      <w:pPr>
        <w:spacing w:after="0" w:line="62" w:lineRule="exact"/>
        <w:rPr>
          <w:rFonts w:ascii="Arial" w:cs="Arial" w:eastAsia="Arial" w:hAnsi="Arial"/>
          <w:sz w:val="18"/>
          <w:szCs w:val="18"/>
          <w:color w:val="auto"/>
        </w:rPr>
      </w:pPr>
    </w:p>
    <w:p>
      <w:pPr>
        <w:jc w:val="both"/>
        <w:ind w:left="900" w:hanging="325"/>
        <w:spacing w:after="0" w:line="290"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that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3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PPACA, among other things, amends the intent requirement of the federal anti-kickback and criminal healthcare fraud statutes. A person or entity no longer needs to have actual knowledge of this statute or specific intent to violate it. Moreover, the PPACA provides that the government may assert that a claim including items or services resulting from a violation of the federal anti-kickback statute constitutes a false or fraudulent claim for purposes of the False Claims Act.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international aspects of our business expose us to business, regulatory, political, operational, financial and economic risks associated with doing business outside of the United States.</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currently have limited international operations of our own and have a number of international collaborations. Doing business internationally involves a number of risks, including but not limited to:</w:t>
      </w:r>
    </w:p>
    <w:p>
      <w:pPr>
        <w:spacing w:after="0" w:line="51" w:lineRule="exact"/>
        <w:rPr>
          <w:sz w:val="20"/>
          <w:szCs w:val="20"/>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failure by us or our collaboration partners to obtain and maintain regulatory approvals for the use of our products in various countries;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by us or our collaboration partners;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 by our collaboration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limits in our or our collaboration partners’ ability to penetrate international markets;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Sanctions against Russia, and Russia’s response to those sanctions, could materially adversely affect our business, financial condition and results of operations.</w:t>
      </w:r>
    </w:p>
    <w:p>
      <w:pPr>
        <w:spacing w:after="0" w:line="5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Due to Russia’s recent military intervention in Ukraine, the United States and the E.U. have imposed sanctions on certain individuals and one financial institution in Russia and have proposed the use of broader economic sanctions. In response, Russia has imposed entry bans on certain U.S. lawmakers and officials. Our wholly owned subsidiary, InteKrin Therapeutics, Inc., or InteKrin, which we acquired in February 2014 is majority owner of a Russian pharmaceutical development entity, ZAO InteKrin, which holds $2.2 million of cash in Russian banks as of December 31, 2014. This Russian subsidiary of InteKrin conducts research and development activities for a product we acquired as part of our acquisition of InteKrin. The product is a small molecule peroxisome proliferator-activated receptor, or PPAR, gamma inhibitor that may hold promise in treatment of multiple sclerosis, or MS. While not a biosimilar, this PPAR gamma inhibitor compound may be complementary to biosimilar products for treatment of MS the Company is currently evaluating for inclusion in its pipeline. If the United States and the E.U. were to impose sanctions on Russian businesses, or if Russia were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 take retaliatory action against U.S. companies operating in Russia, our research and development activities related to the InteKrin PPAR gamma inhibitor product could be materially adversely affected.</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5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corporate headquarters and laboratory are located in the San Francisco Bay Area and in Southern California (Camarillo), respectively, and one of our collaboration partners, Daiichi Sankyo, is located in Japan. These locations have in the past experienced severe earthquakes and other natural disasters. We do not carry earthquake insurance. Earthquakes or other natural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 and purchasers of our common stock could incur substantial losses.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price of our common stock has been highly volatile since our initial public offering and the intraday sales price per share has ranged from $12.27 to $33.30 per share during the period from November 6, 2014 to March 27, 2015, and could be subject to wide fluctuations in response to various factors, some of which are beyond our control. These factors include those discussed in this “Risk Factors” section and others such as:</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results or delays in preclinical or clinical studies;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inability to obtain additional funding;</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delay in filing an IND, NDA, BLA or other regulatory submission for any of our product candidates and any adverse development or perceived adverse development with respect to the applicable regulatory agency’s review of that IND, NDA, BLA or other regulatory submission;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perception of limited market sizes or pricing for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post-marketing safety issues relating to our product candidates or biosimilars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maintain our existing strategic collaborations or enter into new collaborations;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or our licensors and strategic collaboration partners to prosecute, maintain or enforce our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inability to obtain adequate product supply for our product candidates or the inability to do so at acceptable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meet or exceed the financial projections of the investment community;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collaboration partners or our competitors;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lawsuits, including stockholder litigation and litigation filed by us or filed against us pertaining to patent infringement or other violations of intellectual property rights;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outcomes of any citizens petitions filed by parties seeking to restrict or limit the approval of biosimilar products;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an adverse or misleading opinion regarding our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issuance of patents to third parties that could prevent our ability to commercialize our product candidates;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reductions in the prices of originator products that could reduce the overall market opportunity for our product candidates intended as biosimilars to such originator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loss of one or more employees constituting our leadership team;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biosimilar regulatory requirements that could make it more difficult for us to develop our product candidates.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February 28, 2015, our executive officers, directors, five percent stockholders and their affiliates beneficially owned approximately 58% of our voting stock. These stockholders have the ability to influence us through their ownership positions, which may prevent or discourage unsolicited acquisition proposals or offers for our common stock that you may believe are in your best interest as one of our stockholders.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due to the reduced reporting requirements applicable to emerging growth companies, certain investors may find investing in our common stock less attractive.</w:t>
      </w:r>
    </w:p>
    <w:p>
      <w:pPr>
        <w:spacing w:after="0" w:line="5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although circumstances could cause us to lose that status earlier, including if the market value of our common stock held by non-affiliates exceeds $700.0 million as of any June 30 before that time or if we have total annual gross revenue of $1.0 billion or more during any fiscal year before that time, in which cases we would no longer be an emerging growth company as of the following December 31 or, if we issue more than $1.0 billion in non-convertible debt during any three-year period before that time, we would cease to be an emerging growth company immediately. We cannot predict if investors will find our common stock less attractive because we may rely on this exemption. If some investors find our common stock less attractive as a result, there may be a less active trading market for our common stock and our stock price may be more volatile.</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Pursuant to our 2014 Equity Incentive Award Plan, or the 2014 Plan, our management is authorized to grant stock options and other equity-based awards to our employees, directors and consultants. Under the 2014 Plan, the number of shares of our common stock initially reserved for issuance is 2,300,000 plus the number of shares remaining available for future awards under the 2010 Plan. The number of shares available for future grant under the 2014 Plan will be increased by (i) the number of shares pursuant to outstanding awards under the 2010 Plan that are forfeited or lapse unexercised and which following the effective date are not issued under the 2010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and (ii) an annual increase on the first day of each fiscal year beginning in 2015 and ending in 2024, equal to 4% of the shares of stock outstanding as of the last day of the preceding fiscal year, or such smaller number of shares as determined by our board of directors. Pursuant to our 2014 Employee Stock Purchase Plan, or 2014 ESPP, eligible employees are able to acquire shares of our common stock at a discount to the prevailing market price, and an aggregate of 320,000 shares are initially available for issuance under the 2014 ESPP. The number of shares available for issuance under the 2014 ESPP will automatically increase on the first day of each fiscal year beginning in 2015 and ending in 2024, equal to 1% of the shares of common stock outstanding on the last day of the immediately preceding fiscal year or such smaller number of shares as determined by our board of directors. If our board of directors elects to increase the number of shares available for future grant under the 2014 Plan or the 2014 ESPP, our stockholders may experience additional dilution, which could cause our stock price to fall.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tax credits) to offset its post-change income or taxes may be limited. We have experienced ownership changes in the past and may experience ownership changes in the future as a result of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59" w:lineRule="exact"/>
        <w:rPr>
          <w:sz w:val="20"/>
          <w:szCs w:val="20"/>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corporate secretary pursuant to a resolution adopted by a majority of our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 other than nominations made by or at the direction of the board of directors or a committee of the board of directors;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 or without cause by the holders of 66 2/3% of the voting power of all then outstanding shares of voting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9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holders of 66 2/3% of the voting power of all then outstanding shares of voting stock to amend specified provisions of our amended and restated certificate of incorporation except for the provision making it possible for our board of directors to issue “blank check” preferred stock, and amended and restated bylaws.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provisions, alone or together, could delay, deter or prevent hostile takeovers and changes in control or changes in our management.</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as-adjusted book value per share of our tangible assets after subtracting our liabilities. As a result, investors purchasing shares of common stock in this offering will incur immediate dilution of $24.04 per share, based on an assumed offering price of $28.41 per share, the last reported sale price of our common stock on March 27, 2015, and our as-adjusted net tangible book value as of December 31, 2014 after giving effect to this offering and the issuance of 358,384 shares of our common stock to former InteKrin stockholders on March 6, 2015 in satisfaction of a contingent consideration obligation. For information on how the foregoing amounts were calculated, see “Dilution.”</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dilution is due to the substantially lower price paid by our investors who purchased shares prior to this offering as compared to the price offered to the public in this offering, and the exercise of stock options granted to our employees. In addition, as of December 31, 2014, we had outstanding options to purchase 5.8 million shares of our common stock;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outstanding as of December 31, 2014, the issuance of 358,384 shares of our common stock to former InteKrin stockholders on March 6, 2015 in satisfaction of a contingent consideration obligation, and the sale by us of $100,000,000 of shares of our common stock, which would be 3,519,887 shares based on an assumed offering price of $28.41 per share, the last reported sale price of our common stock on March 27, 2015, upon the closing of this offering we will have outstanding a total of 37,136,249 shares of common stock. Of these shares, the shares of our common stock sold in our initial public offering (other than any shares purchased by our then-existing investors and directors and executive officers), which was completed in November 2014, are currently freely tradable, and the shares to be sold in this offering, plus any shares sold upon exercise of the underwriters’ option to purchase additional shares, will be freely tradable, without restriction, in the public market immediately following this offering.</w:t>
      </w:r>
    </w:p>
    <w:p>
      <w:pPr>
        <w:spacing w:after="0" w:line="3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lock-up agreements pertaining to our initial public offering will expire on May 5, 2015, following which up to 15,503,959 shares of common stock will be eligible for sale in the public market, subject to any additional restrictions. The lock-up agreements pertaining to this offering will expire (i) 90 days from the date of this prospectus for our executive officers and directors, following which 2,139,999 shares of common stock will be eligible for sale in the public market, and (ii) 60 days from the date of this prospectus for certain stockholders affiliated with our directors, following which 8,876,799 shares of common stock will be eligible for sale in the public market. All 11,016,798 shares subject to lock-up agreements pertaining to this offering are held or beneficially owned by current directors and executive officers or their affiliates and may be subject to Rule 144 limitations under the Securities Act of 1933, as amended (the “Securities Act”).</w:t>
      </w:r>
    </w:p>
    <w:p>
      <w:pPr>
        <w:spacing w:after="0" w:line="3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as of February 28, 2015, approximately 8.7 million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After this offering, the holders of approximately 21.3 million shares of our common stock will be entitled to rights with respect to the registration of their shares under the Securities Act, subject to the vesting schedules and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have broad discretion in the use of the net proceeds to us from this offering and we may not use the offering proceeds that we receive effectively.</w:t>
      </w:r>
    </w:p>
    <w:p>
      <w:pPr>
        <w:spacing w:after="0" w:line="12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will receive net proceeds of approximately $93.3 million from this offering, after deducting the underwriting discounts and commissions and estimated offering expenses payable by us. Our management will have broad discretion in the application of the net proceeds to us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our management to apply these funds effectively could harm our business. Pending their use, we may invest the net proceeds to us from this offering in investment-grade, interest-bearing securities. These investments may not yield a favorable return to our stockholders.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the Private Securities Litigation Reform Act of 1995 that involve substantial risks and uncertainties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“positioned,” “potential,”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37" w:lineRule="exact"/>
        <w:rPr>
          <w:sz w:val="20"/>
          <w:szCs w:val="20"/>
          <w:color w:val="auto"/>
        </w:rPr>
      </w:pPr>
    </w:p>
    <w:p>
      <w:pPr>
        <w:ind w:left="90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timing and the success of the design of the clinical trials and planned clinical trials of CHS-0214 (our etanercept (Enbrel) biosimilar candidate), CHS-1420 (our adalimumab (Humira) biosimilar candidate) and CHS-1701 (our pegfilgrastim (Neulasta) biosimilar candidate);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whether the results of our trials will be sufficient to support domestic or global regulatory approvals for CHS-0214, CHS-1420 and CHS-1701;</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CHS-0214, CHS-1420 and CHS-1701 or our future product candidates;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 that our existing capital resources together with funding we expect to receive under our license agreements with Daiichi Sankyo Company, Limited and Baxter International, Inc. and the net proceeds from this offering will be sufficient to fund our operations for at least the next 12 months;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initiation, timing, progress and results of future preclinical and clinical studies and our research and development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the scope or enforceability of third party intellectual property rights, or the applicability of such rights to our product candidates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reliance on third-party contract manufacturers to manufacture and supply our product candidates for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reliance on third-party contract research organizations to conduct clinical trials of our product candidates for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benefits of the use of CHS-0214, CHS-1420 and CHS-1701;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rate and degree of market acceptance of CHS-0214, CHS-1420 and CHS-1701 or any future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manufacture CHS-0214, CHS-1420 and CHS-1701 in conformity with regulatory requirements and to scale up manufacturing capacity of these products for commercial supply;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compete with companies currently producing the reference products, including Enbrel, Humira and Neulasta;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expected uses of the net proceeds to us from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90" w:lineRule="exact"/>
        <w:rPr>
          <w:sz w:val="20"/>
          <w:szCs w:val="20"/>
          <w:color w:val="auto"/>
        </w:rPr>
      </w:pPr>
    </w:p>
    <w:p>
      <w:pPr>
        <w:jc w:val="both"/>
        <w:ind w:firstLine="456"/>
        <w:spacing w:after="0" w:line="309" w:lineRule="auto"/>
        <w:rPr>
          <w:sz w:val="20"/>
          <w:szCs w:val="20"/>
          <w:color w:val="auto"/>
        </w:rPr>
      </w:pPr>
      <w:r>
        <w:rPr>
          <w:rFonts w:ascii="Arial" w:cs="Arial" w:eastAsia="Arial" w:hAnsi="Arial"/>
          <w:sz w:val="15"/>
          <w:szCs w:val="15"/>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and in the documents that are incorporated by reference herein may turn out to be inaccurate. Factors that may cause actual results to differ materially from current expectations include, among other things, those listed under “Risk Factors” and elsewhere in this prospectus and in the documents that are incorporated by reference herein.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Securities and Exchange Commission, or SEC, after the date of this prospectus. See “Where You Can Find More Information.”</w:t>
      </w:r>
    </w:p>
    <w:p>
      <w:pPr>
        <w:spacing w:after="0" w:line="2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This prospectus and the documents incorporated by reference 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96" w:lineRule="exact"/>
        <w:rPr>
          <w:sz w:val="20"/>
          <w:szCs w:val="20"/>
          <w:color w:val="auto"/>
        </w:rPr>
      </w:pPr>
    </w:p>
    <w:p>
      <w:pPr>
        <w:jc w:val="both"/>
        <w:ind w:firstLine="456"/>
        <w:spacing w:after="0" w:line="309" w:lineRule="auto"/>
        <w:rPr>
          <w:sz w:val="20"/>
          <w:szCs w:val="20"/>
          <w:color w:val="auto"/>
        </w:rPr>
      </w:pPr>
      <w:r>
        <w:rPr>
          <w:rFonts w:ascii="Arial" w:cs="Arial" w:eastAsia="Arial" w:hAnsi="Arial"/>
          <w:sz w:val="15"/>
          <w:szCs w:val="15"/>
          <w:color w:val="auto"/>
        </w:rPr>
        <w:t>This prospectus and the documents incorporated by reference herein contain estimates, projections and other information concerning our industry, our business and the markets for certain drugs, including data regarding the estimated size of those markets, their projected growth rates, the incidence of certain medical conditions and the perceptions and preferences of customers regarding certain therapies,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are derived. In that regard, when we refer to one or more sources of this type of data in any paragraph, you should assume that other data of this type appearing in the same paragraph are derived from the same sources, unless otherwise expressly stated or the context otherwise requires.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estimate that the net proceeds from the sale of $100,000,000 of common stock in this offering will be approximately $93.3 million, after deducting the underwriting discounts and commissions and estimated offering expenses payable by us. If the underwriters exercise in full their option to purchase $15,000,000 of additional shares of common stock, we estimate that the net proceeds will be approximately $107.4 million after deducting the underwriting discounts and commissions and estimated offering expenses payable by us. Each $1.00 increase (decrease) in the assumed public offering price of $28.41 per share, the last reported sale price of our common stock on The NASDAQ Global Market on March 27, 2015, would (decrease) increase the number of shares of common stock to be issued by us in this offering by (119,683) and 128,416, respectively, assuming the aggregate dollar amount of shares offered by us, as set forth on the cover page of this prospectus, remains the same and after deducting underwriting discounts and commissions and estimated offering expenses payable by us. We may also increase or decrease the aggregate dollar amount of shares we are offering. Each increase (decrease) of $1.0 million of shares offered by us would increase (decrease) the as adjusted amount of cash, working capital, total assets and total stockholders’ equity by approximately $940,000, assuming that the assumed public offering price remains the same, and after deducting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use substantially all of the net proceeds from this offering as follows: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approximately $85.0 million to fund the development of one or more biosimilar candidates currently in the pre-clinical stage;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approximately $7.0 million to fund the proof-of-concept Phase 2 study of INT-131;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remainder for working capital and other corporate purposes, which may include the licensing of other products or technologies.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However, due to the uncertainties inherent in the product development and commercialization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timing and success of preclinical studies and any ongoing clinical trials or clinical trials we may commence in the future, the timing of regulatory submissions, any unforeseen delays or problems in the development of our manufacturing capabilities and supply chain, and the timing and amount of our future revenue, our future expenses as well as any collaborations or licensing that we may enter into with third parties for our product candidates, and any unforeseen cash needs.</w:t>
      </w:r>
    </w:p>
    <w:p>
      <w:pPr>
        <w:spacing w:after="0" w:line="3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Based on our planned use of the net proceeds from this offering and our existing cash and expected funding under our license agreements, we expect that such funds will be sufficient to enable us to complete clinical studies that we are currently undertaking in respect of CHS-0214, CHS-1420 and CHS-1701. We will require substantial capital in order to complete the remaining clinical development and to potentially commercialize these product candidates. See “Risk Factors — Risks Related to Our Financial Condition and Capital Requirements — Even if this offering is successful, we expect that we will need to raise substantial additional funding. This additional funding may not be available on acceptable terms or at all. Failure to obtain this necessary capital when needed may force us to delay, limit or terminate our product development efforts or other operations.”</w:t>
      </w:r>
    </w:p>
    <w:p>
      <w:pPr>
        <w:spacing w:after="0" w:line="3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government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common stock has been publicly traded on The NASDAQ Global Market under the symbol “CHRS” since our initial public offering on November 6, 2014. Prior to that time, there was no public market for our common stock. The following table sets forth on a per share basis, for the periods indicated, the low and high sale prices of our common stock as reported by The NASDAQ Global Market.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3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Fourth Quarter (from November 6, 2014)</w:t>
            </w:r>
          </w:p>
        </w:tc>
        <w:tc>
          <w:tcPr>
            <w:tcW w:w="4420" w:type="dxa"/>
            <w:vAlign w:val="bottom"/>
            <w:gridSpan w:val="3"/>
          </w:tcPr>
          <w:p>
            <w:pPr>
              <w:jc w:val="center"/>
              <w:ind w:left="2992"/>
              <w:spacing w:after="0"/>
              <w:rPr>
                <w:sz w:val="20"/>
                <w:szCs w:val="20"/>
                <w:color w:val="auto"/>
              </w:rPr>
            </w:pPr>
            <w:r>
              <w:rPr>
                <w:rFonts w:ascii="Arial" w:cs="Arial" w:eastAsia="Arial" w:hAnsi="Arial"/>
                <w:sz w:val="18"/>
                <w:szCs w:val="18"/>
                <w:color w:val="auto"/>
                <w:w w:val="90"/>
              </w:rPr>
              <w:t>$17.31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$12.27</w:t>
            </w:r>
          </w:p>
        </w:tc>
        <w:tc>
          <w:tcPr>
            <w:tcW w:w="100" w:type="dxa"/>
            <w:vAlign w:val="bottom"/>
          </w:tcPr>
          <w:p>
            <w:pPr>
              <w:spacing w:after="0"/>
              <w:rPr>
                <w:sz w:val="19"/>
                <w:szCs w:val="19"/>
                <w:color w:val="auto"/>
              </w:rPr>
            </w:pPr>
          </w:p>
        </w:tc>
      </w:tr>
      <w:tr>
        <w:trPr>
          <w:trHeight w:val="223"/>
        </w:trPr>
        <w:tc>
          <w:tcPr>
            <w:tcW w:w="64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3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First Quarter (through March 27, 2015)</w:t>
            </w:r>
          </w:p>
        </w:tc>
        <w:tc>
          <w:tcPr>
            <w:tcW w:w="4420" w:type="dxa"/>
            <w:vAlign w:val="bottom"/>
            <w:gridSpan w:val="3"/>
          </w:tcPr>
          <w:p>
            <w:pPr>
              <w:jc w:val="center"/>
              <w:ind w:left="2992"/>
              <w:spacing w:after="0"/>
              <w:rPr>
                <w:sz w:val="20"/>
                <w:szCs w:val="20"/>
                <w:color w:val="auto"/>
              </w:rPr>
            </w:pPr>
            <w:r>
              <w:rPr>
                <w:rFonts w:ascii="Arial" w:cs="Arial" w:eastAsia="Arial" w:hAnsi="Arial"/>
                <w:sz w:val="18"/>
                <w:szCs w:val="18"/>
                <w:color w:val="auto"/>
                <w:w w:val="90"/>
              </w:rPr>
              <w:t>$33.30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$15.50</w:t>
            </w:r>
          </w:p>
        </w:tc>
        <w:tc>
          <w:tcPr>
            <w:tcW w:w="100" w:type="dxa"/>
            <w:vAlign w:val="bottom"/>
          </w:tcPr>
          <w:p>
            <w:pPr>
              <w:spacing w:after="0"/>
              <w:rPr>
                <w:sz w:val="19"/>
                <w:szCs w:val="19"/>
                <w:color w:val="auto"/>
              </w:rPr>
            </w:pPr>
          </w:p>
        </w:tc>
      </w:tr>
    </w:tbl>
    <w:p>
      <w:pPr>
        <w:spacing w:after="0" w:line="6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March 27, 2015, the last reported sale price of our common stock on The NASDAQ Global Market was $28.41 per share. As of December 31, 2014, there were approximately 90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2014:</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jc w:val="both"/>
        <w:ind w:left="900" w:hanging="325"/>
        <w:spacing w:after="0" w:line="291"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an as adjusted basis to give effect to (i) the reclassification of our contingent consideration liability to stockholders’ equity upon the issuance of 358,384 shares of common stock to former InteKrin stockholders to satisfy a contingent consideration obligation upon the achievement of the first dosing of a human subject in the phase 2 clinical trial for INT-131 on March 6, 2015; and (ii) the issuance and sale by us of $100.0 million of shares of our common stock assuming the underwriters’ option to purchase additional shares is not exercised and assuming a public offering price of $28.41 per share, the last reported sale price of our common stock on The NASDAQ Global Market on March 27, 2015, after deducting the underwriting discounts and commissions and estimated offering expenses payable by us.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should read this information together with our audited financial statements and related notes incorporated by reference in this prospectus. For more details on how you can obtain our SEC reports and other information, you should read the section of the prospectus entitled “Where You Can Find More Information.”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 2014</w:t>
            </w: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21"/>
              <w:spacing w:after="0" w:line="115" w:lineRule="exact"/>
              <w:rPr>
                <w:sz w:val="20"/>
                <w:szCs w:val="20"/>
                <w:color w:val="auto"/>
              </w:rPr>
            </w:pPr>
            <w:r>
              <w:rPr>
                <w:rFonts w:ascii="Arial" w:cs="Arial" w:eastAsia="Arial" w:hAnsi="Arial"/>
                <w:sz w:val="12"/>
                <w:szCs w:val="12"/>
                <w:b w:val="1"/>
                <w:bCs w:val="1"/>
                <w:color w:val="auto"/>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5"/>
                <w:szCs w:val="15"/>
                <w:color w:val="auto"/>
              </w:rPr>
            </w:pPr>
          </w:p>
        </w:tc>
        <w:tc>
          <w:tcPr>
            <w:tcW w:w="84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w w:val="94"/>
              </w:rPr>
              <w:t>Adjusted</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ind w:right="21"/>
              <w:spacing w:after="0" w:line="129"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(in thousands, except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share and per share data)</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150,392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$ 243,742</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440"/>
              <w:spacing w:after="0"/>
              <w:rPr>
                <w:sz w:val="20"/>
                <w:szCs w:val="20"/>
                <w:color w:val="auto"/>
              </w:rPr>
            </w:pPr>
            <w:r>
              <w:rPr>
                <w:rFonts w:ascii="Arial" w:cs="Arial" w:eastAsia="Arial" w:hAnsi="Arial"/>
                <w:sz w:val="18"/>
                <w:szCs w:val="18"/>
                <w:color w:val="auto"/>
                <w:w w:val="90"/>
              </w:rPr>
              <w:t>Preferred stock, $0.0001 par value; 5,000,000 shares authorized, no shares issued and outstanding, actual and as adjusted</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Common stock, $0.0001 par value; 300,000,000 shares authorized, 33,257,978 shares issued and outstanding, actual;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300,000,000 shares authorized, 37,136,249 shares issued and outstanding, as adjusted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254,048</w:t>
            </w:r>
          </w:p>
        </w:tc>
        <w:tc>
          <w:tcPr>
            <w:tcW w:w="2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353,107</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3"/>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(186,725)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(186,725)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Coherus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9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72,467</w:t>
            </w:r>
          </w:p>
        </w:tc>
        <w:tc>
          <w:tcPr>
            <w:tcW w:w="24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$ 165,817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40" w:hanging="332"/>
        <w:spacing w:after="0" w:line="226"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Each $1.00 increase (decrease) in the assumed public offering price of $28.41 per share, the last reported sale price of our common stock on The NASDAQ Global Market on March 27 , 2015, would (decrease) increase the number of shares of common stock to be issued by us in this offering by (119,683) and 128,416, respectively, assuming the aggregate dollar amount of shares offered by us, as set forth on the cover page of this prospectus, remains the same and after deducting underwriting discounts and commissions and estimated offering expenses payable by us. We may also increase or decrease the aggregate dollar amount of shares we are offering. Each increase (decrease) of $1.0 million of shares offered by us would increase (decrease) the as adjusted amount of cash, working capital, total assets and total stockholders’ equity by approximately $940,000, assuming that the assumed public offering price remains the same, and after deducting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number of shares of common stock to be outstanding after this offering is based on 33,257,978 shares of common stock outstanding as of December 31, 2014, and assumes the sale of $100.0 million of shares of common stock at an assumed offering price of $28.41 per share, the last reported sale price of our common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stock on The NASDAQ Global Market on March 27, 2015, and the issuance of 358,384 shares of our common stock to former InteKrin stockholders on March 6, 2015 in satisfaction of a contingent consideration obligation. The outstanding share information in the table above excludes the following:</w:t>
      </w:r>
    </w:p>
    <w:p>
      <w:pPr>
        <w:spacing w:after="0" w:line="4" w:lineRule="exact"/>
        <w:rPr>
          <w:sz w:val="20"/>
          <w:szCs w:val="20"/>
          <w:color w:val="auto"/>
        </w:rPr>
      </w:pPr>
    </w:p>
    <w:p>
      <w:pPr>
        <w:ind w:left="900" w:right="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5,560,345 shares of common stock issuable upon the exercise of outstanding stock options under our 2010 Stock Incentive Plan, as amended, as of December 31, 2014 having a weighted-average exercise price of $2.46 per share;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209,962 shares of common stock issuable upon the exercise of outstanding stock options under our 2014 Equity Incentive Award Plan as of December 31, 2014 having a weighted-average exercise price of $14.69 per share;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2,652,500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320,000 shares of common stock reserved for future issuance under our 2014 Employee Stock Purchase Plan, as well as any automatic increases in the number of shares of our common stock reserved for future issuance under this plan.</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the number of shares of our common stock described above assumes no exercise of the underwriters’ option to purchase additional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public offering price per share of our common stock and the as adjusted net tangible book value per share of our common stock immediately after this offering.</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historical net tangible book value per share is determined by dividing our total tangible assets less our total liabilities by the number of shares of common stock outstanding. Our historical net tangible book value as of December 31, 2014 was $63.2 million, or $1.90 per share, based on 33,257,978 shares of common stock outstanding as of December 31, 2014.</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Net tangible book value dilution per share to new investors represents the difference between the amount per share paid by purchasers of shares of common stock in this offering and the as adjusted net tangible book value per share of common stock immediately after completion of this offering. After giving effect to the issuance of 358,384 shares of our common stock to former InteKrin stockholders on March 6, 2015 in satisfaction of a contingent consideration obligation, and our sale of $100.0 million of shares of common stock offered at an assumed public offering price of $28.41 per share, the last reported sale price of our common stock on The NASDAQ Global Market on March 27, 2015, after deducting underwriting discounts and commissions and estimated offering expenses payable by us, our as adjusted net tangible book value as of December 31, 2014 would have been $162.3 million, or $4.37 per share. This represents an immediate increase in net tangible book value of $2.47 per share to existing stockholders and an immediate dilution in net tangible book value of $24.04 per share to purchasers of common stock in this offering, as illustrated in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Historical net tangible book value per share as of December 31, 2014</w:t>
            </w:r>
          </w:p>
        </w:tc>
        <w:tc>
          <w:tcPr>
            <w:tcW w:w="1980" w:type="dxa"/>
            <w:vAlign w:val="bottom"/>
            <w:gridSpan w:val="3"/>
          </w:tcPr>
          <w:p>
            <w:pPr>
              <w:jc w:val="right"/>
              <w:ind w:right="4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adjusted increase in a net tangible book value per share attributable to new investors in this offering</w:t>
            </w:r>
          </w:p>
        </w:tc>
        <w:tc>
          <w:tcPr>
            <w:tcW w:w="1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980" w:type="dxa"/>
            <w:vAlign w:val="bottom"/>
            <w:gridSpan w:val="3"/>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20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Each $1.00 increase (decrease) in the assumed public offering price of $28.41 per share, the last reported sale price of our common stock on The NASDAQ Global Market on March 27, 2015, would (decrease) increase the number of shares of common stock to be issued by us in this offering by (119,683) and 128,416, respectively, assuming the aggregate dollar amount of shares offered by us, as set forth on the cover page of this prospectus, remains the same and after deducting underwriting discounts and commissions and estimated offering expenses payable by us. We may also increase or decrease the aggregate dollar amount of shares we are offering. Each increase (decrease) of $1.0 million in the number of shares offered by us would increase (decrease) the as adjusted amount of cash, working capital, total assets and total stockholders’ equity by approximately $940,000, assuming that the assumed public offering price remains the same, and after deducting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number of shares of common stock to be outstanding after this offering is based on 33,257,978 shares of common stock outstanding as of December 31, 2014, and assumes the sale of $100.0 million of shares of common stock at an assumed offering price of $28.41 per share, the last reported sale price of our common stock on The NASDAQ Global Market on March 27, 2015, and the issuance of 358,384 shares of our common stock to former InteKrin stockholders on March 6, 2015 in satisfaction of a contingent consideration obligation, and excludes the following:</w:t>
      </w:r>
    </w:p>
    <w:p>
      <w:pPr>
        <w:spacing w:after="0" w:line="32" w:lineRule="exact"/>
        <w:rPr>
          <w:sz w:val="20"/>
          <w:szCs w:val="20"/>
          <w:color w:val="auto"/>
        </w:rPr>
      </w:pPr>
    </w:p>
    <w:p>
      <w:pPr>
        <w:ind w:left="900" w:right="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5,560,345 shares of common stock issuable upon the exercise of outstanding stock options under our 2010 Stock Incentive Plan, as amended, as of December 31, 2014 having a weighted-average exercise price of $2.46 per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209,962 shares of common stock issuable upon the exercise of outstanding stock options under our 2014 Equity Incentive Award Plan as of December 31, 2014 having a weighted-average exercise price of $14.69 per share;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2,652,500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320,000 shares of common stock reserved for future issuance under our 2014 Employee Stock Purchase Plan, as well as any automatic increases in the number of shares of our common stock reserved for future issuance under this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March 27, 2015, by:</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shares of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27, 2015 through the exercise of any stock options or other rights. Except as otherwise indicated, and subject to applicable community property laws, the persons named in the table have sole voting and investment power with respect to all shares of common stock held by that person. Unless otherwise indicated below, the address for each beneficial owner listed is c/o Coherus BioSciences, Inc., at 201 Redwood Shores Parkway, Suite 200, Redwood City, California.</w:t>
      </w:r>
    </w:p>
    <w:p>
      <w:pPr>
        <w:spacing w:after="0" w:line="3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calculation of the percentage of beneficial ownership prior to this offering is based on 33,699,401 shares of common stock outstanding as of March 27, 2015. Our calculation of the percentage of beneficial ownership after this offering is based on 37,219,288 shares of common stock outstanding immediately after the closing of this offering, assuming the sale of $100.0 million of shares of common stock at an assumed offering price of $28.41 per share, the last reported sale price of our common stock on The NASDAQ Global Market on March 27, 2015, no exercise of outstanding options and no exercise of the underwriters’ option to purchase additional shares of our common stock.</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2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Beneficial Ownership Prior to this Offering</w:t>
            </w: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Number of</w:t>
            </w:r>
          </w:p>
        </w:tc>
        <w:tc>
          <w:tcPr>
            <w:tcW w:w="8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Number of</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880" w:type="dxa"/>
            <w:vAlign w:val="bottom"/>
            <w:vMerge w:val="restart"/>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Within</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Beneficial</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3880" w:type="dxa"/>
            <w:vAlign w:val="bottom"/>
            <w:vMerge w:val="continue"/>
          </w:tcPr>
          <w:p>
            <w:pPr>
              <w:spacing w:after="0"/>
              <w:rPr>
                <w:sz w:val="14"/>
                <w:szCs w:val="14"/>
                <w:color w:val="auto"/>
              </w:rPr>
            </w:pPr>
          </w:p>
        </w:tc>
        <w:tc>
          <w:tcPr>
            <w:tcW w:w="10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Owned</w:t>
            </w:r>
          </w:p>
        </w:tc>
        <w:tc>
          <w:tcPr>
            <w:tcW w:w="9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3"/>
              </w:rPr>
              <w:t>60 Days</w:t>
            </w:r>
          </w:p>
        </w:tc>
        <w:tc>
          <w:tcPr>
            <w:tcW w:w="10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Owned</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8"/>
              </w:rPr>
              <w:t>Ownership</w:t>
            </w:r>
          </w:p>
        </w:tc>
        <w:tc>
          <w:tcPr>
            <w:tcW w:w="10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Owned</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190"/>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and Greater Stockholders</w:t>
            </w: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KKR Biosimilar L.P.</w:t>
            </w:r>
            <w:r>
              <w:rPr>
                <w:rFonts w:ascii="Arial" w:cs="Arial" w:eastAsia="Arial" w:hAnsi="Arial"/>
                <w:sz w:val="11"/>
                <w:szCs w:val="11"/>
                <w:color w:val="auto"/>
              </w:rPr>
              <w:t>(1)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3,055,055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3,055,055</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3,055,055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Lilly Ventures Fund I, LLC</w:t>
            </w:r>
            <w:r>
              <w:rPr>
                <w:rFonts w:ascii="Arial" w:cs="Arial" w:eastAsia="Arial" w:hAnsi="Arial"/>
                <w:sz w:val="11"/>
                <w:szCs w:val="11"/>
                <w:color w:val="auto"/>
              </w:rPr>
              <w:t>(2)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3,042,019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3,042,019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3,042,019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Sofinnova Venture Partners VII, L.P.</w:t>
            </w:r>
            <w:r>
              <w:rPr>
                <w:rFonts w:ascii="Arial" w:cs="Arial" w:eastAsia="Arial" w:hAnsi="Arial"/>
                <w:sz w:val="11"/>
                <w:szCs w:val="11"/>
                <w:color w:val="auto"/>
              </w:rPr>
              <w:t>(3)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2,893,221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2,893,221</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8.59%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2,893,221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Daiichi Sankyo Company, Limited</w:t>
            </w:r>
            <w:r>
              <w:rPr>
                <w:rFonts w:ascii="Arial" w:cs="Arial" w:eastAsia="Arial" w:hAnsi="Arial"/>
                <w:sz w:val="11"/>
                <w:szCs w:val="11"/>
                <w:color w:val="auto"/>
              </w:rPr>
              <w:t>(4)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2,867,426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2,867,426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2,867,426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Entities affiliated with MX II Associates, LLC</w:t>
            </w:r>
            <w:r>
              <w:rPr>
                <w:rFonts w:ascii="Arial" w:cs="Arial" w:eastAsia="Arial" w:hAnsi="Arial"/>
                <w:sz w:val="11"/>
                <w:szCs w:val="11"/>
                <w:color w:val="auto"/>
              </w:rPr>
              <w:t>(5)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2,500,920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2,500,920</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2,500,920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Venrock Associates VI, L.P.</w:t>
            </w:r>
            <w:r>
              <w:rPr>
                <w:rFonts w:ascii="Arial" w:cs="Arial" w:eastAsia="Arial" w:hAnsi="Arial"/>
                <w:sz w:val="11"/>
                <w:szCs w:val="11"/>
                <w:color w:val="auto"/>
              </w:rPr>
              <w:t>(6)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2,341,882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2,341,882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2,341,882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K. Finck, M.D.</w:t>
            </w:r>
            <w:r>
              <w:rPr>
                <w:rFonts w:ascii="Arial" w:cs="Arial" w:eastAsia="Arial" w:hAnsi="Arial"/>
                <w:sz w:val="11"/>
                <w:szCs w:val="11"/>
                <w:color w:val="auto"/>
              </w:rPr>
              <w:t>(7)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151,989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James I. Healy, M.D., Ph.D.</w:t>
            </w:r>
            <w:r>
              <w:rPr>
                <w:rFonts w:ascii="Arial" w:cs="Arial" w:eastAsia="Arial" w:hAnsi="Arial"/>
                <w:sz w:val="11"/>
                <w:szCs w:val="11"/>
                <w:color w:val="auto"/>
              </w:rPr>
              <w:t>(8)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2,893,313</w:t>
            </w:r>
          </w:p>
        </w:tc>
        <w:tc>
          <w:tcPr>
            <w:tcW w:w="760" w:type="dxa"/>
            <w:vAlign w:val="bottom"/>
          </w:tcPr>
          <w:p>
            <w:pPr>
              <w:jc w:val="right"/>
              <w:spacing w:after="0"/>
              <w:rPr>
                <w:sz w:val="20"/>
                <w:szCs w:val="20"/>
                <w:color w:val="auto"/>
              </w:rPr>
            </w:pPr>
            <w:r>
              <w:rPr>
                <w:rFonts w:ascii="Arial" w:cs="Arial" w:eastAsia="Arial" w:hAnsi="Arial"/>
                <w:sz w:val="18"/>
                <w:szCs w:val="18"/>
                <w:color w:val="auto"/>
              </w:rPr>
              <w:t>9,373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2,902,686</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8.61%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2,902,686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C. Herman, Ph.D.</w:t>
            </w:r>
            <w:r>
              <w:rPr>
                <w:rFonts w:ascii="Arial" w:cs="Arial" w:eastAsia="Arial" w:hAnsi="Arial"/>
                <w:sz w:val="11"/>
                <w:szCs w:val="11"/>
                <w:color w:val="auto"/>
              </w:rPr>
              <w:t>(9)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514,863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688,198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688,198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Dennis M. Lanfear</w:t>
            </w:r>
            <w:r>
              <w:rPr>
                <w:rFonts w:ascii="Arial" w:cs="Arial" w:eastAsia="Arial" w:hAnsi="Arial"/>
                <w:sz w:val="11"/>
                <w:szCs w:val="11"/>
                <w:color w:val="auto"/>
              </w:rPr>
              <w:t>(10)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1,503,526</w:t>
            </w:r>
          </w:p>
        </w:tc>
        <w:tc>
          <w:tcPr>
            <w:tcW w:w="760" w:type="dxa"/>
            <w:vAlign w:val="bottom"/>
          </w:tcPr>
          <w:p>
            <w:pPr>
              <w:jc w:val="right"/>
              <w:spacing w:after="0"/>
              <w:rPr>
                <w:sz w:val="20"/>
                <w:szCs w:val="20"/>
                <w:color w:val="auto"/>
              </w:rPr>
            </w:pPr>
            <w:r>
              <w:rPr>
                <w:rFonts w:ascii="Arial" w:cs="Arial" w:eastAsia="Arial" w:hAnsi="Arial"/>
                <w:sz w:val="18"/>
                <w:szCs w:val="18"/>
                <w:color w:val="auto"/>
              </w:rPr>
              <w:t>760,837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2,264,363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2,264,363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 Bryan Lawlis, Ph.D.</w:t>
            </w:r>
            <w:r>
              <w:rPr>
                <w:rFonts w:ascii="Arial" w:cs="Arial" w:eastAsia="Arial" w:hAnsi="Arial"/>
                <w:sz w:val="11"/>
                <w:szCs w:val="11"/>
                <w:color w:val="auto"/>
              </w:rPr>
              <w:t>(11)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19,683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Christos Richards</w:t>
            </w:r>
            <w:r>
              <w:rPr>
                <w:rFonts w:ascii="Arial" w:cs="Arial" w:eastAsia="Arial" w:hAnsi="Arial"/>
                <w:sz w:val="11"/>
                <w:szCs w:val="11"/>
                <w:color w:val="auto"/>
              </w:rPr>
              <w:t>(12)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78,836</w:t>
            </w:r>
          </w:p>
        </w:tc>
        <w:tc>
          <w:tcPr>
            <w:tcW w:w="760" w:type="dxa"/>
            <w:vAlign w:val="bottom"/>
          </w:tcPr>
          <w:p>
            <w:pPr>
              <w:jc w:val="right"/>
              <w:spacing w:after="0"/>
              <w:rPr>
                <w:sz w:val="20"/>
                <w:szCs w:val="20"/>
                <w:color w:val="auto"/>
              </w:rPr>
            </w:pPr>
            <w:r>
              <w:rPr>
                <w:rFonts w:ascii="Arial" w:cs="Arial" w:eastAsia="Arial" w:hAnsi="Arial"/>
                <w:sz w:val="18"/>
                <w:szCs w:val="18"/>
                <w:color w:val="auto"/>
              </w:rPr>
              <w:t>44,991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123,827</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123,827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 J. Satvat</w:t>
            </w:r>
            <w:r>
              <w:rPr>
                <w:rFonts w:ascii="Arial" w:cs="Arial" w:eastAsia="Arial" w:hAnsi="Arial"/>
                <w:sz w:val="11"/>
                <w:szCs w:val="11"/>
                <w:color w:val="auto"/>
              </w:rPr>
              <w:t>(13)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3,055,055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3,061,929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3,061,929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Mary T. Szela</w:t>
            </w:r>
            <w:r>
              <w:rPr>
                <w:rFonts w:ascii="Arial" w:cs="Arial" w:eastAsia="Arial" w:hAnsi="Arial"/>
                <w:sz w:val="11"/>
                <w:szCs w:val="11"/>
                <w:color w:val="auto"/>
              </w:rPr>
              <w:t>(14)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3,124</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3,124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J. Troendle, M.D.</w:t>
            </w:r>
            <w:r>
              <w:rPr>
                <w:rFonts w:ascii="Arial" w:cs="Arial" w:eastAsia="Arial" w:hAnsi="Arial"/>
                <w:sz w:val="11"/>
                <w:szCs w:val="11"/>
                <w:color w:val="auto"/>
              </w:rPr>
              <w:t>(15)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2,522,790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2,530,914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2,530,914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Mats Wahlström</w:t>
            </w:r>
            <w:r>
              <w:rPr>
                <w:rFonts w:ascii="Arial" w:cs="Arial" w:eastAsia="Arial" w:hAnsi="Arial"/>
                <w:sz w:val="11"/>
                <w:szCs w:val="11"/>
                <w:color w:val="auto"/>
              </w:rPr>
              <w:t>(16)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763,065</w:t>
            </w:r>
          </w:p>
        </w:tc>
        <w:tc>
          <w:tcPr>
            <w:tcW w:w="760" w:type="dxa"/>
            <w:vAlign w:val="bottom"/>
          </w:tcPr>
          <w:p>
            <w:pPr>
              <w:jc w:val="right"/>
              <w:spacing w:after="0"/>
              <w:rPr>
                <w:sz w:val="20"/>
                <w:szCs w:val="20"/>
                <w:color w:val="auto"/>
              </w:rPr>
            </w:pPr>
            <w:r>
              <w:rPr>
                <w:rFonts w:ascii="Arial" w:cs="Arial" w:eastAsia="Arial" w:hAnsi="Arial"/>
                <w:sz w:val="18"/>
                <w:szCs w:val="18"/>
                <w:color w:val="auto"/>
              </w:rPr>
              <w:t>68,736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831,801</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831,801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 Frédéric Viret, Ph.D.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Peter K. Watler, Ph.D.</w:t>
            </w:r>
            <w:r>
              <w:rPr>
                <w:rFonts w:ascii="Arial" w:cs="Arial" w:eastAsia="Arial" w:hAnsi="Arial"/>
                <w:sz w:val="11"/>
                <w:szCs w:val="11"/>
                <w:color w:val="auto"/>
              </w:rPr>
              <w:t>(17)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138,738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138,738</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138,738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r>
              <w:rPr>
                <w:rFonts w:ascii="Arial" w:cs="Arial" w:eastAsia="Arial" w:hAnsi="Arial"/>
                <w:sz w:val="11"/>
                <w:szCs w:val="11"/>
                <w:color w:val="auto"/>
              </w:rPr>
              <w:t>(18)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11,358,239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1,359,013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12,717,252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12,717,252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363"/>
        </w:trPr>
        <w:tc>
          <w:tcPr>
            <w:tcW w:w="16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40" w:type="dxa"/>
            <w:vAlign w:val="bottom"/>
          </w:tcPr>
          <w:p>
            <w:pPr>
              <w:jc w:val="right"/>
              <w:ind w:right="456"/>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shares of common stock.</w:t>
      </w:r>
    </w:p>
    <w:p>
      <w:pPr>
        <w:spacing w:after="0" w:line="8" w:lineRule="exact"/>
        <w:rPr>
          <w:sz w:val="20"/>
          <w:szCs w:val="20"/>
          <w:color w:val="auto"/>
        </w:rPr>
      </w:pPr>
    </w:p>
    <w:p>
      <w:pPr>
        <w:jc w:val="both"/>
        <w:ind w:left="340" w:hanging="332"/>
        <w:spacing w:after="0" w:line="225" w:lineRule="auto"/>
        <w:tabs>
          <w:tab w:leader="none" w:pos="340" w:val="left"/>
        </w:tabs>
        <w:numPr>
          <w:ilvl w:val="0"/>
          <w:numId w:val="54"/>
        </w:numPr>
        <w:rPr>
          <w:rFonts w:ascii="Arial" w:cs="Arial" w:eastAsia="Arial" w:hAnsi="Arial"/>
          <w:sz w:val="21"/>
          <w:szCs w:val="21"/>
          <w:color w:val="auto"/>
          <w:vertAlign w:val="superscript"/>
        </w:rPr>
      </w:pPr>
      <w:r>
        <w:rPr>
          <w:rFonts w:ascii="Arial" w:cs="Arial" w:eastAsia="Arial" w:hAnsi="Arial"/>
          <w:sz w:val="13"/>
          <w:szCs w:val="13"/>
          <w:color w:val="auto"/>
        </w:rPr>
        <w:t>The shares are owned directly by KKR Biosimilar L.P. KKR Biosimilar GP LLC is the sole general partner of KKR Biosimilar L.P. KKR Fund Holdings L.P. is the sole member of KKR Biosimilar GP LLC. The general partners of KKR Fund Holdings L.P. are KKR Fund Holdings GP Limited and KKR Group Holdings L.P. The sole shareholder of KKR Fund Holdings GP Limited is KKR Group Holdings L.P. The sole general partner of KKR Group Holdings L.P. is KKR Group Limited. The sole shareholder of KKR Group Limited is KKR &amp; Co. L.P. The sole general partner of KKR &amp; Co. L.P. is KKR Management LLC. The designated members of KKR Management LLC are Messrs. Kravis and Roberts. Each of KKR Biosimilar GP LLC, KKR Fund Holdings L.P., KKR Fund Holdings GP Limited, KKR Group Holdings L.P., KKR Group Limited, KKR &amp; Co. L.P., KKR Management LLC, and Messrs. Kravis and Roberts disclaim beneficial ownership over all shares held by KKR Biosimilar L.P. except to the extent of their indirect pecuniary interests therein. Ali J. Satvat, who is a member of our board of directors, is an executive of Kohlberg Kravis Roberts &amp; Co. L.P. and/or one or more of its affiliates. Mr. Satvat disclaims beneficial ownership of all shares held by KKR Biosimilar L.P. except to the extent of his indirect pecuniary interests therein. The address of the entities affiliated with Kohlberg Kravis Roberts &amp; Co. L.P. and Mr. Kravis is c/o Kohlberg Kravis Roberts &amp; Co. L.P., 9 West 57th Street, New York, NY 10019. The address of Messrs. Roberts and Satvat is c/o Kohlberg Kravis Roberts &amp; Co. L.P., 2800 Sand Hill Road, Suite 200, Menlo Park, CA 94025.</w:t>
      </w:r>
    </w:p>
    <w:p>
      <w:pPr>
        <w:spacing w:after="0" w:line="1" w:lineRule="exact"/>
        <w:rPr>
          <w:rFonts w:ascii="Arial" w:cs="Arial" w:eastAsia="Arial" w:hAnsi="Arial"/>
          <w:sz w:val="21"/>
          <w:szCs w:val="21"/>
          <w:color w:val="auto"/>
          <w:vertAlign w:val="superscript"/>
        </w:rPr>
      </w:pPr>
    </w:p>
    <w:p>
      <w:pPr>
        <w:jc w:val="both"/>
        <w:ind w:left="340" w:hanging="332"/>
        <w:spacing w:after="0" w:line="186" w:lineRule="auto"/>
        <w:tabs>
          <w:tab w:leader="none" w:pos="3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shares are owned directly by Lilly Ventures Fund I, LLC. Eli Lilly and Company, as Sole Managing Member of Lilly Ventures Fund I, LLC, and pursuant to the LLC Agreement of Lilly Ventures Fund I, LLC, has voting authority with respect to shares owned by Lilly Ventures Fund I, LLC. The address of Lilly Ventures Fund I, LLC is 115 West Washington Street, Suite 1680 — South, Indianapolis, IN 46204.</w:t>
      </w:r>
    </w:p>
    <w:p>
      <w:pPr>
        <w:jc w:val="both"/>
        <w:ind w:left="340" w:hanging="332"/>
        <w:spacing w:after="0" w:line="193" w:lineRule="auto"/>
        <w:tabs>
          <w:tab w:leader="none" w:pos="3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shares are owned directly by Sofinnova Venture Partners VII, L.P., or SV VII. Sofinnova Management VII, L.L.C., or SV VII LLC, the general partner of SV VII, and Dr. Healy, Michael Powell and Eric Buatois, the managing members of SV VII LLC, may be deemed to have shared voting and dispositive power over the shares owned by SV VII. Such persons and entities disclaim beneficial ownership over the shares owned by SV VII except to the extent of any pecuniary interest therein. The address of SV VII is c/o Sofinnova Ventures, 3000 Sand Hill Road, Suite 4-250, Menlo Park, CA 94025.</w:t>
      </w:r>
    </w:p>
    <w:p>
      <w:pPr>
        <w:spacing w:after="0" w:line="2" w:lineRule="exact"/>
        <w:rPr>
          <w:rFonts w:ascii="Arial" w:cs="Arial" w:eastAsia="Arial" w:hAnsi="Arial"/>
          <w:sz w:val="22"/>
          <w:szCs w:val="22"/>
          <w:color w:val="auto"/>
          <w:vertAlign w:val="superscript"/>
        </w:rPr>
      </w:pPr>
    </w:p>
    <w:p>
      <w:pPr>
        <w:jc w:val="both"/>
        <w:ind w:left="340" w:hanging="332"/>
        <w:spacing w:after="0" w:line="198" w:lineRule="auto"/>
        <w:tabs>
          <w:tab w:leader="none" w:pos="3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The shares are owned directly by Daiichi Sankyo Company, Limited, or Daiichi Sankyo. Daiichi Sankyo is a publicly traded company on the Tokyo Stock Exchange. As of March 31, 2014, Daiichi Sankyo had 110,851 shareholders (none of whom owned or beneficially owned more than 10% of Daiichi Sankyo’s outstanding shares of common stock) and approximately 703,959,767 shares (excluding treasury shares held by Daiichi Sankyo and its consolidated subsidiaries) of common stock outstanding. This beneficial ownership information includes information contained in publicly available records of the filings made by Daiichi Sankyo shareholders regarding their ownership of Daiichi Sankyo’s common stock under the Securities and Exchange Law of Japan. The address of Daiichi Sankyo is 3-5-1 Nihonbashi Honcho, Chuo-Ku, Tokyo 103-8426 Japan.</w:t>
      </w:r>
    </w:p>
    <w:p>
      <w:pPr>
        <w:spacing w:after="0" w:line="2" w:lineRule="exact"/>
        <w:rPr>
          <w:rFonts w:ascii="Arial" w:cs="Arial" w:eastAsia="Arial" w:hAnsi="Arial"/>
          <w:sz w:val="22"/>
          <w:szCs w:val="22"/>
          <w:color w:val="auto"/>
          <w:vertAlign w:val="superscript"/>
        </w:rPr>
      </w:pPr>
    </w:p>
    <w:p>
      <w:pPr>
        <w:jc w:val="both"/>
        <w:ind w:left="340" w:hanging="332"/>
        <w:spacing w:after="0" w:line="193" w:lineRule="auto"/>
        <w:tabs>
          <w:tab w:leader="none" w:pos="3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Includes (i) 358,428 shares of common stock held by Medpace Investors, LLC, or Medpace Investors, and (ii) 2,142,492 shares of common stock held by MX II Associates LLC, or MX II Associates. August J. Troendle, M.D., is the President of Medpace Investors and the Managing Member of MX II Associates. Voting and dispositive decisions with respect to shares held by Medpace Investors and MX II Associates are made by Dr. Troendle; however, he disclaims beneficial ownership of the shares held by these entities, except to the extent of any pecuniary interest therein. The address of MX II Associates and affiliated entity is c/o Medpace, Inc., 5375 Medpace Way, Cincinnati, OH 45227.</w:t>
      </w:r>
    </w:p>
    <w:p>
      <w:pPr>
        <w:spacing w:after="0" w:line="2" w:lineRule="exact"/>
        <w:rPr>
          <w:rFonts w:ascii="Arial" w:cs="Arial" w:eastAsia="Arial" w:hAnsi="Arial"/>
          <w:sz w:val="22"/>
          <w:szCs w:val="22"/>
          <w:color w:val="auto"/>
          <w:vertAlign w:val="superscript"/>
        </w:rPr>
      </w:pPr>
    </w:p>
    <w:p>
      <w:pPr>
        <w:jc w:val="both"/>
        <w:ind w:left="340" w:hanging="332"/>
        <w:spacing w:after="0" w:line="219" w:lineRule="auto"/>
        <w:tabs>
          <w:tab w:leader="none" w:pos="340" w:val="left"/>
        </w:tabs>
        <w:numPr>
          <w:ilvl w:val="0"/>
          <w:numId w:val="54"/>
        </w:numPr>
        <w:rPr>
          <w:rFonts w:ascii="Arial" w:cs="Arial" w:eastAsia="Arial" w:hAnsi="Arial"/>
          <w:sz w:val="21"/>
          <w:szCs w:val="21"/>
          <w:color w:val="auto"/>
          <w:vertAlign w:val="superscript"/>
        </w:rPr>
      </w:pPr>
      <w:r>
        <w:rPr>
          <w:rFonts w:ascii="Arial" w:cs="Arial" w:eastAsia="Arial" w:hAnsi="Arial"/>
          <w:sz w:val="13"/>
          <w:szCs w:val="13"/>
          <w:color w:val="auto"/>
        </w:rPr>
        <w:t>Consists of (i) 1,364,481 shares of common stock by Venrock Associates VI, L.P., or VA VI, (ii) 370,370 shares of common stock by affiliates of Venrock Associates VI, L.P., or VA VI, (iii) 107,132 shares of common stock by Venrock Partners VI, L.P., or VP VI, (iv) 422,595 shares of common stock held by Venrock Healthcare Capital Partners, L.P., or VHCP, and (v) 77,304 shares of common stock held by VHCP Co-Investment Holdings, LLC, or VHCP Co. Venrock Management VI, LLC, or VM VI, is the sole general partner of VA IV. Venrock Partners Management VI, LLC, or VPM VI, is the sole general partner of VP IV. VHCP Management, LLC, or VHCPM, is the sole general partner of each of VHCP and VHCP Co. VM VI, VPM VI and VHCPM expressly disclaim beneficial ownership over all shares held by VA VI, VP VI, VHCP and VHCP Co, except to the extent of their indirect pecuniary interest therein. Anders D. Hove and Bryan E. Roberts are members of VI VI, VP VI and VHCPM and disclaim beneficial ownership over all shares held by VA VI, VP VI, VHCP and VHCP Co, except to the extent of their indirect pecuniary interests therein. The address of each of the entities is c/o Venrock, 3340 Hillview Avenue, Palo Alto, CA 94304.</w:t>
      </w:r>
    </w:p>
    <w:p>
      <w:pPr>
        <w:spacing w:after="0" w:line="1"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54"/>
        </w:numPr>
        <w:rPr>
          <w:rFonts w:ascii="Arial" w:cs="Arial" w:eastAsia="Arial" w:hAnsi="Arial"/>
          <w:sz w:val="17"/>
          <w:szCs w:val="17"/>
          <w:color w:val="auto"/>
          <w:vertAlign w:val="superscript"/>
        </w:rPr>
      </w:pPr>
      <w:r>
        <w:rPr>
          <w:rFonts w:ascii="Arial" w:cs="Arial" w:eastAsia="Arial" w:hAnsi="Arial"/>
          <w:sz w:val="11"/>
          <w:szCs w:val="11"/>
          <w:color w:val="auto"/>
        </w:rPr>
        <w:t>Consists of (i) 26,791 shares of common stock, and (ii) 125,198 shares that may be acquired pursuant to the exercise of stock options within 60 days of March 27, 2015 by Dr. Finck.</w:t>
      </w:r>
    </w:p>
    <w:p>
      <w:pPr>
        <w:jc w:val="both"/>
        <w:ind w:left="340" w:hanging="332"/>
        <w:spacing w:after="0" w:line="186" w:lineRule="auto"/>
        <w:tabs>
          <w:tab w:leader="none" w:pos="3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Consists of the shares held by Sofinnova Venture Partners VII, L.P. Dr. Healy is a managing member of Sofinnova Management VII, L.L.C., the general partner of Sofinnova Venture Partners VII, L.P., and disclaims beneficial ownership of the shares held by Sofinnova Venture Partners VII, L.P., except to the extent of his pecuniary interest therein. Also includes (i) 92 shares of common stock and (ii) 9,373 shares that may be acquired pursuant to the exercise of stock options within 60 days of March 27, 2015.</w:t>
      </w:r>
    </w:p>
    <w:p>
      <w:pPr>
        <w:ind w:left="340" w:hanging="332"/>
        <w:spacing w:after="0" w:line="182" w:lineRule="auto"/>
        <w:tabs>
          <w:tab w:leader="none" w:pos="340" w:val="left"/>
        </w:tabs>
        <w:numPr>
          <w:ilvl w:val="0"/>
          <w:numId w:val="54"/>
        </w:numPr>
        <w:rPr>
          <w:rFonts w:ascii="Arial" w:cs="Arial" w:eastAsia="Arial" w:hAnsi="Arial"/>
          <w:sz w:val="21"/>
          <w:szCs w:val="21"/>
          <w:color w:val="auto"/>
          <w:vertAlign w:val="superscript"/>
        </w:rPr>
      </w:pPr>
      <w:r>
        <w:rPr>
          <w:rFonts w:ascii="Arial" w:cs="Arial" w:eastAsia="Arial" w:hAnsi="Arial"/>
          <w:sz w:val="13"/>
          <w:szCs w:val="13"/>
          <w:color w:val="auto"/>
        </w:rPr>
        <w:t>Consists of (i) 300,164 shares of common stock held by Alan C. Herman, Ph.D. and Margaret R. Herman, Trustees of the Herman Trust dated March 16, 2001, (ii) 214,699 common stock held by Alan C. Herman, Ph.D., and (iii) 173,335 shares that may be acquired pursuant to the exercise of stock options within 60 days of March 27, 2015 by Dr. Herman.</w:t>
      </w:r>
    </w:p>
    <w:p>
      <w:pPr>
        <w:jc w:val="both"/>
        <w:ind w:left="340" w:hanging="332"/>
        <w:spacing w:after="0" w:line="188" w:lineRule="auto"/>
        <w:tabs>
          <w:tab w:leader="none" w:pos="340" w:val="left"/>
        </w:tabs>
        <w:numPr>
          <w:ilvl w:val="0"/>
          <w:numId w:val="54"/>
        </w:numPr>
        <w:rPr>
          <w:rFonts w:ascii="Arial" w:cs="Arial" w:eastAsia="Arial" w:hAnsi="Arial"/>
          <w:sz w:val="21"/>
          <w:szCs w:val="21"/>
          <w:color w:val="auto"/>
          <w:vertAlign w:val="superscript"/>
        </w:rPr>
      </w:pPr>
      <w:r>
        <w:rPr>
          <w:rFonts w:ascii="Arial" w:cs="Arial" w:eastAsia="Arial" w:hAnsi="Arial"/>
          <w:sz w:val="13"/>
          <w:szCs w:val="13"/>
          <w:color w:val="auto"/>
        </w:rPr>
        <w:t>Consists of (i) 1,344,926 shares of common stock held by Dennis M. Lanfear, as Trustee of the Lanfear Revocable Trust, dated January 27, 2004, as restated, (ii) 86,965 shares of common stock held by offering by Lanfear Capital Advisors, LLC, (iii) 71,635 shares of common stock held by Dennis M. Lanfear, and (iv) 760,837 shares that may be acquired pursuant to the exercise of stock options within 60 days of March 27, 2015 by Mr. Lanfear.</w:t>
      </w:r>
    </w:p>
    <w:p>
      <w:pPr>
        <w:spacing w:after="0" w:line="1" w:lineRule="exact"/>
        <w:rPr>
          <w:rFonts w:ascii="Arial" w:cs="Arial" w:eastAsia="Arial" w:hAnsi="Arial"/>
          <w:sz w:val="21"/>
          <w:szCs w:val="21"/>
          <w:color w:val="auto"/>
          <w:vertAlign w:val="superscript"/>
        </w:rPr>
      </w:pPr>
    </w:p>
    <w:p>
      <w:pPr>
        <w:ind w:left="340" w:hanging="332"/>
        <w:spacing w:after="0" w:line="188" w:lineRule="auto"/>
        <w:tabs>
          <w:tab w:leader="none" w:pos="340" w:val="left"/>
        </w:tabs>
        <w:numPr>
          <w:ilvl w:val="0"/>
          <w:numId w:val="54"/>
        </w:numPr>
        <w:rPr>
          <w:rFonts w:ascii="Arial" w:cs="Arial" w:eastAsia="Arial" w:hAnsi="Arial"/>
          <w:sz w:val="20"/>
          <w:szCs w:val="20"/>
          <w:color w:val="auto"/>
          <w:vertAlign w:val="superscript"/>
        </w:rPr>
      </w:pPr>
      <w:r>
        <w:rPr>
          <w:rFonts w:ascii="Arial" w:cs="Arial" w:eastAsia="Arial" w:hAnsi="Arial"/>
          <w:sz w:val="13"/>
          <w:szCs w:val="13"/>
          <w:color w:val="auto"/>
        </w:rPr>
        <w:t>Consists of 19,683 shares that may be acquired pursuant to the exercise of stock options within 60 days of March 27, 2015 by Dr. Lawlis.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21"/>
          <w:szCs w:val="21"/>
          <w:color w:val="auto"/>
          <w:vertAlign w:val="superscript"/>
        </w:rPr>
      </w:pPr>
      <w:r>
        <w:rPr>
          <w:rFonts w:ascii="Arial" w:cs="Arial" w:eastAsia="Arial" w:hAnsi="Arial"/>
          <w:sz w:val="13"/>
          <w:szCs w:val="13"/>
          <w:color w:val="auto"/>
        </w:rPr>
        <w:t>Consists of (i) 78,836 shares of common stock held, and (ii) 44,991 shares that may be acquired pursuant to the exercise of stock options within 60 days of March 27, 2014 by Mr. Richards.</w:t>
      </w:r>
    </w:p>
    <w:p>
      <w:pPr>
        <w:ind w:left="340" w:right="20" w:hanging="332"/>
        <w:spacing w:after="0" w:line="186" w:lineRule="auto"/>
        <w:tabs>
          <w:tab w:leader="none" w:pos="340" w:val="left"/>
        </w:tabs>
        <w:numPr>
          <w:ilvl w:val="0"/>
          <w:numId w:val="55"/>
        </w:numPr>
        <w:rPr>
          <w:rFonts w:ascii="Arial" w:cs="Arial" w:eastAsia="Arial" w:hAnsi="Arial"/>
          <w:sz w:val="19"/>
          <w:szCs w:val="19"/>
          <w:color w:val="auto"/>
          <w:vertAlign w:val="superscript"/>
        </w:rPr>
      </w:pPr>
      <w:r>
        <w:rPr>
          <w:rFonts w:ascii="Arial" w:cs="Arial" w:eastAsia="Arial" w:hAnsi="Arial"/>
          <w:sz w:val="12"/>
          <w:szCs w:val="12"/>
          <w:color w:val="auto"/>
        </w:rPr>
        <w:t>Consists of the shares held by KKR Biosimilar L.P. Mr. Satvat disclaims beneficial ownership of the shares held by KKR Biosimilar L.P., except to the extent of his pecuniary interest therein. Also, includes 6,874 shares that may be acquired pursuant to the exercise of stock options within 60 days of March 27, 2015.</w:t>
      </w:r>
    </w:p>
    <w:p>
      <w:pPr>
        <w:ind w:left="340" w:hanging="332"/>
        <w:spacing w:after="0" w:line="182" w:lineRule="auto"/>
        <w:tabs>
          <w:tab w:leader="none" w:pos="340" w:val="left"/>
        </w:tabs>
        <w:numPr>
          <w:ilvl w:val="0"/>
          <w:numId w:val="55"/>
        </w:numPr>
        <w:rPr>
          <w:rFonts w:ascii="Arial" w:cs="Arial" w:eastAsia="Arial" w:hAnsi="Arial"/>
          <w:sz w:val="17"/>
          <w:szCs w:val="17"/>
          <w:color w:val="auto"/>
          <w:vertAlign w:val="superscript"/>
        </w:rPr>
      </w:pPr>
      <w:r>
        <w:rPr>
          <w:rFonts w:ascii="Arial" w:cs="Arial" w:eastAsia="Arial" w:hAnsi="Arial"/>
          <w:sz w:val="11"/>
          <w:szCs w:val="11"/>
          <w:color w:val="auto"/>
        </w:rPr>
        <w:t>Consists of 3,124 shares that may be acquired pursuant to the exercise of stock options within 60 days of March 27, 2014 by Ms. Szela.</w:t>
      </w:r>
    </w:p>
    <w:p>
      <w:pPr>
        <w:jc w:val="both"/>
        <w:ind w:left="340" w:hanging="337"/>
        <w:spacing w:after="0" w:line="217" w:lineRule="auto"/>
        <w:tabs>
          <w:tab w:leader="none" w:pos="320" w:val="left"/>
        </w:tabs>
        <w:rPr>
          <w:sz w:val="20"/>
          <w:szCs w:val="20"/>
          <w:color w:val="auto"/>
        </w:rPr>
      </w:pPr>
      <w:r>
        <w:rPr>
          <w:rFonts w:ascii="Arial" w:cs="Arial" w:eastAsia="Arial" w:hAnsi="Arial"/>
          <w:sz w:val="22"/>
          <w:szCs w:val="22"/>
          <w:color w:val="auto"/>
          <w:vertAlign w:val="superscript"/>
        </w:rPr>
        <w:t>(15</w:t>
      </w:r>
      <w:r>
        <w:rPr>
          <w:rFonts w:ascii="Arial" w:cs="Arial" w:eastAsia="Arial" w:hAnsi="Arial"/>
          <w:sz w:val="14"/>
          <w:szCs w:val="14"/>
          <w:color w:val="auto"/>
        </w:rPr>
        <w:t>)</w:t>
        <w:tab/>
        <w:t>Consists of the shares described in Note (5) above. Dr. Troendle disclaims beneficial ownership of the shares held by Medpace Investors, LLC and MX II Associates, LLC as described in Note (5) above, except to the extent of his pecuniary interest therein. Also includes (i) 21,870 shares of common stock, and (ii) 8,124 shares that may be acquired pursuant to the exercise of stock options within 60 days of March 27, 2015 by Dr. Troendle.</w:t>
      </w:r>
    </w:p>
    <w:p>
      <w:pPr>
        <w:spacing w:after="0" w:line="17" w:lineRule="exact"/>
        <w:rPr>
          <w:sz w:val="20"/>
          <w:szCs w:val="20"/>
          <w:color w:val="auto"/>
        </w:rPr>
      </w:pPr>
    </w:p>
    <w:p>
      <w:pPr>
        <w:jc w:val="both"/>
        <w:ind w:left="340" w:hanging="332"/>
        <w:spacing w:after="0" w:line="182" w:lineRule="auto"/>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Consists of the shares held by KMG Capital Partners, LLC and Leonard Capital, LLC. Mr. Wahlström disclaims beneficial ownership of the shares held by KMG Capital Partners, LLC and Leonard Capital, LLC, except to the extent of his pecuniary interest therein. Also includes 68,736 shares that may be acquired pursuant to the exercise of stock options within 60 days of March 27, 2015 by Mr. Wahlström.</w:t>
      </w:r>
    </w:p>
    <w:p>
      <w:pPr>
        <w:spacing w:after="0" w:line="1"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56"/>
        </w:numPr>
        <w:rPr>
          <w:rFonts w:ascii="Arial" w:cs="Arial" w:eastAsia="Arial" w:hAnsi="Arial"/>
          <w:sz w:val="19"/>
          <w:szCs w:val="19"/>
          <w:color w:val="auto"/>
          <w:vertAlign w:val="superscript"/>
        </w:rPr>
      </w:pPr>
      <w:r>
        <w:rPr>
          <w:rFonts w:ascii="Arial" w:cs="Arial" w:eastAsia="Arial" w:hAnsi="Arial"/>
          <w:sz w:val="12"/>
          <w:szCs w:val="12"/>
          <w:color w:val="auto"/>
        </w:rPr>
        <w:t>Consists of 138,783 shares that may be acquired pursuant to the exercise of stock options within 60 days of March 27, 2015 by Dr. Watler.</w:t>
      </w:r>
    </w:p>
    <w:p>
      <w:pPr>
        <w:ind w:left="340" w:hanging="332"/>
        <w:spacing w:after="0" w:line="189" w:lineRule="auto"/>
        <w:tabs>
          <w:tab w:leader="none" w:pos="340" w:val="left"/>
        </w:tabs>
        <w:numPr>
          <w:ilvl w:val="0"/>
          <w:numId w:val="56"/>
        </w:numPr>
        <w:rPr>
          <w:rFonts w:ascii="Arial" w:cs="Arial" w:eastAsia="Arial" w:hAnsi="Arial"/>
          <w:sz w:val="21"/>
          <w:szCs w:val="21"/>
          <w:color w:val="auto"/>
          <w:vertAlign w:val="superscript"/>
        </w:rPr>
      </w:pPr>
      <w:r>
        <w:rPr>
          <w:rFonts w:ascii="Arial" w:cs="Arial" w:eastAsia="Arial" w:hAnsi="Arial"/>
          <w:sz w:val="13"/>
          <w:szCs w:val="13"/>
          <w:color w:val="auto"/>
        </w:rPr>
        <w:t>Includes (i) 8,449,196 shares held by entities affiliated with certain of our directors and (ii) 12,717,252 shares beneficially owned by our executive officers and directors, which includes the 11,358,239 shares held by such entities and 1,359,013 shares that may be acquired pursuant to the exercise of stock options within 60 days of March 27, 2015.</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The following summary describes our capital stock and the material provisions of our amended and restated certificate of incorporation and our amended and restated bylaws, the third amended and restated investor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third amended and restated investor rights agreement, copies of which are incorporated by reference as exhibits to the registration statement of which this prospectus is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 As of December 31, 2014, there were outstanding:</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33,257,978 shares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5,770,307 shares of our common stock issuable upon exercise of outstanding stock options.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December 31, 2014, there were approximately 90 holders of record of our common stock. This number does not include beneficial owners whose shares are held by nominees in street name.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our third amended and restated investor rights agreement, the holders of approximately 21.3 million shares of common stock, or their transferees, have the right to require us to register their shares under the Securities Act so that those shares may be publicly resold, or to include their shares in any registration statement we file, in each case as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Based on the number of shares outstanding as of December 31, 2014, the holders of approximately 21.3 million shares of our common stock, or their transferees, are entitled to certain demand registration rights. Beginning on May 5, 2015, the 180th day following the effectiveness of the registration statement filed in connection with our initial public offering in November 2014, the holders of at least 50% of these shares can, on not more than four occasions, request that we register all or a portion of their shares. Such request for registration must cover a number of shares with an anticipated aggregate offering price, net of underwriting discounts and commissions, of at least $5.0 million. Additionally, we will not be required to effect a demand registration during the period beginning 60 days prior to the filing and 180 days following the effectiveness of a company-initiated registration statement relating to a public offering of our securities, provided that we have complied with certain notice requirements to the holders of these shares.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Based on the number of shares outstanding as of December 31, 2014, the holders of approximately 21.3 million shares of our common stock, or their transferees, are entitled to certain Form S-3 registration rights. Beginning on May 5, 2015, the 180th day following the effectiveness of the registration statement filed in connection with our initial public offering in November 2014, the holders of these shares can make a written request that we register their shares on Form S-3 if we are eligible to file a registration statement on Form S-3 and if the aggregate price to the public of the shares offered is at least $1.0 million. These stockholders may make an unlimited number of requests for registration on Form S-3, but in no event shall we be required to file more than two registrations on Form S-3 in any 12-month period. However, we will not be required to effect a registration on Form S-3 during the period beginning 60 days prior to the filing and 180 days following the effectiveness of a company-initiated registration statement relating to a public offering of our securities, provided that we have complied with certain notice requirements to the holders of these shares.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Based on the number of shares outstanding as of December 31, 2014, in the event that we determine to register any of our securities under the Securities Act (subject to certain exceptions), either for our own account or for the account of other security holders, the holders of approximately 21.3 million shares of our common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 or their transferees,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limit the number of shares such holders may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demand, piggyback and Form S-3 registration rights described above will expire, with respect to any particular stockholder, upon the earlier of five years after the consummation of our initial public offering in November 2014 or when that stockholder can sell all of its shares under Rule 144 of the Securities Act during any 90 day period.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Effects of Provisions of our Amended and Restated Certificate of Incorporation, our Amended and Restated Bylaws and Delaware Law</w:t>
      </w:r>
    </w:p>
    <w:p>
      <w:pPr>
        <w:spacing w:after="0" w:line="11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corporate secretary pursuant to a resolution adopted by a majority of our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9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In addition, a vote of not less than 66 2/3% of all outstanding shares of our capital stock is required for removal of a director only for cause (and a director may only be removed for cause).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any action asserting a claim against us that is governed by the internal affairs doctrine.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The amendment of any of the above provisions, except for the provision making it possible for our board of directors to issue “blank check” preferred stock, would require approval by holders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voting power of our then outstanding voting stock.</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59"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we are required to indemnify our directors and officers, in each case to the fullest extent permitted by Delaware law. Our amended and restated bylaws also provide that we may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3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Market under the symbol “CHRS.”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transfer agent and registrar for our common stock is Wells Fargo Shareowner Services. The transfer agent and registrar’s address is Wells Fargo Shareowner Services, Attn: Manager of Account Administration, 1110 Centre Pointe Curve, Suite 101, Mendota Heights, MN 55120-4101.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Future sales of our common stock, including shares issued upon the exercise of outstanding options,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Based on the number of shares of our common stock outstanding as of December 31, 2014, and the sale by us of 3,519,887 shares of our common stock based on the assumed offering price of $28.41, the last reported sale price of our common stock on The NASDAQ Global Market on March 27, 2015, and the issuance of 358,384 shares of our common stock to former InteKrin stockholders on March 6, 2015 in satisfaction of a contingent consideration obligation, upon the closing of this offering and assuming no exercise of the underwriters’ option to purchase additional shares of common stock, as well as no exercise of any of our other outstanding options, we will have outstanding an aggregate of approximately 37,136,249 shares of common stock. Of these shares, all of the shares of common stock sold in our initial public offering (other than any shares purchased by our then-existing investors, including the limited partners of such investors and one of our executive officers) and to be sold in this offering, including both the shares sold by us,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All remaining shares of common stock held by existing stockholders immediately prior to the consummation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connection with our initial public offering, we, our directors, our executive officers and holders of substantially all of our other then-outstanding shares of common stock or securities convertible into or exchangeable for shares of our common stock agreed, subject to certain exceptions, with the underwriters not to dispose of or hedge any shares of our common stock or securities convertible into or exchangeable for shares of common stock during the period from the date of the lock-up agreement continuing through May 5, 2015, except with the prior written consent of J.P. Morgan Securities LLC and Credit Suisse Securities (USA) LLC.</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connection with this offering, we, and our directors and executive officers and certain stockholders that are affiliated with our directors, collectively holding approximately 33% of our outstanding common stock,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60 days after the date of this prospectus for certain stockholders affiliated with our directors and 90 days after the date of this prospectus for us and our executive officers and directors, except with the prior written consent of J.P. Morgan Securities LLC and Credit Suisse Securities (USA)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general, under Rule 144, as currently in effect, a person (or persons whose shares are required to be aggregated) who is not deemed to have been one of our “affiliates” for purposes of Rule 144 at any time during the three months preceding a sale, and who has beneficially owned restricted securities within the meaning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37" w:lineRule="exact"/>
        <w:rPr>
          <w:sz w:val="20"/>
          <w:szCs w:val="20"/>
          <w:color w:val="auto"/>
        </w:rPr>
      </w:pPr>
    </w:p>
    <w:p>
      <w:pPr>
        <w:ind w:left="900" w:right="2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 of the number of common shares then outstanding, which will equal approximately 371,362 shares of common stock immediately after this offering (calculated as of December 31, 2014 on the basis of the assumptions described above); or</w:t>
      </w:r>
    </w:p>
    <w:p>
      <w:pPr>
        <w:spacing w:after="0" w:line="50" w:lineRule="exact"/>
        <w:rPr>
          <w:rFonts w:ascii="Arial" w:cs="Arial" w:eastAsia="Arial" w:hAnsi="Arial"/>
          <w:sz w:val="18"/>
          <w:szCs w:val="18"/>
          <w:color w:val="auto"/>
        </w:rPr>
      </w:pPr>
    </w:p>
    <w:p>
      <w:pPr>
        <w:jc w:val="both"/>
        <w:ind w:left="900" w:hanging="325"/>
        <w:spacing w:after="0" w:line="25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such sale. 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a registration statement under the Securities Act is entitled to rely on Rule 701 to resell such shares in reliance on Rule 144. An affiliate of the issuer can resell shares in reliance on Rule 144 without having to comply with the holding period requirements of Rule 144, and a non-affiliate of the issuer can resell shares in reliance on Rule 144 without having to comply with the holding period requirements of Rule 144 and without regard to the volume of such sales or the availability of public information about the issuer.</w:t>
      </w:r>
    </w:p>
    <w:p>
      <w:pPr>
        <w:spacing w:after="0" w:line="6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 In 2014, we filed a registration statement on Form S-1 under the Securities Act to register shares in connection with our initial public offering and a registration statement on Form S-8 under the Securities Act to register all of the shares of our common stock subject to outstanding options and other awards issuable pursuant to our 2010 Stock Incentive Plan and 2014 Equity Incentive Award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Based on the number of shares outstanding as of December 31, 2014, the holders of approximately 21.3 million shares of our common stock, or their transferees, are subject to any lock-up agreements they have entered into, entitled to certain rights with respect to the registration of the offer and sale of those shares under the Securities Act. For a description of these registration rights, please see the section titled “Description of Capital Stock — Registration Rights.” If the offer and sale of these shares are registered, they will be freely tradable without restriction under the Securities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filed with the SEC a registration statement on Form S-8 under the Securities Act covering the shares of common stock that we may initially issue upon exercise of outstanding options reserved for issuance under our 2010 Stock Incentive Plan, as amended, and our 2014 Equity Incentive Award Plan, as well as any shares we may reserve for issuance pursuant to our Employee Stock Purchase Plan. Such registration statement was filed and became effective in November 2014. Accordingly, shares registered under such registration statement are available for sale in the open market, subject to Rule 144 volume limitations and the lock-up agreements described above, if applicable.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62"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2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4"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9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controlled by one or more “United States persons” (within the meaning of Section 7701(a)(30) of the Code), or (2) has a valid election in effect to be treated as a United States person for U.S. federal income tax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described in the section entitled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 Sale or Other Taxable Disposition.”</w:t>
      </w:r>
    </w:p>
    <w:p>
      <w:pPr>
        <w:spacing w:after="0" w:line="3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6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51" w:lineRule="exact"/>
        <w:rPr>
          <w:sz w:val="20"/>
          <w:szCs w:val="20"/>
          <w:color w:val="auto"/>
        </w:rPr>
      </w:pPr>
    </w:p>
    <w:p>
      <w:pPr>
        <w:ind w:left="900" w:hanging="325"/>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a USRPI, by reason of our status as a U.S. real property holding corporation, or a USRPHC, for U.S. federal income tax purposes.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certain U.S.-source capital losses of the Non-U.S. Holder (even though the individual is not considered a resident of the United States), provided the Non-U.S. Holder has timely filed U.S. federal income tax returns with respect to such losses.</w:t>
      </w:r>
    </w:p>
    <w:p>
      <w:pPr>
        <w:spacing w:after="0" w:line="2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3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which Sections are commonly referred to as the Foreign Account Tax Compliance Act, or FATCA, on certain types of payments made to non-U.S. financial institutions and certain other non-U.S. entities. Specifically, a 30% withholding tax will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4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dividends on our common stock made on or after July 1, 2014, and will apply to payments of gross proceeds from the sale or other disposition of such stock on or after January 1, 2017.</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offering the shares of common stock described in this prospectus through a number of underwriters. J.P. Morgan Securities LLC and Credit Suisse Securities (USA)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0060" w:type="dxa"/>
            <w:vAlign w:val="bottom"/>
          </w:tcPr>
          <w:p>
            <w:pPr>
              <w:jc w:val="center"/>
              <w:ind w:left="9372"/>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10060" w:type="dxa"/>
            <w:vAlign w:val="bottom"/>
          </w:tcPr>
          <w:p>
            <w:pPr>
              <w:jc w:val="center"/>
              <w:ind w:left="9352"/>
              <w:spacing w:after="0" w:line="14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J.P. Morgan Securities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10795</wp:posOffset>
            </wp:positionV>
            <wp:extent cx="4800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27940</wp:posOffset>
            </wp:positionV>
            <wp:extent cx="4800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2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common shares directly to the public at the public offering price set forth on the cover page of this prospectus and to</w:t>
      </w:r>
    </w:p>
    <w:p>
      <w:pPr>
        <w:spacing w:after="0" w:line="38"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certain dealers at that price less a concession not in excess of $ per share. After the public offering of the shares, the offering price and other selling terms may be changed by the underwriters. Sales of shares made outside of the United States may be made by affiliates of the underwriters.</w:t>
      </w:r>
    </w:p>
    <w:p>
      <w:pPr>
        <w:spacing w:after="0" w:line="1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underwriters have an option to buy up to $15,000,000 of additional shares of common stock from us to cover sales of shares by the underwriters which exceed the number of shares specified in the table above. The underwriters have 30 days from the date of this prospectus to exercise this option. If any shares are purchased with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Without</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46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option</w:t>
            </w:r>
          </w:p>
        </w:tc>
      </w:tr>
      <w:tr>
        <w:trPr>
          <w:trHeight w:val="161"/>
        </w:trPr>
        <w:tc>
          <w:tcPr>
            <w:tcW w:w="4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1"/>
              </w:rPr>
              <w:t>exercise</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exercise</w:t>
            </w: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9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ind w:right="48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r>
    </w:tbl>
    <w:p>
      <w:pPr>
        <w:spacing w:after="0" w:line="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$0.7 million. We have agreed to reimburse the underwriters for expenses of $20,000 relating to the clearance of this offering with the Financial Industry Regulatory Authority.</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 xml:space="preserve">We have agreed that we will not (i) offer, pledge, announce the intention to sell, sell, contract to sell, sell any option or contract to purchase, purchase any option or contract to sell, grant any option, right or warrant to purchase or otherwise dispose of, directly or indirectly, or file with the Securities and Exchange Commission a registration statement under the Securities Act of 1933, as amended, or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Credit Suisse Securities (USA) LLC for a period of 90 days after the date of this prospectus, other than (a) the shares of our common stock to be sold hereunder, (b) any shares of our common stock issued upon the exercise of options granted under our existing plans, (c) any options and other awards granted under our existing plans, (d) the filing of any Form S-8 relating to shares of our common stock granted pursuant to or reserved for issuance under our existing plans, (e) the issuance of shares of our common stock in connection with the acquisition by us or any of our subsidiaries of the securities, business, properties or other assets of another person or entity or pursuant to any employee benefit plan assumed by the us or any of our subsidiaries in connection with such acquisition or (f) the issuance of shares of our common stock in connection with joint ventures, commercial relationships or other strategic transactions; </w:t>
      </w:r>
      <w:r>
        <w:rPr>
          <w:rFonts w:ascii="Arial" w:cs="Arial" w:eastAsia="Arial" w:hAnsi="Arial"/>
          <w:sz w:val="16"/>
          <w:szCs w:val="16"/>
          <w:i w:val="1"/>
          <w:iCs w:val="1"/>
          <w:color w:val="auto"/>
        </w:rPr>
        <w:t>provided that</w:t>
      </w:r>
      <w:r>
        <w:rPr>
          <w:rFonts w:ascii="Arial" w:cs="Arial" w:eastAsia="Arial" w:hAnsi="Arial"/>
          <w:sz w:val="16"/>
          <w:szCs w:val="16"/>
          <w:color w:val="auto"/>
        </w:rPr>
        <w:t>, in the case of clauses (e) and (f), the aggregate number of shares of our outstanding common stock or other securities (including securities convertible into or exchangeable or exercisable for outstanding common stock or other securities) issued in all such acquisitions and transactions, on an as-converted, as-exchanged and as-exercised basis, does not exceed 5% of our common stock outstanding following this offering.</w:t>
      </w:r>
    </w:p>
    <w:p>
      <w:pPr>
        <w:spacing w:after="0" w:line="43" w:lineRule="exact"/>
        <w:rPr>
          <w:sz w:val="20"/>
          <w:szCs w:val="20"/>
          <w:color w:val="auto"/>
        </w:rPr>
      </w:pPr>
    </w:p>
    <w:p>
      <w:pPr>
        <w:jc w:val="both"/>
        <w:ind w:firstLine="464"/>
        <w:spacing w:after="0" w:line="286" w:lineRule="auto"/>
        <w:tabs>
          <w:tab w:leader="none" w:pos="671"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a period of 90 days after the date of this prospectus for our directors and our executive officers and (ii) for a period of 60 days after the date of this prospectus for certain stockholders that are affiliated with our directors, the underwriters have entered into lock-up agreements with each of these persons or entities prior to the commencement of this offering pursuant to which each of these persons or entities, with limited exceptions, may not, without the prior written consent of J.P. Morgan Securities LLC and Credit Suisse Securities (USA)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Securities and Exchange Commission, or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These agreements will not restrict:</w:t>
      </w:r>
    </w:p>
    <w:p>
      <w:pPr>
        <w:spacing w:after="0" w:line="43" w:lineRule="exact"/>
        <w:rPr>
          <w:rFonts w:ascii="Arial" w:cs="Arial" w:eastAsia="Arial" w:hAnsi="Arial"/>
          <w:sz w:val="16"/>
          <w:szCs w:val="16"/>
          <w:color w:val="auto"/>
        </w:rPr>
      </w:pPr>
    </w:p>
    <w:p>
      <w:pPr>
        <w:jc w:val="both"/>
        <w:ind w:left="900" w:hanging="325"/>
        <w:spacing w:after="0" w:line="306"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our directors and our executive officers and certain stockholders that are affiliated with our directors from entering into 10b5-1 trading plans, provided that (1) such plan does not provide for any transfers of our common stock during the restricted period and (2) no filing under the Exchange Act or other public announcement shall be required or shall be made voluntarily during the restricted period; or</w:t>
      </w:r>
    </w:p>
    <w:p>
      <w:pPr>
        <w:spacing w:after="0" w:line="25"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our directors and our executive officers and certain stockholders that are affiliated with our directors from transferring or distributing shares acquired in this offering or in the open market after this offering, provided that no filing under the Exchange Act or other public announcement shall be required or shall be made voluntarily during the restricted period.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Market under the symbol “CHRS”.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referred to above, or may be “naked” shorts, which are short positions in excess of that amount. The underwriters may close out any covered short position either by exercising their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4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Certain of the underwriters and their affiliates have engaged in and may provide to us and our affiliates from time to time in the future certain commercial banking, financial advisory, investment banking and other services for us and such affiliates in the ordinary course of their business, for which they may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document is only being distributed to and is only directed at (i) persons who are outside the United Kingdom or (ii) to investment professionals falling within Article 19(5) of the Financial Services and Markets Act 2000 (Financial Promotion) Order 2005, the Order, or (iii) high net worth entities and other persons to whom it may lawfully be communicated, falling with Article 49(2)(a) to (d) of the Order, or all such persons together, relevant persons. The securities are only available to, and any invitation, offer or agreement to subscribe, purchase or otherwise acquire such securities will be engaged in only with, relevant persons. Any person who is not a relevant person should not act or rely on this document or any of its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from and including the date on which the European Union Prospectus Directive, or the E.U. Prospectus Directive, was implemented in that Relevant Member State, or the Relevant Implementation Date, an offer of securities described in this prospectus may not be made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Directive, except that, with effect from and including the Relevant Implementation Date, an offer of securities described in this prospectus may be made to the public in that Relevant Member State at any time:</w:t>
      </w:r>
    </w:p>
    <w:p>
      <w:pPr>
        <w:spacing w:after="0" w:line="37"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Directive;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E.U. Prospectus Directive); or</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E.U. Prospectus Directive, provided that no such offer of securities described in this prospectus shall result in a requirement for the publication by us of a prospectus pursuant to Article 3 of the E.U. Prospectus Directive.</w:t>
      </w:r>
    </w:p>
    <w:p>
      <w:pPr>
        <w:spacing w:after="0" w:line="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For the purposes of this provision,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E.U. Prospectus Directive in that Member State. The expression “E.U. Prospectus Directive” means Directive 2003/71/EC (and any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Supervisory Authority FINMA,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or will be given for the transfer; (3) where the transfer is by operation of law; (4) as specified in Section 276(7) of the SFA; or (5) as specified in Regulation 32 of the Securities and Futures (Offers of Investments) (Shares and Debentures) Regulations 2005 of Singapore.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validity of the issuance of our common stock offered in this prospectus will be passed upon for us by Latham &amp; Watkins LLP, Menlo Park, California. Davis Polk &amp; Wardwell LLP, Menlo Park, California is acting as counsel for the underwriters in connection with this offering. Latham &amp; Watkins LLP and certain attorneys and investment funds affiliated with the firm collectively own an aggregate of 5,242 shares of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at December 31, 2013 and 2014, and for each of the three years in the period ended December 31, 2014, as set forth in their report. We have included our financial statements in the prospectus and elsewhere in the registration statement in reliance on Ernst &amp; Young LLP’s report, given on their authority as experts in accounting and auditing.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 this prospectus for a copy of such contract, agreement or other document.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For further information with respect to Coherus BioSciences, Inc. and the common stock offered hereby, reference is made to the registration statement and the exhibits and schedules filed therewith. A copy of the registration statement and the exhibits and schedules filed therewith may be inspected without charge at the public reference room maintained by the SEC, located at 100 F Street N.E., Room 1580, Washington, D.C. 20549, and copies of all or any part of the registration statement may be obtained from such offices upon the payment of the fees prescribed by the SEC. Please call the SEC at 1-800-SEC-0330 for further information about the public reference room. The SEC also maintains a website that contains reports, proxy and information statements and other information regarding registrants that file electronically with the SEC. The address is www.sec.gov.</w:t>
      </w:r>
    </w:p>
    <w:p>
      <w:pPr>
        <w:spacing w:after="0" w:line="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are subject to the information and periodic reporting requirements of the Exchange Act and, in accordance therewith, file periodic reports, proxy statements and other information with the SEC. Such periodic reports, proxy statements and other information are available for inspection and copying at the public reference room and website of the SEC referred to above. We maintain a website at www.coherus.com.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documents filed by us with the SEC are incorporated by reference into this prospectus. You should carefully read and consider all of these documents before making an investment decision:</w:t>
      </w:r>
    </w:p>
    <w:p>
      <w:pPr>
        <w:spacing w:after="0" w:line="5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 filed with the SEC on March 23, 2015;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Current Report on Form 8-K filed on March 11, 2015;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November 3, 2014, including any amendments or reports filed for the purpose of updating such description.</w:t>
      </w:r>
    </w:p>
    <w:p>
      <w:pPr>
        <w:spacing w:after="0" w:line="5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Nothing in this prospectus shall be deemed to incorporate information deemed furnished but not filed with the SEC. Any statement contained in a document that is incorporated by reference will be modified or superseded for all purposes to the extent that a statement contained in this prospectus modifies or is contrary to that previous statement. Any statement so modified or superseded will not be deemed a part of this prospectus except as so modified or superseded.</w:t>
      </w:r>
    </w:p>
    <w:p>
      <w:pPr>
        <w:spacing w:after="0" w:line="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reports or documents that have been incorporated by reference into this prospectus but not delivered with this prospectus. We will provide these reports upon written or oral request at no cost to the requester. Please direct your request, either in writing or by telephone, to the General Counsel, 201 Redwood Shores Parkway, Suite 200, Redwood City, California 94065, telephone number (650) 649-3530. In addition, copies of the documents incorporated herein by reference may be accessed at our website at www.coherus.com.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152400</wp:posOffset>
            </wp:positionV>
            <wp:extent cx="2546985" cy="1380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4698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Prospectus</w:t>
      </w:r>
    </w:p>
    <w:p>
      <w:pPr>
        <w:spacing w:after="0" w:line="200" w:lineRule="exact"/>
        <w:rPr>
          <w:sz w:val="20"/>
          <w:szCs w:val="20"/>
          <w:color w:val="auto"/>
        </w:rPr>
      </w:pPr>
    </w:p>
    <w:p>
      <w:pPr>
        <w:spacing w:after="0" w:line="364" w:lineRule="exact"/>
        <w:rPr>
          <w:sz w:val="20"/>
          <w:szCs w:val="20"/>
          <w:color w:val="auto"/>
        </w:rPr>
      </w:pPr>
    </w:p>
    <w:p>
      <w:pPr>
        <w:spacing w:after="0"/>
        <w:tabs>
          <w:tab w:leader="none" w:pos="9580" w:val="left"/>
        </w:tabs>
        <w:rPr>
          <w:sz w:val="20"/>
          <w:szCs w:val="20"/>
          <w:color w:val="auto"/>
        </w:rPr>
      </w:pP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28"/>
          <w:szCs w:val="28"/>
          <w:b w:val="1"/>
          <w:bCs w:val="1"/>
          <w:color w:val="auto"/>
        </w:rPr>
        <w:t>Credit Suisse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Cowen and Company</w:t>
      </w:r>
    </w:p>
    <w:p>
      <w:pPr>
        <w:spacing w:after="0" w:line="200" w:lineRule="exact"/>
        <w:rPr>
          <w:sz w:val="20"/>
          <w:szCs w:val="20"/>
          <w:color w:val="auto"/>
        </w:rPr>
      </w:pPr>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2015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and the FINRA filing fee.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90"/>
              </w:rPr>
              <w:t>Item</w:t>
            </w:r>
          </w:p>
        </w:tc>
        <w:tc>
          <w:tcPr>
            <w:tcW w:w="696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to</w:t>
            </w: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696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be paid</w:t>
            </w:r>
          </w:p>
        </w:tc>
        <w:tc>
          <w:tcPr>
            <w:tcW w:w="0" w:type="dxa"/>
            <w:vAlign w:val="bottom"/>
          </w:tcPr>
          <w:p>
            <w:pPr>
              <w:spacing w:after="0"/>
              <w:rPr>
                <w:sz w:val="1"/>
                <w:szCs w:val="1"/>
                <w:color w:val="auto"/>
              </w:rPr>
            </w:pPr>
          </w:p>
        </w:tc>
      </w:tr>
      <w:tr>
        <w:trPr>
          <w:trHeight w:val="203"/>
        </w:trPr>
        <w:tc>
          <w:tcPr>
            <w:tcW w:w="7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SEC registration fee</w:t>
            </w:r>
          </w:p>
        </w:tc>
        <w:tc>
          <w:tcPr>
            <w:tcW w:w="3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NASDAQ Global Market supplemental listing fee</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250,000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3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650,000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62"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90" w:lineRule="exact"/>
        <w:rPr>
          <w:sz w:val="20"/>
          <w:szCs w:val="20"/>
          <w:color w:val="auto"/>
        </w:rPr>
      </w:pPr>
    </w:p>
    <w:p>
      <w:pPr>
        <w:ind w:left="90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amended and restated certificate of incorporation, filed as Exhibit 3.1 hereto, and our amended and restated bylaws, filed as Exhibit 3.2 hereto, provide for the indemnification provisions described above and elsewhere herein. We have entered into separate indemnification agreements with our directors and officers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form of Underwriting Agreement, filed as Exhibit 1.1 hereto, provides for indemnification by the underwriters of us and our officers who sign this Registration Statement and directors for specified liabilities, including matters arising under the Securities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list sets forth information as to all securities we have sold since January 1, 2012, which were not registered under the Securities Act.</w:t>
      </w:r>
    </w:p>
    <w:p>
      <w:pPr>
        <w:spacing w:after="0" w:line="113" w:lineRule="exact"/>
        <w:rPr>
          <w:sz w:val="20"/>
          <w:szCs w:val="20"/>
          <w:color w:val="auto"/>
        </w:rPr>
      </w:pPr>
    </w:p>
    <w:p>
      <w:pPr>
        <w:jc w:val="both"/>
        <w:ind w:left="460" w:hanging="452"/>
        <w:spacing w:after="0" w:line="298"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January 2012, we issued an aggregate of 5,251,792 shares of our Series B convertible preferred stock at a price per share of $6.9750 for a combination of cash and conversion of $10.6 million in convertible debt, for an aggregate gross consideration of $36.6 million, to 18 accredited investors. An aggregate of 501,799 shares were issued as consideration for past and future services provided to the Company by one investor, for an aggregate value of $3.5 million, which was determined (i) exceeded the par value of such shares and (ii) was no less than the aggregate purchase price for such shares.</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April 2012, we issued an aggregate of 57,347 shares of our Series B convertible preferred stock at a price per share of $0.0167, for an aggregate gross consideration of $956, pursuant to the exercise of outstanding stock purchase warrants to two accredited investors.</w:t>
      </w:r>
    </w:p>
    <w:p>
      <w:pPr>
        <w:spacing w:after="0" w:line="5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December 2012, we issued an aggregate of 2,872,442 shares of our Series B convertible preferred stock at a price per share of $6.9750 for an aggregate gross consideration of $20.0 million, to seven accredited investors. An aggregate of 1,725,472 shares were issued as consideration for past and future services provided to the Company by five investors, for an aggregate value of $12.0 million, which was determined (i) exceeded the par value of such shares and (ii) was no less than the aggregate purchase price for such shares.</w:t>
      </w:r>
    </w:p>
    <w:p>
      <w:pPr>
        <w:spacing w:after="0" w:line="62"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From July 2013 through September 2013, in a series of closings, we issued an aggregate of $9,950,000 in principal amount of secured convertible promissory notes and stock purchase warrants to purchase an aggregate of 4,279,620 shares of Series B convertible preferred stock at an exercise price of $0.0167 per share to 19 accredited investors. The warrants may be exercised at any time prior to their termination dates, which are seven years from the date of issuance.</w:t>
      </w:r>
    </w:p>
    <w:p>
      <w:pPr>
        <w:spacing w:after="0" w:line="62"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February 2014, we issued an aggregate of 252,013 shares of our Series B convertible preferred stock at a price per share of $6.9749 for an aggregate gross consideration of $1.8 million, to two accredited investors. An aggregate of 8,172 shares were issued as consideration for past and future services provided to the Company by one investor, for an aggregate value of $57,000, which was determined (i) exceeded the par value of such shares and (ii) was no less than the aggregate purchase price for such shares.</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February 2014, we issued an aggregate of 86,021 shares of our Series B convertible preferred stock in consideration for services rendered to four service providers.</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February 2014, we issued an aggregate of 630,618 shares of our Series B convertible preferred stock to certain stockholders of InteKrin Therapeutics Inc., or InteKrin, in connection with our acquisition of InteKrin. In addition, in March 2015, we released 143,355 shares of our common stock from escrow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issuance to certain former stockholders of InteKrin and issued 358,384 shares of our common stock to certain former stockholders of InteKrin in satisfaction of an earn-out payable under the acquisition agreement with InteKrin.</w:t>
      </w:r>
    </w:p>
    <w:p>
      <w:pPr>
        <w:spacing w:after="0" w:line="51" w:lineRule="exact"/>
        <w:rPr>
          <w:sz w:val="20"/>
          <w:szCs w:val="20"/>
          <w:color w:val="auto"/>
        </w:rPr>
      </w:pPr>
    </w:p>
    <w:p>
      <w:pPr>
        <w:ind w:left="460" w:hanging="452"/>
        <w:spacing w:after="0" w:line="33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April and May 2014, we issued an aggregate of 4,451,662 shares of our Series B convertible preferred stock at a price per share of $0.0167, for an aggregate gross consideration of $74,209, pursuant to the exercise of outstanding stock purchase warrants to 19 accredited investors.</w:t>
      </w:r>
    </w:p>
    <w:p>
      <w:pPr>
        <w:spacing w:after="0" w:line="4" w:lineRule="exact"/>
        <w:rPr>
          <w:rFonts w:ascii="Arial" w:cs="Arial" w:eastAsia="Arial" w:hAnsi="Arial"/>
          <w:sz w:val="16"/>
          <w:szCs w:val="16"/>
          <w:color w:val="auto"/>
        </w:rPr>
      </w:pPr>
    </w:p>
    <w:p>
      <w:pPr>
        <w:jc w:val="both"/>
        <w:ind w:left="460" w:hanging="452"/>
        <w:spacing w:after="0" w:line="298"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May 2014, we issued an aggregate of 6,556,978 shares of our Series C convertible preferred stock at a price per share of $10.0020 for a combination of cash and conversion of $10.6 million in convertible debt, for an aggregate gross consideration of $65.6 million, to 35 accredited investors. An aggregate of 9,997 shares were issued as consideration for past and future services provided to the Company by three investors, for an aggregate value of $100,000.00, which was determined (i) exceeded the par value of such shares and (ii) was no less than the aggregate purchase price for such shares.</w:t>
      </w:r>
    </w:p>
    <w:p>
      <w:pPr>
        <w:spacing w:after="0" w:line="31"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Prior to filing our registration statement on Form S-8 in November 2014, we granted stock options and stock awards to employees, directors and consultants under our 2010 Equity Incentive Plan, as amended, covering an aggregate of 5,358,088 shares of common stock, at a weighted-average exercise price of $2.7225 per share. Of these, options covering an aggregate of 599,889 shares were canceled without being exercised.</w:t>
      </w:r>
    </w:p>
    <w:p>
      <w:pPr>
        <w:spacing w:after="0" w:line="25"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Prior to filing our registration statement on Form S-8 in November 2014, we sold an aggregate of 52,224 shares of common stock to employees, directors and consultants for cash consideration in the aggregate amount of $26,070 upon the exercise of stock options and stock awards.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claimed exemption from registration under the Securities Act for the sales and issuances of securities in the transactions described in paragraphs (1)-</w:t>
      </w:r>
    </w:p>
    <w:p>
      <w:pPr>
        <w:spacing w:after="0" w:line="38" w:lineRule="exact"/>
        <w:rPr>
          <w:sz w:val="20"/>
          <w:szCs w:val="20"/>
          <w:color w:val="auto"/>
        </w:rPr>
      </w:pPr>
    </w:p>
    <w:p>
      <w:pPr>
        <w:jc w:val="both"/>
        <w:ind w:right="20" w:firstLine="8"/>
        <w:spacing w:after="0" w:line="255"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above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the Exhibit Index attached to this registration statement, which is incorporated by reference herein.</w:t>
      </w:r>
    </w:p>
    <w:p>
      <w:pPr>
        <w:spacing w:after="0" w:line="90" w:lineRule="exact"/>
        <w:rPr>
          <w:rFonts w:ascii="Arial" w:cs="Arial" w:eastAsia="Arial" w:hAnsi="Arial"/>
          <w:sz w:val="18"/>
          <w:szCs w:val="18"/>
          <w:b w:val="1"/>
          <w:bCs w:val="1"/>
          <w:color w:val="auto"/>
        </w:rPr>
      </w:pPr>
    </w:p>
    <w:p>
      <w:pPr>
        <w:ind w:left="460" w:hanging="452"/>
        <w:spacing w:after="0" w:line="275" w:lineRule="auto"/>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 therein is not applicable or</w:t>
      </w:r>
      <w:r>
        <w:rPr>
          <w:rFonts w:ascii="Arial" w:cs="Arial" w:eastAsia="Arial" w:hAnsi="Arial"/>
          <w:sz w:val="18"/>
          <w:szCs w:val="18"/>
          <w:b w:val="1"/>
          <w:bCs w:val="1"/>
          <w:color w:val="auto"/>
        </w:rPr>
        <w:t xml:space="preserve"> </w:t>
      </w:r>
      <w:r>
        <w:rPr>
          <w:rFonts w:ascii="Arial" w:cs="Arial" w:eastAsia="Arial" w:hAnsi="Arial"/>
          <w:sz w:val="18"/>
          <w:szCs w:val="18"/>
          <w:color w:val="auto"/>
        </w:rPr>
        <w:t>is shown in the financial statements incorporated by reference or notes thereto.</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90" w:lineRule="exact"/>
        <w:rPr>
          <w:sz w:val="20"/>
          <w:szCs w:val="20"/>
          <w:color w:val="auto"/>
        </w:rPr>
      </w:pPr>
    </w:p>
    <w:p>
      <w:pPr>
        <w:jc w:val="both"/>
        <w:ind w:left="460" w:hanging="452"/>
        <w:spacing w:after="0" w:line="306"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firstLine="456"/>
        <w:spacing w:after="0" w:line="330"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on Form S-1 to be signed on its behalf by the undersigned, thereunto duly authorized, in Redwood City, California, on March 30, 2015.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COHERUS BIOSCIENCES,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Dennis M. Lanfear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9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gridSpan w:val="2"/>
          </w:tcPr>
          <w:p>
            <w:pPr>
              <w:spacing w:after="0"/>
              <w:rPr>
                <w:sz w:val="14"/>
                <w:szCs w:val="1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Title</w:t>
            </w:r>
          </w:p>
        </w:tc>
        <w:tc>
          <w:tcPr>
            <w:tcW w:w="90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224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Chairman, President and Chief Executive Officer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8"/>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9"/>
              </w:rPr>
              <w:t>Dennis M. Lanfear</w:t>
            </w:r>
          </w:p>
        </w:tc>
        <w:tc>
          <w:tcPr>
            <w:tcW w:w="4260" w:type="dxa"/>
            <w:vAlign w:val="bottom"/>
            <w:gridSpan w:val="3"/>
          </w:tcPr>
          <w:p>
            <w:pPr>
              <w:ind w:left="1160"/>
              <w:spacing w:after="0" w:line="202" w:lineRule="exact"/>
              <w:rPr>
                <w:sz w:val="20"/>
                <w:szCs w:val="20"/>
                <w:color w:val="auto"/>
              </w:rPr>
            </w:pPr>
            <w:r>
              <w:rPr>
                <w:rFonts w:ascii="Arial" w:cs="Arial" w:eastAsia="Arial" w:hAnsi="Arial"/>
                <w:sz w:val="18"/>
                <w:szCs w:val="18"/>
                <w:i w:val="1"/>
                <w:iCs w:val="1"/>
                <w:color w:val="auto"/>
              </w:rPr>
              <w:t>(Principal Executive Officer)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7"/>
        </w:trPr>
        <w:tc>
          <w:tcPr>
            <w:tcW w:w="2840" w:type="dxa"/>
            <w:vAlign w:val="bottom"/>
            <w:tcBorders>
              <w:bottom w:val="single" w:sz="8" w:color="auto"/>
            </w:tcBorders>
            <w:gridSpan w:val="3"/>
          </w:tcPr>
          <w:p>
            <w:pPr>
              <w:jc w:val="center"/>
              <w:ind w:left="21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Chief Financial Officer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8"/>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8"/>
              </w:rPr>
              <w:t>Jean-Frédéric Viret, Ph.D.</w:t>
            </w:r>
          </w:p>
        </w:tc>
        <w:tc>
          <w:tcPr>
            <w:tcW w:w="4260" w:type="dxa"/>
            <w:vAlign w:val="bottom"/>
            <w:gridSpan w:val="3"/>
          </w:tcPr>
          <w:p>
            <w:pPr>
              <w:jc w:val="center"/>
              <w:ind w:right="140"/>
              <w:spacing w:after="0" w:line="202" w:lineRule="exact"/>
              <w:rPr>
                <w:sz w:val="20"/>
                <w:szCs w:val="20"/>
                <w:color w:val="auto"/>
              </w:rPr>
            </w:pPr>
            <w:r>
              <w:rPr>
                <w:rFonts w:ascii="Arial" w:cs="Arial" w:eastAsia="Arial" w:hAnsi="Arial"/>
                <w:sz w:val="18"/>
                <w:szCs w:val="18"/>
                <w:i w:val="1"/>
                <w:iCs w:val="1"/>
                <w:color w:val="auto"/>
                <w:w w:val="92"/>
              </w:rPr>
              <w:t>(Principal Financial and Accounting Officer)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3"/>
          </w:tcPr>
          <w:p>
            <w:pPr>
              <w:jc w:val="center"/>
              <w:ind w:left="21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7"/>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8"/>
              </w:rPr>
              <w:t>James I. Healy, M.D.,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3"/>
          </w:tcPr>
          <w:p>
            <w:pPr>
              <w:jc w:val="center"/>
              <w:ind w:left="21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7"/>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V. Bryan Lawlis,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3"/>
          </w:tcPr>
          <w:p>
            <w:pPr>
              <w:jc w:val="center"/>
              <w:ind w:left="21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7"/>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7"/>
              </w:rPr>
              <w:t>Christos Richards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3"/>
          </w:tcPr>
          <w:p>
            <w:pPr>
              <w:jc w:val="center"/>
              <w:ind w:left="21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7"/>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2"/>
              </w:rPr>
              <w:t>Ali J. Satvat</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3"/>
          </w:tcPr>
          <w:p>
            <w:pPr>
              <w:jc w:val="center"/>
              <w:ind w:left="21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7"/>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August J. Troendle, M.D.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3"/>
          </w:tcPr>
          <w:p>
            <w:pPr>
              <w:jc w:val="center"/>
              <w:ind w:left="21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7"/>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9"/>
              </w:rPr>
              <w:t>Mats Wahlström</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3"/>
          </w:tcPr>
          <w:p>
            <w:pPr>
              <w:jc w:val="center"/>
              <w:ind w:left="2152"/>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March 30, 2015</w:t>
            </w:r>
          </w:p>
        </w:tc>
      </w:tr>
      <w:tr>
        <w:trPr>
          <w:trHeight w:val="217"/>
        </w:trPr>
        <w:tc>
          <w:tcPr>
            <w:tcW w:w="580" w:type="dxa"/>
            <w:vAlign w:val="bottom"/>
          </w:tcPr>
          <w:p>
            <w:pPr>
              <w:spacing w:after="0"/>
              <w:rPr>
                <w:sz w:val="18"/>
                <w:szCs w:val="18"/>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Mary T. Szela</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519"/>
        </w:trPr>
        <w:tc>
          <w:tcPr>
            <w:tcW w:w="5080" w:type="dxa"/>
            <w:vAlign w:val="bottom"/>
            <w:gridSpan w:val="5"/>
          </w:tcPr>
          <w:p>
            <w:pPr>
              <w:spacing w:after="0"/>
              <w:rPr>
                <w:sz w:val="20"/>
                <w:szCs w:val="20"/>
                <w:color w:val="auto"/>
              </w:rPr>
            </w:pPr>
            <w:r>
              <w:rPr>
                <w:rFonts w:ascii="Arial" w:cs="Arial" w:eastAsia="Arial" w:hAnsi="Arial"/>
                <w:sz w:val="18"/>
                <w:szCs w:val="18"/>
                <w:color w:val="auto"/>
              </w:rPr>
              <w:t>*By:   /s/ Dennis M. Lanfear</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4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Dennis M. Lanfear</w:t>
            </w:r>
          </w:p>
        </w:tc>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Attorney-in-Fact</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5"/>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gridSpan w:val="3"/>
          </w:tcPr>
          <w:p>
            <w:pPr>
              <w:ind w:left="500"/>
              <w:spacing w:after="0"/>
              <w:rPr>
                <w:sz w:val="20"/>
                <w:szCs w:val="20"/>
                <w:color w:val="auto"/>
              </w:rPr>
            </w:pPr>
            <w:r>
              <w:rPr>
                <w:rFonts w:ascii="Arial" w:cs="Arial" w:eastAsia="Arial" w:hAnsi="Arial"/>
                <w:sz w:val="18"/>
                <w:szCs w:val="18"/>
                <w:color w:val="auto"/>
              </w:rPr>
              <w:t>II-5</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340" w:type="dxa"/>
            <w:vAlign w:val="bottom"/>
          </w:tcPr>
          <w:p>
            <w:pPr>
              <w:spacing w:after="0"/>
              <w:rPr>
                <w:sz w:val="24"/>
                <w:szCs w:val="24"/>
                <w:color w:val="auto"/>
              </w:rPr>
            </w:pPr>
          </w:p>
        </w:tc>
      </w:tr>
      <w:tr>
        <w:trPr>
          <w:trHeight w:val="168"/>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340" w:type="dxa"/>
            <w:vAlign w:val="bottom"/>
          </w:tcPr>
          <w:p>
            <w:pPr>
              <w:spacing w:after="0"/>
              <w:rPr>
                <w:sz w:val="20"/>
                <w:szCs w:val="20"/>
                <w:color w:val="auto"/>
              </w:rPr>
            </w:pPr>
            <w:r>
              <w:rPr>
                <w:rFonts w:ascii="Arial" w:cs="Arial" w:eastAsia="Arial" w:hAnsi="Arial"/>
                <w:sz w:val="14"/>
                <w:szCs w:val="14"/>
                <w:b w:val="1"/>
                <w:bCs w:val="1"/>
                <w:color w:val="auto"/>
              </w:rPr>
              <w:t>Exhibit Description</w:t>
            </w:r>
          </w:p>
        </w:tc>
      </w:tr>
      <w:tr>
        <w:trPr>
          <w:trHeight w:val="309"/>
        </w:trPr>
        <w:tc>
          <w:tcPr>
            <w:tcW w:w="5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6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88"/>
              </w:rPr>
              <w:t>Third Amended and Restated Investor Rights Agreement, dated as of May 9, 2014 by and</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among Coherus BioSciences, Inc. and certain investors named therein.</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Opinion of Latham &amp; Watkins LLP.</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6340" w:type="dxa"/>
            <w:vAlign w:val="bottom"/>
          </w:tcPr>
          <w:p>
            <w:pPr>
              <w:spacing w:after="0"/>
              <w:rPr>
                <w:sz w:val="20"/>
                <w:szCs w:val="20"/>
                <w:color w:val="auto"/>
              </w:rPr>
            </w:pPr>
            <w:r>
              <w:rPr>
                <w:rFonts w:ascii="Arial" w:cs="Arial" w:eastAsia="Arial" w:hAnsi="Arial"/>
                <w:sz w:val="18"/>
                <w:szCs w:val="18"/>
                <w:color w:val="auto"/>
                <w:w w:val="99"/>
              </w:rPr>
              <w:t>License Agreement, effective January 23, 2012, by and between Daiichi Sankyo</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Company, Limited and BioGenerics, Inc.</w:t>
            </w:r>
          </w:p>
        </w:tc>
      </w:tr>
      <w:tr>
        <w:trPr>
          <w:trHeight w:val="318"/>
        </w:trPr>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10.2(a)†</w:t>
            </w:r>
          </w:p>
        </w:tc>
        <w:tc>
          <w:tcPr>
            <w:tcW w:w="6340" w:type="dxa"/>
            <w:vAlign w:val="bottom"/>
          </w:tcPr>
          <w:p>
            <w:pPr>
              <w:spacing w:after="0"/>
              <w:rPr>
                <w:sz w:val="20"/>
                <w:szCs w:val="20"/>
                <w:color w:val="auto"/>
              </w:rPr>
            </w:pPr>
            <w:r>
              <w:rPr>
                <w:rFonts w:ascii="Arial" w:cs="Arial" w:eastAsia="Arial" w:hAnsi="Arial"/>
                <w:sz w:val="18"/>
                <w:szCs w:val="18"/>
                <w:color w:val="auto"/>
                <w:w w:val="91"/>
              </w:rPr>
              <w:t>License Agreement, effective August 30, 2013, by and among Baxter International Inc.,</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88"/>
              </w:rPr>
              <w:t>Baxter Healthcare Corporation, and Baxter Healthcare SA and Coherus BioSciences, Inc.</w:t>
            </w:r>
          </w:p>
        </w:tc>
      </w:tr>
      <w:tr>
        <w:trPr>
          <w:trHeight w:val="318"/>
        </w:trPr>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10.2(b)†</w:t>
            </w:r>
          </w:p>
        </w:tc>
        <w:tc>
          <w:tcPr>
            <w:tcW w:w="6340" w:type="dxa"/>
            <w:vAlign w:val="bottom"/>
          </w:tcPr>
          <w:p>
            <w:pPr>
              <w:spacing w:after="0"/>
              <w:rPr>
                <w:sz w:val="20"/>
                <w:szCs w:val="20"/>
                <w:color w:val="auto"/>
              </w:rPr>
            </w:pPr>
            <w:r>
              <w:rPr>
                <w:rFonts w:ascii="Arial" w:cs="Arial" w:eastAsia="Arial" w:hAnsi="Arial"/>
                <w:sz w:val="18"/>
                <w:szCs w:val="18"/>
                <w:color w:val="auto"/>
                <w:w w:val="95"/>
              </w:rPr>
              <w:t>First Amendment to License Agreement, effective February 7, 2014, by and among</w:t>
            </w: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90"/>
              </w:rPr>
              <w:t>Baxter International Inc., Baxter Healthcare Corporation, and Baxter Healthcare SA and</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Coherus BioSciences, Inc.</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6340" w:type="dxa"/>
            <w:vAlign w:val="bottom"/>
          </w:tcPr>
          <w:p>
            <w:pPr>
              <w:spacing w:after="0"/>
              <w:rPr>
                <w:sz w:val="20"/>
                <w:szCs w:val="20"/>
                <w:color w:val="auto"/>
              </w:rPr>
            </w:pPr>
            <w:r>
              <w:rPr>
                <w:rFonts w:ascii="Arial" w:cs="Arial" w:eastAsia="Arial" w:hAnsi="Arial"/>
                <w:sz w:val="18"/>
                <w:szCs w:val="18"/>
                <w:color w:val="auto"/>
              </w:rPr>
              <w:t>Distribution Agreement, effective December 26, 2012, by and between Orox</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Pharmaceuticals B.V. and Coherus BioSciences, Inc.</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10.4†</w:t>
            </w:r>
          </w:p>
        </w:tc>
        <w:tc>
          <w:tcPr>
            <w:tcW w:w="6340" w:type="dxa"/>
            <w:vAlign w:val="bottom"/>
          </w:tcPr>
          <w:p>
            <w:pPr>
              <w:spacing w:after="0"/>
              <w:rPr>
                <w:sz w:val="20"/>
                <w:szCs w:val="20"/>
                <w:color w:val="auto"/>
              </w:rPr>
            </w:pPr>
            <w:r>
              <w:rPr>
                <w:rFonts w:ascii="Arial" w:cs="Arial" w:eastAsia="Arial" w:hAnsi="Arial"/>
                <w:sz w:val="18"/>
                <w:szCs w:val="18"/>
                <w:color w:val="auto"/>
                <w:w w:val="90"/>
              </w:rPr>
              <w:t>Non-Exclusive License Agreement, effective July 10, 2013, by and between Genentech,</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 and Coherus BioSciences, Inc.</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10.5†</w:t>
            </w:r>
          </w:p>
        </w:tc>
        <w:tc>
          <w:tcPr>
            <w:tcW w:w="6340" w:type="dxa"/>
            <w:vAlign w:val="bottom"/>
          </w:tcPr>
          <w:p>
            <w:pPr>
              <w:spacing w:after="0"/>
              <w:rPr>
                <w:sz w:val="20"/>
                <w:szCs w:val="20"/>
                <w:color w:val="auto"/>
              </w:rPr>
            </w:pPr>
            <w:r>
              <w:rPr>
                <w:rFonts w:ascii="Arial" w:cs="Arial" w:eastAsia="Arial" w:hAnsi="Arial"/>
                <w:sz w:val="18"/>
                <w:szCs w:val="18"/>
                <w:color w:val="auto"/>
                <w:w w:val="89"/>
              </w:rPr>
              <w:t>Commercial License Agreement, effective April 8, 2011, by and between Selexis SA and</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BioGenerics, Inc.</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10.6†</w:t>
            </w:r>
          </w:p>
        </w:tc>
        <w:tc>
          <w:tcPr>
            <w:tcW w:w="6340" w:type="dxa"/>
            <w:vAlign w:val="bottom"/>
          </w:tcPr>
          <w:p>
            <w:pPr>
              <w:spacing w:after="0"/>
              <w:rPr>
                <w:sz w:val="20"/>
                <w:szCs w:val="20"/>
                <w:color w:val="auto"/>
              </w:rPr>
            </w:pPr>
            <w:r>
              <w:rPr>
                <w:rFonts w:ascii="Arial" w:cs="Arial" w:eastAsia="Arial" w:hAnsi="Arial"/>
                <w:sz w:val="18"/>
                <w:szCs w:val="18"/>
                <w:color w:val="auto"/>
                <w:w w:val="88"/>
              </w:rPr>
              <w:t>Commercial License Agreement, effective June 25, 2012, by and between Selexis SA and</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Coherus BioSciences, Inc.</w:t>
            </w: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10.7</w:t>
            </w:r>
          </w:p>
        </w:tc>
        <w:tc>
          <w:tcPr>
            <w:tcW w:w="520" w:type="dxa"/>
            <w:vAlign w:val="bottom"/>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99"/>
              </w:rPr>
              <w:t>Agreement and Plan of Merger, dated January 8, 2014, by and among Coherus</w:t>
            </w: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95"/>
              </w:rPr>
              <w:t>BioSciences, Inc., Coherus Intermediate Corp., Coherus Acquisition Corp., InteKrin</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Therapeutics Inc., and Fortis Advisors LLC.</w:t>
            </w:r>
          </w:p>
        </w:tc>
      </w:tr>
      <w:tr>
        <w:trPr>
          <w:trHeight w:val="318"/>
        </w:trPr>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10.8(a)</w:t>
            </w:r>
          </w:p>
        </w:tc>
        <w:tc>
          <w:tcPr>
            <w:tcW w:w="6340" w:type="dxa"/>
            <w:vAlign w:val="bottom"/>
          </w:tcPr>
          <w:p>
            <w:pPr>
              <w:spacing w:after="0"/>
              <w:rPr>
                <w:sz w:val="20"/>
                <w:szCs w:val="20"/>
                <w:color w:val="auto"/>
              </w:rPr>
            </w:pPr>
            <w:r>
              <w:rPr>
                <w:rFonts w:ascii="Arial" w:cs="Arial" w:eastAsia="Arial" w:hAnsi="Arial"/>
                <w:sz w:val="18"/>
                <w:szCs w:val="18"/>
                <w:color w:val="auto"/>
                <w:w w:val="87"/>
              </w:rPr>
              <w:t>Office Lease, effective September 26, 2011, by and between CA-Towers at Shores Center</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Limited Partnership and BioGenerics, Inc.</w:t>
            </w:r>
          </w:p>
        </w:tc>
      </w:tr>
      <w:tr>
        <w:trPr>
          <w:trHeight w:val="318"/>
        </w:trPr>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10.8(b)</w:t>
            </w:r>
          </w:p>
        </w:tc>
        <w:tc>
          <w:tcPr>
            <w:tcW w:w="6340" w:type="dxa"/>
            <w:vAlign w:val="bottom"/>
          </w:tcPr>
          <w:p>
            <w:pPr>
              <w:spacing w:after="0"/>
              <w:rPr>
                <w:sz w:val="20"/>
                <w:szCs w:val="20"/>
                <w:color w:val="auto"/>
              </w:rPr>
            </w:pPr>
            <w:r>
              <w:rPr>
                <w:rFonts w:ascii="Arial" w:cs="Arial" w:eastAsia="Arial" w:hAnsi="Arial"/>
                <w:sz w:val="18"/>
                <w:szCs w:val="18"/>
                <w:color w:val="auto"/>
                <w:w w:val="96"/>
              </w:rPr>
              <w:t>First Amendment to the Office Lease, effective May 17, 2012, by and between CA-</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Towers at Shores Center Limited Partnership and Coherus BioSciences,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29"/>
        </w:trPr>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Filed</w:t>
            </w:r>
          </w:p>
        </w:tc>
      </w:tr>
      <w:tr>
        <w:trPr>
          <w:trHeight w:val="161"/>
        </w:trPr>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7"/>
              </w:rPr>
              <w:t>Herewith</w:t>
            </w:r>
          </w:p>
        </w:tc>
      </w:tr>
      <w:tr>
        <w:trPr>
          <w:trHeight w:val="302"/>
        </w:trPr>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11/12/2014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11/12/2014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48"/>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10/24/2014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ind w:right="42"/>
              <w:spacing w:after="0"/>
              <w:rPr>
                <w:sz w:val="20"/>
                <w:szCs w:val="20"/>
                <w:color w:val="auto"/>
              </w:rPr>
            </w:pPr>
            <w:r>
              <w:rPr>
                <w:rFonts w:ascii="Arial" w:cs="Arial" w:eastAsia="Arial" w:hAnsi="Arial"/>
                <w:sz w:val="18"/>
                <w:szCs w:val="18"/>
                <w:color w:val="auto"/>
              </w:rPr>
              <w:t>X</w:t>
            </w: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10/20/2014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10/20/2014</w:t>
            </w:r>
          </w:p>
        </w:tc>
        <w:tc>
          <w:tcPr>
            <w:tcW w:w="420" w:type="dxa"/>
            <w:vAlign w:val="bottom"/>
          </w:tcPr>
          <w:p>
            <w:pPr>
              <w:spacing w:after="0"/>
              <w:rPr>
                <w:sz w:val="24"/>
                <w:szCs w:val="2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10.2(a)</w:t>
            </w:r>
          </w:p>
        </w:tc>
        <w:tc>
          <w:tcPr>
            <w:tcW w:w="540" w:type="dxa"/>
            <w:vAlign w:val="bottom"/>
          </w:tcPr>
          <w:p>
            <w:pPr>
              <w:spacing w:after="0"/>
              <w:rPr>
                <w:sz w:val="24"/>
                <w:szCs w:val="24"/>
                <w:color w:val="auto"/>
              </w:rPr>
            </w:pPr>
          </w:p>
        </w:tc>
      </w:tr>
      <w:tr>
        <w:trPr>
          <w:trHeight w:val="756"/>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10.2(b)</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756"/>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10.8(a)</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10.8(b)</w:t>
            </w:r>
          </w:p>
        </w:tc>
        <w:tc>
          <w:tcPr>
            <w:tcW w:w="540" w:type="dxa"/>
            <w:vAlign w:val="bottom"/>
          </w:tcPr>
          <w:p>
            <w:pPr>
              <w:spacing w:after="0"/>
              <w:rPr>
                <w:sz w:val="24"/>
                <w:szCs w:val="24"/>
                <w:color w:val="auto"/>
              </w:rPr>
            </w:pPr>
          </w:p>
        </w:tc>
      </w:tr>
    </w:tbl>
    <w:p>
      <w:pPr>
        <w:sectPr>
          <w:pgSz w:w="11900" w:h="16838" w:orient="portrait"/>
          <w:cols w:equalWidth="0" w:num="2">
            <w:col w:w="7360" w:space="420"/>
            <w:col w:w="354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260" w:type="dxa"/>
            <w:vAlign w:val="bottom"/>
          </w:tcPr>
          <w:p>
            <w:pPr>
              <w:spacing w:after="0"/>
              <w:rPr>
                <w:sz w:val="14"/>
                <w:szCs w:val="14"/>
                <w:color w:val="auto"/>
              </w:rPr>
            </w:pPr>
          </w:p>
        </w:tc>
      </w:tr>
      <w:tr>
        <w:trPr>
          <w:trHeight w:val="168"/>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302"/>
        </w:trPr>
        <w:tc>
          <w:tcPr>
            <w:tcW w:w="1100" w:type="dxa"/>
            <w:vAlign w:val="bottom"/>
            <w:gridSpan w:val="2"/>
          </w:tcPr>
          <w:p>
            <w:pPr>
              <w:spacing w:after="0"/>
              <w:rPr>
                <w:sz w:val="20"/>
                <w:szCs w:val="20"/>
                <w:color w:val="auto"/>
              </w:rPr>
            </w:pPr>
            <w:r>
              <w:rPr>
                <w:rFonts w:ascii="Arial" w:cs="Arial" w:eastAsia="Arial" w:hAnsi="Arial"/>
                <w:sz w:val="18"/>
                <w:szCs w:val="18"/>
                <w:color w:val="auto"/>
              </w:rPr>
              <w:t>10.8(c)</w:t>
            </w:r>
          </w:p>
        </w:tc>
        <w:tc>
          <w:tcPr>
            <w:tcW w:w="6260" w:type="dxa"/>
            <w:vAlign w:val="bottom"/>
          </w:tcPr>
          <w:p>
            <w:pPr>
              <w:spacing w:after="0"/>
              <w:rPr>
                <w:sz w:val="20"/>
                <w:szCs w:val="20"/>
                <w:color w:val="auto"/>
              </w:rPr>
            </w:pPr>
            <w:r>
              <w:rPr>
                <w:rFonts w:ascii="Arial" w:cs="Arial" w:eastAsia="Arial" w:hAnsi="Arial"/>
                <w:sz w:val="18"/>
                <w:szCs w:val="18"/>
                <w:color w:val="auto"/>
                <w:w w:val="88"/>
              </w:rPr>
              <w:t>Second Amendment to the Office Lease, effective September 11, 2013, by and between</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7"/>
              </w:rPr>
              <w:t>CA-Towers at Shores Center Limited Partnership and Coherus BioSciences, Inc.</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10.8(d)</w:t>
            </w:r>
          </w:p>
        </w:tc>
        <w:tc>
          <w:tcPr>
            <w:tcW w:w="6260" w:type="dxa"/>
            <w:vAlign w:val="bottom"/>
          </w:tcPr>
          <w:p>
            <w:pPr>
              <w:spacing w:after="0"/>
              <w:rPr>
                <w:sz w:val="20"/>
                <w:szCs w:val="20"/>
                <w:color w:val="auto"/>
              </w:rPr>
            </w:pPr>
            <w:r>
              <w:rPr>
                <w:rFonts w:ascii="Arial" w:cs="Arial" w:eastAsia="Arial" w:hAnsi="Arial"/>
                <w:sz w:val="18"/>
                <w:szCs w:val="18"/>
                <w:color w:val="auto"/>
                <w:w w:val="90"/>
              </w:rPr>
              <w:t>Third Amendment to the Office Lease, effective February 4, 2014, by and between CA-</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Towers at Shores Center Limited Partnership and Coherus BioSciences, Inc.</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10.8(e)</w:t>
            </w:r>
          </w:p>
        </w:tc>
        <w:tc>
          <w:tcPr>
            <w:tcW w:w="6260" w:type="dxa"/>
            <w:vAlign w:val="bottom"/>
          </w:tcPr>
          <w:p>
            <w:pPr>
              <w:spacing w:after="0"/>
              <w:rPr>
                <w:sz w:val="20"/>
                <w:szCs w:val="20"/>
                <w:color w:val="auto"/>
              </w:rPr>
            </w:pPr>
            <w:r>
              <w:rPr>
                <w:rFonts w:ascii="Arial" w:cs="Arial" w:eastAsia="Arial" w:hAnsi="Arial"/>
                <w:sz w:val="18"/>
                <w:szCs w:val="18"/>
                <w:color w:val="auto"/>
                <w:w w:val="93"/>
              </w:rPr>
              <w:t>Fourth Amendment to the Office Lease, effective May 1, 2014, by and between CA-</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Towers at Shores Center Limited Partnership and Coherus BioSciences, Inc.</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10.8(f)</w:t>
            </w:r>
          </w:p>
        </w:tc>
        <w:tc>
          <w:tcPr>
            <w:tcW w:w="6260" w:type="dxa"/>
            <w:vAlign w:val="bottom"/>
          </w:tcPr>
          <w:p>
            <w:pPr>
              <w:spacing w:after="0"/>
              <w:rPr>
                <w:sz w:val="20"/>
                <w:szCs w:val="20"/>
                <w:color w:val="auto"/>
              </w:rPr>
            </w:pPr>
            <w:r>
              <w:rPr>
                <w:rFonts w:ascii="Arial" w:cs="Arial" w:eastAsia="Arial" w:hAnsi="Arial"/>
                <w:sz w:val="18"/>
                <w:szCs w:val="18"/>
                <w:color w:val="auto"/>
                <w:w w:val="93"/>
              </w:rPr>
              <w:t>Fifth Amendment to the Office Lease, effective December 10, 2014, by and between</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7"/>
              </w:rPr>
              <w:t>CA-Towers at Shores Center Limited Partnership and Coherus BioSciences, Inc.</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10.9(a)</w:t>
            </w:r>
          </w:p>
        </w:tc>
        <w:tc>
          <w:tcPr>
            <w:tcW w:w="6260" w:type="dxa"/>
            <w:vAlign w:val="bottom"/>
          </w:tcPr>
          <w:p>
            <w:pPr>
              <w:spacing w:after="0"/>
              <w:rPr>
                <w:sz w:val="20"/>
                <w:szCs w:val="20"/>
                <w:color w:val="auto"/>
              </w:rPr>
            </w:pPr>
            <w:r>
              <w:rPr>
                <w:rFonts w:ascii="Arial" w:cs="Arial" w:eastAsia="Arial" w:hAnsi="Arial"/>
                <w:sz w:val="18"/>
                <w:szCs w:val="18"/>
                <w:color w:val="auto"/>
                <w:w w:val="89"/>
              </w:rPr>
              <w:t>Standard Industrial/Commercial Multi-tenant Lease-Gross, effective December 5, 2011,</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by and between Howard California Property Camarillo 5 and BioGenerics, Inc.</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10.9(b)</w:t>
            </w:r>
          </w:p>
        </w:tc>
        <w:tc>
          <w:tcPr>
            <w:tcW w:w="6260" w:type="dxa"/>
            <w:vAlign w:val="bottom"/>
          </w:tcPr>
          <w:p>
            <w:pPr>
              <w:spacing w:after="0"/>
              <w:rPr>
                <w:sz w:val="20"/>
                <w:szCs w:val="20"/>
                <w:color w:val="auto"/>
              </w:rPr>
            </w:pPr>
            <w:r>
              <w:rPr>
                <w:rFonts w:ascii="Arial" w:cs="Arial" w:eastAsia="Arial" w:hAnsi="Arial"/>
                <w:sz w:val="18"/>
                <w:szCs w:val="18"/>
                <w:color w:val="auto"/>
                <w:w w:val="95"/>
              </w:rPr>
              <w:t>First Amendment to Lease, effective December 21, 2013, by and between Howard</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California Property Camarillo 5 and Coherus BioSciences, Inc.</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10.10(a)#</w:t>
            </w:r>
          </w:p>
        </w:tc>
        <w:tc>
          <w:tcPr>
            <w:tcW w:w="6260" w:type="dxa"/>
            <w:vAlign w:val="bottom"/>
          </w:tcPr>
          <w:p>
            <w:pPr>
              <w:spacing w:after="0"/>
              <w:rPr>
                <w:sz w:val="20"/>
                <w:szCs w:val="20"/>
                <w:color w:val="auto"/>
              </w:rPr>
            </w:pPr>
            <w:r>
              <w:rPr>
                <w:rFonts w:ascii="Arial" w:cs="Arial" w:eastAsia="Arial" w:hAnsi="Arial"/>
                <w:sz w:val="18"/>
                <w:szCs w:val="18"/>
                <w:color w:val="auto"/>
              </w:rPr>
              <w:t>BioGenerics, Inc. 2010 Equity Incentive Plan, as amended.</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10.10(b)#</w:t>
            </w:r>
          </w:p>
        </w:tc>
        <w:tc>
          <w:tcPr>
            <w:tcW w:w="6260" w:type="dxa"/>
            <w:vAlign w:val="bottom"/>
          </w:tcPr>
          <w:p>
            <w:pPr>
              <w:spacing w:after="0"/>
              <w:rPr>
                <w:sz w:val="20"/>
                <w:szCs w:val="20"/>
                <w:color w:val="auto"/>
              </w:rPr>
            </w:pPr>
            <w:r>
              <w:rPr>
                <w:rFonts w:ascii="Arial" w:cs="Arial" w:eastAsia="Arial" w:hAnsi="Arial"/>
                <w:sz w:val="18"/>
                <w:szCs w:val="18"/>
                <w:color w:val="auto"/>
                <w:w w:val="89"/>
              </w:rPr>
              <w:t>Form of Stock Option Grant Notice and Stock Option Agreement under the 2010 Equity</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Incentive Plan, as amended.</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10.11(a)#</w:t>
            </w:r>
          </w:p>
        </w:tc>
        <w:tc>
          <w:tcPr>
            <w:tcW w:w="6260" w:type="dxa"/>
            <w:vAlign w:val="bottom"/>
          </w:tcPr>
          <w:p>
            <w:pPr>
              <w:spacing w:after="0"/>
              <w:rPr>
                <w:sz w:val="20"/>
                <w:szCs w:val="20"/>
                <w:color w:val="auto"/>
              </w:rPr>
            </w:pPr>
            <w:r>
              <w:rPr>
                <w:rFonts w:ascii="Arial" w:cs="Arial" w:eastAsia="Arial" w:hAnsi="Arial"/>
                <w:sz w:val="18"/>
                <w:szCs w:val="18"/>
                <w:color w:val="auto"/>
              </w:rPr>
              <w:t>Coherus BioSciences, Inc. 2014 Equity Incentive Award Plan.</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10.11(b)#</w:t>
            </w:r>
          </w:p>
        </w:tc>
        <w:tc>
          <w:tcPr>
            <w:tcW w:w="6260" w:type="dxa"/>
            <w:vAlign w:val="bottom"/>
          </w:tcPr>
          <w:p>
            <w:pPr>
              <w:spacing w:after="0"/>
              <w:rPr>
                <w:sz w:val="20"/>
                <w:szCs w:val="20"/>
                <w:color w:val="auto"/>
              </w:rPr>
            </w:pPr>
            <w:r>
              <w:rPr>
                <w:rFonts w:ascii="Arial" w:cs="Arial" w:eastAsia="Arial" w:hAnsi="Arial"/>
                <w:sz w:val="18"/>
                <w:szCs w:val="18"/>
                <w:color w:val="auto"/>
                <w:w w:val="89"/>
              </w:rPr>
              <w:t>Form of Stock Option Grant Notice and Stock Option Agreement under the 2014 Equity</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Incentive Award Plan.</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10.11(c)#</w:t>
            </w:r>
          </w:p>
        </w:tc>
        <w:tc>
          <w:tcPr>
            <w:tcW w:w="6260" w:type="dxa"/>
            <w:vAlign w:val="bottom"/>
          </w:tcPr>
          <w:p>
            <w:pPr>
              <w:spacing w:after="0"/>
              <w:rPr>
                <w:sz w:val="20"/>
                <w:szCs w:val="20"/>
                <w:color w:val="auto"/>
              </w:rPr>
            </w:pPr>
            <w:r>
              <w:rPr>
                <w:rFonts w:ascii="Arial" w:cs="Arial" w:eastAsia="Arial" w:hAnsi="Arial"/>
                <w:sz w:val="18"/>
                <w:szCs w:val="18"/>
                <w:color w:val="auto"/>
                <w:w w:val="91"/>
              </w:rPr>
              <w:t>Form of Restricted Stock Award Grant Notice and Restricted Stock Award Agreement</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under the 2014 Equity Incentive Award Plan.</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10.11(d)#</w:t>
            </w:r>
          </w:p>
        </w:tc>
        <w:tc>
          <w:tcPr>
            <w:tcW w:w="6260" w:type="dxa"/>
            <w:vAlign w:val="bottom"/>
          </w:tcPr>
          <w:p>
            <w:pPr>
              <w:spacing w:after="0"/>
              <w:rPr>
                <w:sz w:val="20"/>
                <w:szCs w:val="20"/>
                <w:color w:val="auto"/>
              </w:rPr>
            </w:pPr>
            <w:r>
              <w:rPr>
                <w:rFonts w:ascii="Arial" w:cs="Arial" w:eastAsia="Arial" w:hAnsi="Arial"/>
                <w:sz w:val="18"/>
                <w:szCs w:val="18"/>
                <w:color w:val="auto"/>
                <w:w w:val="94"/>
              </w:rPr>
              <w:t>Form of Restricted Stock Unit Award Grant Notice and Restricted Stock Unit Award</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Agreement under the 2014 Equity Incentive Award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10.12#</w:t>
            </w:r>
          </w:p>
        </w:tc>
        <w:tc>
          <w:tcPr>
            <w:tcW w:w="6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Coherus BioSciences, Inc. 2014 Employee Stock Purchase Plan.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10.13#</w:t>
            </w:r>
          </w:p>
        </w:tc>
        <w:tc>
          <w:tcPr>
            <w:tcW w:w="6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0"/>
              </w:rPr>
              <w:t>Form of Indemnification Agreement between Coherus BioSciences, Inc. and each of its</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directors, officers and certain employees.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6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8"/>
              </w:rPr>
              <w:t>Separation Agreement, effective June 30, 2014, by and between Stephen C. Glover and</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Coherus BioSciences, Inc.</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10.15†</w:t>
            </w:r>
          </w:p>
        </w:tc>
        <w:tc>
          <w:tcPr>
            <w:tcW w:w="6260" w:type="dxa"/>
            <w:vAlign w:val="bottom"/>
          </w:tcPr>
          <w:p>
            <w:pPr>
              <w:spacing w:after="0"/>
              <w:rPr>
                <w:sz w:val="20"/>
                <w:szCs w:val="20"/>
                <w:color w:val="auto"/>
              </w:rPr>
            </w:pPr>
            <w:r>
              <w:rPr>
                <w:rFonts w:ascii="Arial" w:cs="Arial" w:eastAsia="Arial" w:hAnsi="Arial"/>
                <w:sz w:val="18"/>
                <w:szCs w:val="18"/>
                <w:color w:val="auto"/>
                <w:w w:val="89"/>
              </w:rPr>
              <w:t>Master Services Agreement, effective January 23, 2012, by and between Medpace, Inc.</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and BioGenerics, Inc.</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10.16(a)†</w:t>
            </w:r>
          </w:p>
        </w:tc>
        <w:tc>
          <w:tcPr>
            <w:tcW w:w="6260" w:type="dxa"/>
            <w:vAlign w:val="bottom"/>
          </w:tcPr>
          <w:p>
            <w:pPr>
              <w:spacing w:after="0"/>
              <w:rPr>
                <w:sz w:val="20"/>
                <w:szCs w:val="20"/>
                <w:color w:val="auto"/>
              </w:rPr>
            </w:pPr>
            <w:r>
              <w:rPr>
                <w:rFonts w:ascii="Arial" w:cs="Arial" w:eastAsia="Arial" w:hAnsi="Arial"/>
                <w:sz w:val="18"/>
                <w:szCs w:val="18"/>
                <w:color w:val="auto"/>
                <w:w w:val="89"/>
              </w:rPr>
              <w:t>Task Order Number 13, effective October 18, 2013, by and between Medpace, Inc. and</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Coherus BioSciences,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29"/>
        </w:trPr>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Filed</w:t>
            </w:r>
          </w:p>
        </w:tc>
      </w:tr>
      <w:tr>
        <w:trPr>
          <w:trHeight w:val="161"/>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420" w:type="dxa"/>
            <w:vAlign w:val="bottom"/>
          </w:tcPr>
          <w:p>
            <w:pPr>
              <w:spacing w:after="0"/>
              <w:rPr>
                <w:sz w:val="14"/>
                <w:szCs w:val="14"/>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518"/>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10.8(c)</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10.8(d)</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10.8(e)</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12/11/2014</w:t>
            </w:r>
          </w:p>
        </w:tc>
        <w:tc>
          <w:tcPr>
            <w:tcW w:w="4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10.9(a)</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10.9(b)</w:t>
            </w:r>
          </w:p>
        </w:tc>
        <w:tc>
          <w:tcPr>
            <w:tcW w:w="540" w:type="dxa"/>
            <w:vAlign w:val="bottom"/>
          </w:tcPr>
          <w:p>
            <w:pPr>
              <w:spacing w:after="0"/>
              <w:rPr>
                <w:sz w:val="24"/>
                <w:szCs w:val="24"/>
                <w:color w:val="auto"/>
              </w:rPr>
            </w:pPr>
          </w:p>
        </w:tc>
      </w:tr>
      <w:tr>
        <w:trPr>
          <w:trHeight w:val="324"/>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10.10(a)</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10.10(b)</w:t>
            </w:r>
          </w:p>
        </w:tc>
        <w:tc>
          <w:tcPr>
            <w:tcW w:w="540" w:type="dxa"/>
            <w:vAlign w:val="bottom"/>
          </w:tcPr>
          <w:p>
            <w:pPr>
              <w:spacing w:after="0"/>
              <w:rPr>
                <w:sz w:val="24"/>
                <w:szCs w:val="24"/>
                <w:color w:val="auto"/>
              </w:rPr>
            </w:pPr>
          </w:p>
        </w:tc>
      </w:tr>
      <w:tr>
        <w:trPr>
          <w:trHeight w:val="324"/>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10/24/2014</w:t>
            </w:r>
          </w:p>
        </w:tc>
        <w:tc>
          <w:tcPr>
            <w:tcW w:w="4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11/4/2014</w:t>
            </w:r>
          </w:p>
        </w:tc>
        <w:tc>
          <w:tcPr>
            <w:tcW w:w="42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10.11(b)</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11/4/2014</w:t>
            </w:r>
          </w:p>
        </w:tc>
        <w:tc>
          <w:tcPr>
            <w:tcW w:w="42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10.11(c)</w:t>
            </w: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11/4/2014</w:t>
            </w:r>
          </w:p>
        </w:tc>
        <w:tc>
          <w:tcPr>
            <w:tcW w:w="42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10.11(d)</w:t>
            </w:r>
          </w:p>
        </w:tc>
        <w:tc>
          <w:tcPr>
            <w:tcW w:w="540" w:type="dxa"/>
            <w:vAlign w:val="bottom"/>
          </w:tcPr>
          <w:p>
            <w:pPr>
              <w:spacing w:after="0"/>
              <w:rPr>
                <w:sz w:val="24"/>
                <w:szCs w:val="24"/>
                <w:color w:val="auto"/>
              </w:rPr>
            </w:pPr>
          </w:p>
        </w:tc>
      </w:tr>
      <w:tr>
        <w:trPr>
          <w:trHeight w:val="324"/>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10/24/2014</w:t>
            </w:r>
          </w:p>
        </w:tc>
        <w:tc>
          <w:tcPr>
            <w:tcW w:w="4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10/24/2014</w:t>
            </w:r>
          </w:p>
        </w:tc>
        <w:tc>
          <w:tcPr>
            <w:tcW w:w="4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10.16(a)</w:t>
            </w:r>
          </w:p>
        </w:tc>
        <w:tc>
          <w:tcPr>
            <w:tcW w:w="540" w:type="dxa"/>
            <w:vAlign w:val="bottom"/>
          </w:tcPr>
          <w:p>
            <w:pPr>
              <w:spacing w:after="0"/>
              <w:rPr>
                <w:sz w:val="24"/>
                <w:szCs w:val="24"/>
                <w:color w:val="auto"/>
              </w:rPr>
            </w:pPr>
          </w:p>
        </w:tc>
      </w:tr>
    </w:tbl>
    <w:p>
      <w:pPr>
        <w:sectPr>
          <w:pgSz w:w="11900" w:h="16838" w:orient="portrait"/>
          <w:cols w:equalWidth="0" w:num="2">
            <w:col w:w="7360" w:space="420"/>
            <w:col w:w="364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6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100" w:type="dxa"/>
            <w:vAlign w:val="bottom"/>
            <w:gridSpan w:val="2"/>
            <w:vMerge w:val="continue"/>
          </w:tcPr>
          <w:p>
            <w:pPr>
              <w:spacing w:after="0"/>
              <w:rPr>
                <w:sz w:val="10"/>
                <w:szCs w:val="10"/>
                <w:color w:val="auto"/>
              </w:rPr>
            </w:pPr>
          </w:p>
        </w:tc>
        <w:tc>
          <w:tcPr>
            <w:tcW w:w="6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ind w:left="120"/>
              <w:spacing w:after="0" w:line="116" w:lineRule="exact"/>
              <w:rPr>
                <w:sz w:val="20"/>
                <w:szCs w:val="20"/>
                <w:color w:val="auto"/>
              </w:rPr>
            </w:pPr>
            <w:r>
              <w:rPr>
                <w:rFonts w:ascii="Arial" w:cs="Arial" w:eastAsia="Arial" w:hAnsi="Arial"/>
                <w:sz w:val="12"/>
                <w:szCs w:val="12"/>
                <w:b w:val="1"/>
                <w:bCs w:val="1"/>
                <w:color w:val="auto"/>
              </w:rPr>
              <w:t>Filed</w:t>
            </w:r>
          </w:p>
        </w:tc>
        <w:tc>
          <w:tcPr>
            <w:tcW w:w="0" w:type="dxa"/>
            <w:vAlign w:val="bottom"/>
          </w:tcPr>
          <w:p>
            <w:pPr>
              <w:spacing w:after="0"/>
              <w:rPr>
                <w:sz w:val="1"/>
                <w:szCs w:val="1"/>
                <w:color w:val="auto"/>
              </w:rPr>
            </w:pPr>
          </w:p>
        </w:tc>
      </w:tr>
      <w:tr>
        <w:trPr>
          <w:trHeight w:val="168"/>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c>
          <w:tcPr>
            <w:tcW w:w="4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420" w:type="dxa"/>
            <w:vAlign w:val="bottom"/>
          </w:tcPr>
          <w:p>
            <w:pPr>
              <w:spacing w:after="0"/>
              <w:rPr>
                <w:sz w:val="14"/>
                <w:szCs w:val="14"/>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Herewith</w:t>
            </w:r>
          </w:p>
        </w:tc>
        <w:tc>
          <w:tcPr>
            <w:tcW w:w="0" w:type="dxa"/>
            <w:vAlign w:val="bottom"/>
          </w:tcPr>
          <w:p>
            <w:pPr>
              <w:spacing w:after="0"/>
              <w:rPr>
                <w:sz w:val="1"/>
                <w:szCs w:val="1"/>
                <w:color w:val="auto"/>
              </w:rPr>
            </w:pPr>
          </w:p>
        </w:tc>
      </w:tr>
      <w:tr>
        <w:trPr>
          <w:trHeight w:val="302"/>
        </w:trPr>
        <w:tc>
          <w:tcPr>
            <w:tcW w:w="1100" w:type="dxa"/>
            <w:vAlign w:val="bottom"/>
            <w:gridSpan w:val="2"/>
          </w:tcPr>
          <w:p>
            <w:pPr>
              <w:spacing w:after="0"/>
              <w:rPr>
                <w:sz w:val="20"/>
                <w:szCs w:val="20"/>
                <w:color w:val="auto"/>
              </w:rPr>
            </w:pPr>
            <w:r>
              <w:rPr>
                <w:rFonts w:ascii="Arial" w:cs="Arial" w:eastAsia="Arial" w:hAnsi="Arial"/>
                <w:sz w:val="18"/>
                <w:szCs w:val="18"/>
                <w:color w:val="auto"/>
              </w:rPr>
              <w:t>10.16(b)†</w:t>
            </w:r>
          </w:p>
        </w:tc>
        <w:tc>
          <w:tcPr>
            <w:tcW w:w="6680" w:type="dxa"/>
            <w:vAlign w:val="bottom"/>
            <w:gridSpan w:val="2"/>
          </w:tcPr>
          <w:p>
            <w:pPr>
              <w:spacing w:after="0"/>
              <w:rPr>
                <w:sz w:val="20"/>
                <w:szCs w:val="20"/>
                <w:color w:val="auto"/>
              </w:rPr>
            </w:pPr>
            <w:r>
              <w:rPr>
                <w:rFonts w:ascii="Arial" w:cs="Arial" w:eastAsia="Arial" w:hAnsi="Arial"/>
                <w:sz w:val="18"/>
                <w:szCs w:val="18"/>
                <w:color w:val="auto"/>
              </w:rPr>
              <w:t>Amendment Number 1 to Task Order Number 13, effective April 23, 2014, by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between Medpace, Inc. and Coherus BioSciences, Inc.</w:t>
            </w: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10.16(b)</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10.16(c)†</w:t>
            </w:r>
          </w:p>
        </w:tc>
        <w:tc>
          <w:tcPr>
            <w:tcW w:w="6680" w:type="dxa"/>
            <w:vAlign w:val="bottom"/>
            <w:gridSpan w:val="2"/>
          </w:tcPr>
          <w:p>
            <w:pPr>
              <w:spacing w:after="0"/>
              <w:rPr>
                <w:sz w:val="20"/>
                <w:szCs w:val="20"/>
                <w:color w:val="auto"/>
              </w:rPr>
            </w:pPr>
            <w:r>
              <w:rPr>
                <w:rFonts w:ascii="Arial" w:cs="Arial" w:eastAsia="Arial" w:hAnsi="Arial"/>
                <w:sz w:val="18"/>
                <w:szCs w:val="18"/>
                <w:color w:val="auto"/>
              </w:rPr>
              <w:t>Amendment Number 2 to Task Order Number 13, effective May 21, 2014, by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between Medpace, Inc. and Coherus BioSciences, Inc.</w:t>
            </w: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10.16(c)</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10.16(d)†</w:t>
            </w:r>
          </w:p>
        </w:tc>
        <w:tc>
          <w:tcPr>
            <w:tcW w:w="6680" w:type="dxa"/>
            <w:vAlign w:val="bottom"/>
            <w:gridSpan w:val="2"/>
          </w:tcPr>
          <w:p>
            <w:pPr>
              <w:spacing w:after="0"/>
              <w:rPr>
                <w:sz w:val="20"/>
                <w:szCs w:val="20"/>
                <w:color w:val="auto"/>
              </w:rPr>
            </w:pPr>
            <w:r>
              <w:rPr>
                <w:rFonts w:ascii="Arial" w:cs="Arial" w:eastAsia="Arial" w:hAnsi="Arial"/>
                <w:sz w:val="18"/>
                <w:szCs w:val="18"/>
                <w:color w:val="auto"/>
              </w:rPr>
              <w:t>Amendment Number 3 to Task Order Number 13, effective May 30, 2014, by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between Medpace, Inc. and Coherus BioSciences, Inc.</w:t>
            </w: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10.16(d)</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10.16(e)†</w:t>
            </w:r>
          </w:p>
        </w:tc>
        <w:tc>
          <w:tcPr>
            <w:tcW w:w="6680" w:type="dxa"/>
            <w:vAlign w:val="bottom"/>
            <w:gridSpan w:val="2"/>
          </w:tcPr>
          <w:p>
            <w:pPr>
              <w:spacing w:after="0"/>
              <w:rPr>
                <w:sz w:val="20"/>
                <w:szCs w:val="20"/>
                <w:color w:val="auto"/>
              </w:rPr>
            </w:pPr>
            <w:r>
              <w:rPr>
                <w:rFonts w:ascii="Arial" w:cs="Arial" w:eastAsia="Arial" w:hAnsi="Arial"/>
                <w:sz w:val="18"/>
                <w:szCs w:val="18"/>
                <w:color w:val="auto"/>
                <w:w w:val="99"/>
              </w:rPr>
              <w:t>Amendment Number 4 to Task Order Number 13, effective August 19, 2014, by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between Medpace, Inc. and Coherus BioSciences, Inc.</w:t>
            </w: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9/25/2014</w:t>
            </w:r>
          </w:p>
        </w:tc>
        <w:tc>
          <w:tcPr>
            <w:tcW w:w="42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10.16(e)</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10.17(a)†</w:t>
            </w:r>
          </w:p>
        </w:tc>
        <w:tc>
          <w:tcPr>
            <w:tcW w:w="6680" w:type="dxa"/>
            <w:vAlign w:val="bottom"/>
            <w:gridSpan w:val="2"/>
          </w:tcPr>
          <w:p>
            <w:pPr>
              <w:spacing w:after="0"/>
              <w:rPr>
                <w:sz w:val="20"/>
                <w:szCs w:val="20"/>
                <w:color w:val="auto"/>
              </w:rPr>
            </w:pPr>
            <w:r>
              <w:rPr>
                <w:rFonts w:ascii="Arial" w:cs="Arial" w:eastAsia="Arial" w:hAnsi="Arial"/>
                <w:sz w:val="18"/>
                <w:szCs w:val="18"/>
                <w:color w:val="auto"/>
                <w:w w:val="94"/>
              </w:rPr>
              <w:t>Task Order Number 20, effective November 8, 2013, by and between Medpace, Inc.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Coherus BioSciences, Inc.</w:t>
            </w: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10/24/2014</w:t>
            </w:r>
          </w:p>
        </w:tc>
        <w:tc>
          <w:tcPr>
            <w:tcW w:w="42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10.17(a)</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10.17(b)†</w:t>
            </w:r>
          </w:p>
        </w:tc>
        <w:tc>
          <w:tcPr>
            <w:tcW w:w="6680" w:type="dxa"/>
            <w:vAlign w:val="bottom"/>
            <w:gridSpan w:val="2"/>
          </w:tcPr>
          <w:p>
            <w:pPr>
              <w:spacing w:after="0"/>
              <w:rPr>
                <w:sz w:val="20"/>
                <w:szCs w:val="20"/>
                <w:color w:val="auto"/>
              </w:rPr>
            </w:pPr>
            <w:r>
              <w:rPr>
                <w:rFonts w:ascii="Arial" w:cs="Arial" w:eastAsia="Arial" w:hAnsi="Arial"/>
                <w:sz w:val="18"/>
                <w:szCs w:val="18"/>
                <w:color w:val="auto"/>
              </w:rPr>
              <w:t>Amendment Number 1 to Task Order Number 20, effective April 23, 2014, by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between Medpace, Inc. and Coherus BioSciences, Inc.</w:t>
            </w: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10/24/2014</w:t>
            </w:r>
          </w:p>
        </w:tc>
        <w:tc>
          <w:tcPr>
            <w:tcW w:w="42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10.17(b)</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10.17(c)†</w:t>
            </w:r>
          </w:p>
        </w:tc>
        <w:tc>
          <w:tcPr>
            <w:tcW w:w="6680" w:type="dxa"/>
            <w:vAlign w:val="bottom"/>
            <w:gridSpan w:val="2"/>
          </w:tcPr>
          <w:p>
            <w:pPr>
              <w:spacing w:after="0"/>
              <w:rPr>
                <w:sz w:val="20"/>
                <w:szCs w:val="20"/>
                <w:color w:val="auto"/>
              </w:rPr>
            </w:pPr>
            <w:r>
              <w:rPr>
                <w:rFonts w:ascii="Arial" w:cs="Arial" w:eastAsia="Arial" w:hAnsi="Arial"/>
                <w:sz w:val="18"/>
                <w:szCs w:val="18"/>
                <w:color w:val="auto"/>
              </w:rPr>
              <w:t>Amendment Number 2 to Task Order Number 20, effective June 27, 2014, by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between Medpace, Inc. and Coherus BioSciences, Inc.</w:t>
            </w: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10/24/2014</w:t>
            </w:r>
          </w:p>
        </w:tc>
        <w:tc>
          <w:tcPr>
            <w:tcW w:w="42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10.17(c)</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10.17(d)†</w:t>
            </w:r>
          </w:p>
        </w:tc>
        <w:tc>
          <w:tcPr>
            <w:tcW w:w="6680" w:type="dxa"/>
            <w:vAlign w:val="bottom"/>
            <w:gridSpan w:val="2"/>
          </w:tcPr>
          <w:p>
            <w:pPr>
              <w:spacing w:after="0"/>
              <w:rPr>
                <w:sz w:val="20"/>
                <w:szCs w:val="20"/>
                <w:color w:val="auto"/>
              </w:rPr>
            </w:pPr>
            <w:r>
              <w:rPr>
                <w:rFonts w:ascii="Arial" w:cs="Arial" w:eastAsia="Arial" w:hAnsi="Arial"/>
                <w:sz w:val="18"/>
                <w:szCs w:val="18"/>
                <w:color w:val="auto"/>
                <w:w w:val="96"/>
              </w:rPr>
              <w:t>Amendment Number 3 to Task Order Number 20, effective September 5, 2014, by and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between Medpace, Inc. and Coherus BioSciences, Inc.</w:t>
            </w:r>
          </w:p>
        </w:tc>
        <w:tc>
          <w:tcPr>
            <w:tcW w:w="8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10/24/2014</w:t>
            </w:r>
          </w:p>
        </w:tc>
        <w:tc>
          <w:tcPr>
            <w:tcW w:w="42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10.17(d)</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Consent of Latham &amp; Watkins LLP (included in Exhibit 5.1).</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pursuant to a request for confidential treatment and this exhibit has been filed separately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the SEC.</w:t>
      </w:r>
    </w:p>
    <w:p>
      <w:pPr>
        <w:spacing w:after="0" w:line="9"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ectPr>
          <w:pgSz w:w="11900" w:h="16838" w:orient="portrait"/>
          <w:cols w:equalWidth="0" w:num="1">
            <w:col w:w="11420"/>
          </w:cols>
          <w:pgMar w:left="240" w:top="459"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COHERUS BIOSCIENCES, INC.</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Shares of Common Stock</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10680"/>
        <w:spacing w:after="0"/>
        <w:rPr>
          <w:sz w:val="20"/>
          <w:szCs w:val="20"/>
          <w:color w:val="auto"/>
        </w:rPr>
      </w:pPr>
      <w:r>
        <w:rPr>
          <w:rFonts w:ascii="Arial" w:cs="Arial" w:eastAsia="Arial" w:hAnsi="Arial"/>
          <w:sz w:val="17"/>
          <w:szCs w:val="17"/>
          <w:color w:val="auto"/>
        </w:rPr>
        <w:t>[—],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Coherus BioSciences, Inc., a Delaware corporation (the “Company”), proposes to issue and sell to the several Underwriters listed in Schedule 1 hereto (the “Underwriters”), for whom you are acting as representatives (the “Representatives”), an aggregate of [—] shares of common stock, par value $0.0001 per share (the “Common Stock”), of the Company (the “Underwritten Shares”) and, at the option of the Underwriters, up to an additional [—] shares of Common Stock (the “Option Shares”). The Underwritten Shares and the Option Shares are herein referred to as the “Shares.” The shares of Common Stock to be outstanding after giving effect to the sale of the Shares are referred to herein as the “Stock.”</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 with the several Underwriters concerning the purchase and sale of the Shares, as follows:</w:t>
      </w:r>
    </w:p>
    <w:p>
      <w:pPr>
        <w:spacing w:after="0" w:line="117" w:lineRule="exact"/>
        <w:rPr>
          <w:sz w:val="20"/>
          <w:szCs w:val="20"/>
          <w:color w:val="auto"/>
        </w:rPr>
      </w:pPr>
    </w:p>
    <w:p>
      <w:pPr>
        <w:ind w:firstLine="464"/>
        <w:spacing w:after="0" w:line="291" w:lineRule="auto"/>
        <w:tabs>
          <w:tab w:leader="none" w:pos="63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(File</w:t>
      </w:r>
    </w:p>
    <w:p>
      <w:pPr>
        <w:ind w:right="280"/>
        <w:spacing w:after="0" w:line="254" w:lineRule="auto"/>
        <w:rPr>
          <w:rFonts w:ascii="Arial" w:cs="Arial" w:eastAsia="Arial" w:hAnsi="Arial"/>
          <w:sz w:val="16"/>
          <w:szCs w:val="16"/>
          <w:color w:val="auto"/>
        </w:rPr>
      </w:pPr>
      <w:r>
        <w:rPr>
          <w:rFonts w:ascii="Arial" w:cs="Arial" w:eastAsia="Arial" w:hAnsi="Arial"/>
          <w:sz w:val="18"/>
          <w:szCs w:val="18"/>
          <w:color w:val="auto"/>
        </w:rPr>
        <w:t>No. 333-[—]),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w:t>
      </w:r>
    </w:p>
    <w:p>
      <w:pPr>
        <w:sectPr>
          <w:pgSz w:w="11900" w:h="16838" w:orient="portrait"/>
          <w:cols w:equalWidth="0" w:num="1">
            <w:col w:w="11420"/>
          </w:cols>
          <w:pgMar w:left="240" w:top="121" w:right="239" w:bottom="1440" w:gutter="0" w:footer="0" w:header="0"/>
        </w:sectPr>
      </w:pPr>
    </w:p>
    <w:bookmarkStart w:id="103" w:name="page104"/>
    <w:bookmarkEnd w:id="103"/>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Agreement to the Registration Statement, any Preliminary Prospectus or the Prospectus shall be deemed to refer to and include the documents incorporated by reference therein pursuant to Item 12 of Form S-1 under the Securities Act, as of the effective date of the Registration Statement or the date of such Preliminary Prospectus or the Prospectus, as the case may be. Capitalized terms used but not defined herein shall have the meanings given to such terms in the Registration Statement and the Prospectus.</w:t>
      </w:r>
    </w:p>
    <w:p>
      <w:pPr>
        <w:spacing w:after="0" w:line="19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a Preliminary Prospectus dated [—], 2015 and each “free-writing prospectus” (as defined pursuant to Rule 405 under the Securities Act) listed on Annex A 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 P.M., New York City time, on [—], 2015.</w:t>
      </w:r>
    </w:p>
    <w:p>
      <w:pPr>
        <w:spacing w:after="0" w:line="225" w:lineRule="exact"/>
        <w:rPr>
          <w:sz w:val="20"/>
          <w:szCs w:val="20"/>
          <w:color w:val="auto"/>
        </w:rPr>
      </w:pPr>
    </w:p>
    <w:p>
      <w:pPr>
        <w:ind w:firstLine="464"/>
        <w:spacing w:after="0" w:line="259" w:lineRule="auto"/>
        <w:tabs>
          <w:tab w:leader="none" w:pos="63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Purchase of the Shares by the Underwriters</w:t>
      </w:r>
      <w:r>
        <w:rPr>
          <w:rFonts w:ascii="Arial" w:cs="Arial" w:eastAsia="Arial" w:hAnsi="Arial"/>
          <w:sz w:val="18"/>
          <w:szCs w:val="18"/>
          <w:color w:val="auto"/>
        </w:rPr>
        <w:t>. (a) 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Shares set forth opposite such Underwriter’s name in Schedule 1 hereto at a price per share (the “Purchase Price”) of $[—].</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4" w:name="page105"/>
    <w:bookmarkEnd w:id="10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and time when the Option Shares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87" w:lineRule="exact"/>
        <w:rPr>
          <w:sz w:val="20"/>
          <w:szCs w:val="20"/>
          <w:color w:val="auto"/>
        </w:rPr>
      </w:pPr>
    </w:p>
    <w:p>
      <w:pPr>
        <w:jc w:val="both"/>
        <w:ind w:right="40" w:firstLine="464"/>
        <w:spacing w:after="0" w:line="264" w:lineRule="auto"/>
        <w:tabs>
          <w:tab w:leader="none" w:pos="7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as soon after the effectiveness of this Agreement as in the judgment of the Representatives is advisable, and initially to offer the Shares on the terms set forth in the Prospectus. The Company acknowledges and agrees that the Underwriters may offer and sell Shares to or through any affiliate of an Underwriter.</w:t>
      </w:r>
    </w:p>
    <w:p>
      <w:pPr>
        <w:spacing w:after="0" w:line="181" w:lineRule="exact"/>
        <w:rPr>
          <w:rFonts w:ascii="Arial" w:cs="Arial" w:eastAsia="Arial" w:hAnsi="Arial"/>
          <w:sz w:val="18"/>
          <w:szCs w:val="18"/>
          <w:color w:val="auto"/>
        </w:rPr>
      </w:pPr>
    </w:p>
    <w:p>
      <w:pPr>
        <w:ind w:right="60" w:firstLine="464"/>
        <w:spacing w:after="0" w:line="255" w:lineRule="auto"/>
        <w:tabs>
          <w:tab w:leader="none" w:pos="7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Payment for the Shares shall be made by wire transfer in immediately available funds to the account specified by the Company to the Representatives in the case of the Underwritten Shares, at the offices of Davis Polk &amp; Wardwell LLP, 1600 El Camino Real, Menlo Park, CA 94025 at 10:00 A.M., New York City time, on [—], 2015,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8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(“DTC”) unless the Representatives shall otherwise instruct.</w:t>
      </w:r>
    </w:p>
    <w:p>
      <w:pPr>
        <w:spacing w:after="0" w:line="171" w:lineRule="exact"/>
        <w:rPr>
          <w:sz w:val="20"/>
          <w:szCs w:val="20"/>
          <w:color w:val="auto"/>
        </w:rPr>
      </w:pPr>
    </w:p>
    <w:p>
      <w:pPr>
        <w:ind w:right="60" w:firstLine="464"/>
        <w:spacing w:after="0" w:line="271" w:lineRule="auto"/>
        <w:tabs>
          <w:tab w:leader="none" w:pos="7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05" w:name="page106"/>
    <w:bookmarkEnd w:id="105"/>
    <w:p>
      <w:pPr>
        <w:ind w:left="180" w:hanging="176"/>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right="20" w:firstLine="443"/>
        <w:spacing w:after="0" w:line="254" w:lineRule="auto"/>
        <w:tabs>
          <w:tab w:leader="none" w:pos="683"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Preliminary Prospectus</w:t>
      </w:r>
      <w:r>
        <w:rPr>
          <w:rFonts w:ascii="Arial" w:cs="Arial" w:eastAsia="Arial" w:hAnsi="Arial"/>
          <w:sz w:val="18"/>
          <w:szCs w:val="18"/>
          <w:color w:val="auto"/>
        </w:rPr>
        <w:t>. No order preventing or suspending the use of any Preliminary Prospectus has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84" w:lineRule="exact"/>
        <w:rPr>
          <w:rFonts w:ascii="Arial" w:cs="Arial" w:eastAsia="Arial" w:hAnsi="Arial"/>
          <w:sz w:val="18"/>
          <w:szCs w:val="18"/>
          <w:color w:val="auto"/>
        </w:rPr>
      </w:pPr>
    </w:p>
    <w:p>
      <w:pPr>
        <w:ind w:right="80" w:firstLine="443"/>
        <w:spacing w:after="0" w:line="255" w:lineRule="auto"/>
        <w:tabs>
          <w:tab w:leader="none" w:pos="693"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Pricing Disclosure Package</w:t>
      </w:r>
      <w:r>
        <w:rPr>
          <w:rFonts w:ascii="Arial" w:cs="Arial" w:eastAsia="Arial" w:hAnsi="Arial"/>
          <w:sz w:val="18"/>
          <w:szCs w:val="18"/>
          <w:color w:val="auto"/>
        </w:rPr>
        <w:t>. The Pricing Disclosure Package as of the Applicable Time did not, and as of the Closing Date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w:t>
      </w:r>
    </w:p>
    <w:p>
      <w:pPr>
        <w:spacing w:after="0" w:line="81" w:lineRule="exact"/>
        <w:rPr>
          <w:rFonts w:ascii="Arial" w:cs="Arial" w:eastAsia="Arial" w:hAnsi="Arial"/>
          <w:sz w:val="18"/>
          <w:szCs w:val="18"/>
          <w:color w:val="auto"/>
        </w:rPr>
      </w:pPr>
    </w:p>
    <w:p>
      <w:pPr>
        <w:ind w:left="680" w:hanging="237"/>
        <w:spacing w:after="0"/>
        <w:tabs>
          <w:tab w:leader="none" w:pos="680" w:val="left"/>
        </w:tabs>
        <w:numPr>
          <w:ilvl w:val="1"/>
          <w:numId w:val="81"/>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w:t>
      </w:r>
      <w:r>
        <w:rPr>
          <w:rFonts w:ascii="Arial" w:cs="Arial" w:eastAsia="Arial" w:hAnsi="Arial"/>
          <w:sz w:val="17"/>
          <w:szCs w:val="17"/>
          <w:color w:val="auto"/>
        </w:rPr>
        <w:t>. Other than the Registration Statement, the Preliminary Prospectus and the Prospectus, the Company</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(including its agents and representatives, other than the Underwriters in their capacity as such) has not prepared, used, authorized, approved or referred to and will not prepare,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complied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106" w:name="page107"/>
    <w:bookmarkEnd w:id="106"/>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50" w:lineRule="exact"/>
        <w:rPr>
          <w:sz w:val="20"/>
          <w:szCs w:val="20"/>
          <w:color w:val="auto"/>
        </w:rPr>
      </w:pPr>
    </w:p>
    <w:p>
      <w:pPr>
        <w:ind w:right="60" w:firstLine="443"/>
        <w:spacing w:after="0" w:line="257" w:lineRule="auto"/>
        <w:tabs>
          <w:tab w:leader="none" w:pos="69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initial filing of the Registration Statement with the Commission (or, if earlier, the first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engaged directly or through any person authorized to act on its behalf in any Testing-the-Waters Communication) through the date hereof, the Company has been and is an “emerging growth company,” as defined in Section 2(a)(19) of the Securities Act (an “Emerging Growth Company”). “Testing-the-Waters Communication” means any oral or written communication with potential investors undertaken in reliance on Section 5(d) of the Securities Act.</w:t>
      </w:r>
    </w:p>
    <w:p>
      <w:pPr>
        <w:spacing w:after="0" w:line="80" w:lineRule="exact"/>
        <w:rPr>
          <w:rFonts w:ascii="Arial" w:cs="Arial" w:eastAsia="Arial" w:hAnsi="Arial"/>
          <w:sz w:val="18"/>
          <w:szCs w:val="18"/>
          <w:color w:val="auto"/>
        </w:rPr>
      </w:pPr>
    </w:p>
    <w:p>
      <w:pPr>
        <w:ind w:right="60" w:firstLine="443"/>
        <w:spacing w:after="0" w:line="269" w:lineRule="auto"/>
        <w:tabs>
          <w:tab w:leader="none" w:pos="683"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Testing-the-Waters Materials</w:t>
      </w:r>
      <w:r>
        <w:rPr>
          <w:rFonts w:ascii="Arial" w:cs="Arial" w:eastAsia="Arial" w:hAnsi="Arial"/>
          <w:sz w:val="17"/>
          <w:szCs w:val="17"/>
          <w:color w:val="auto"/>
        </w:rPr>
        <w:t>. The Company (i) has not alone engaged in any Testing-the-Waters Communications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71" w:lineRule="exact"/>
        <w:rPr>
          <w:rFonts w:ascii="Arial" w:cs="Arial" w:eastAsia="Arial" w:hAnsi="Arial"/>
          <w:sz w:val="17"/>
          <w:szCs w:val="17"/>
          <w:color w:val="auto"/>
        </w:rPr>
      </w:pPr>
    </w:p>
    <w:p>
      <w:pPr>
        <w:ind w:firstLine="443"/>
        <w:spacing w:after="0" w:line="276" w:lineRule="auto"/>
        <w:tabs>
          <w:tab w:leader="none" w:pos="663"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Registration Statement and Prospectus</w:t>
      </w:r>
      <w:r>
        <w:rPr>
          <w:rFonts w:ascii="Arial" w:cs="Arial" w:eastAsia="Arial" w:hAnsi="Arial"/>
          <w:sz w:val="17"/>
          <w:szCs w:val="17"/>
          <w:color w:val="auto"/>
        </w:rPr>
        <w:t>. The Registration Statement has been declared effective by the Commission. No order suspending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07" w:name="page108"/>
    <w:bookmarkEnd w:id="10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requirements of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89" w:lineRule="exact"/>
        <w:rPr>
          <w:sz w:val="20"/>
          <w:szCs w:val="20"/>
          <w:color w:val="auto"/>
        </w:rPr>
      </w:pPr>
    </w:p>
    <w:p>
      <w:pPr>
        <w:ind w:right="140" w:firstLine="443"/>
        <w:spacing w:after="0" w:line="259" w:lineRule="auto"/>
        <w:tabs>
          <w:tab w:leader="none" w:pos="693"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Incorporated Documents</w:t>
      </w:r>
      <w:r>
        <w:rPr>
          <w:rFonts w:ascii="Arial" w:cs="Arial" w:eastAsia="Arial" w:hAnsi="Arial"/>
          <w:sz w:val="18"/>
          <w:szCs w:val="18"/>
          <w:color w:val="auto"/>
        </w:rPr>
        <w:t>. The documents incorporated by reference in the Registration Statement, the Prospectus and the Pricing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40" w:firstLine="443"/>
        <w:spacing w:after="0" w:line="269" w:lineRule="auto"/>
        <w:tabs>
          <w:tab w:leader="none" w:pos="693"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or 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w:t>
      </w:r>
    </w:p>
    <w:p>
      <w:pPr>
        <w:spacing w:after="0" w:line="74" w:lineRule="exact"/>
        <w:rPr>
          <w:rFonts w:ascii="Arial" w:cs="Arial" w:eastAsia="Arial" w:hAnsi="Arial"/>
          <w:sz w:val="17"/>
          <w:szCs w:val="17"/>
          <w:color w:val="auto"/>
        </w:rPr>
      </w:pPr>
    </w:p>
    <w:p>
      <w:pPr>
        <w:ind w:right="120" w:firstLine="443"/>
        <w:spacing w:after="0" w:line="259" w:lineRule="auto"/>
        <w:tabs>
          <w:tab w:leader="none" w:pos="653"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Since the date of the most recent financial statements of the Company included or incorporated by reference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08" w:name="page109"/>
    <w:bookmarkEnd w:id="10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85" w:lineRule="exact"/>
        <w:rPr>
          <w:sz w:val="20"/>
          <w:szCs w:val="20"/>
          <w:color w:val="auto"/>
        </w:rPr>
      </w:pPr>
    </w:p>
    <w:p>
      <w:pPr>
        <w:ind w:right="120" w:firstLine="443"/>
        <w:spacing w:after="0" w:line="253" w:lineRule="auto"/>
        <w:tabs>
          <w:tab w:leader="none" w:pos="653"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Organization and Good Standing</w:t>
      </w:r>
      <w:r>
        <w:rPr>
          <w:rFonts w:ascii="Arial" w:cs="Arial" w:eastAsia="Arial" w:hAnsi="Arial"/>
          <w:sz w:val="18"/>
          <w:szCs w:val="18"/>
          <w:color w:val="auto"/>
        </w:rPr>
        <w:t>. The Company and each of its subsidiaries have been duly organized and are validly existing and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w:t>
      </w:r>
    </w:p>
    <w:p>
      <w:pPr>
        <w:spacing w:after="0" w:line="89" w:lineRule="exact"/>
        <w:rPr>
          <w:rFonts w:ascii="Arial" w:cs="Arial" w:eastAsia="Arial" w:hAnsi="Arial"/>
          <w:sz w:val="18"/>
          <w:szCs w:val="18"/>
          <w:color w:val="auto"/>
        </w:rPr>
      </w:pPr>
    </w:p>
    <w:p>
      <w:pPr>
        <w:ind w:right="160" w:firstLine="443"/>
        <w:spacing w:after="0" w:line="291" w:lineRule="auto"/>
        <w:tabs>
          <w:tab w:leader="none" w:pos="693"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The Company has an authorized capitalization as set forth in the Registration Statement, the Pricing Disclosure Package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Prospectus under the heading “Capitalization”;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9" w:name="page110"/>
    <w:bookmarkEnd w:id="109"/>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50" w:lineRule="exact"/>
        <w:rPr>
          <w:sz w:val="20"/>
          <w:szCs w:val="20"/>
          <w:color w:val="auto"/>
        </w:rPr>
      </w:pPr>
    </w:p>
    <w:p>
      <w:pPr>
        <w:ind w:firstLine="443"/>
        <w:spacing w:after="0" w:line="285" w:lineRule="auto"/>
        <w:tabs>
          <w:tab w:leader="none" w:pos="653"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With respect to the stock options (the “Stock Options”) granted pursuant to the stock-based compensation plans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(the “Company Stock Plans”), (i)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w:t>
      </w:r>
    </w:p>
    <w:p>
      <w:pPr>
        <w:spacing w:after="0" w:line="2" w:lineRule="exact"/>
        <w:rPr>
          <w:rFonts w:ascii="Arial" w:cs="Arial" w:eastAsia="Arial" w:hAnsi="Arial"/>
          <w:sz w:val="16"/>
          <w:szCs w:val="16"/>
          <w:color w:val="auto"/>
        </w:rPr>
      </w:pPr>
    </w:p>
    <w:p>
      <w:pPr>
        <w:ind w:right="40" w:firstLine="4"/>
        <w:spacing w:after="0" w:line="255" w:lineRule="auto"/>
        <w:tabs>
          <w:tab w:leader="none" w:pos="2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such grant was made in accordance with the terms of the Company Stock Plans and all other applicable laws and regulatory rules or requirements and (iii) each such grant was properly accounted for in accordance with GAAP in the financial statements (including the related notes) of the Company.</w:t>
      </w:r>
    </w:p>
    <w:p>
      <w:pPr>
        <w:spacing w:after="0" w:line="82" w:lineRule="exact"/>
        <w:rPr>
          <w:rFonts w:ascii="Arial" w:cs="Arial" w:eastAsia="Arial" w:hAnsi="Arial"/>
          <w:sz w:val="18"/>
          <w:szCs w:val="18"/>
          <w:color w:val="auto"/>
        </w:rPr>
      </w:pPr>
    </w:p>
    <w:p>
      <w:pPr>
        <w:ind w:right="260" w:firstLine="443"/>
        <w:spacing w:after="0" w:line="264" w:lineRule="auto"/>
        <w:tabs>
          <w:tab w:leader="none" w:pos="743"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Due Authorization</w:t>
      </w:r>
      <w:r>
        <w:rPr>
          <w:rFonts w:ascii="Arial" w:cs="Arial" w:eastAsia="Arial" w:hAnsi="Arial"/>
          <w:sz w:val="18"/>
          <w:szCs w:val="18"/>
          <w:color w:val="auto"/>
        </w:rPr>
        <w:t>. The Company has full right, power and authority to execute and deliver this Agreement and to perform its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220" w:firstLine="443"/>
        <w:spacing w:after="0" w:line="259" w:lineRule="auto"/>
        <w:tabs>
          <w:tab w:leader="none" w:pos="693"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The Shares</w:t>
      </w:r>
      <w:r>
        <w:rPr>
          <w:rFonts w:ascii="Arial" w:cs="Arial" w:eastAsia="Arial" w:hAnsi="Arial"/>
          <w:sz w:val="18"/>
          <w:szCs w:val="18"/>
          <w:color w:val="auto"/>
        </w:rPr>
        <w:t>. The Shares to be issued and sold by the Company hereunder have been duly authorized by the Company and, when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 that have not been duly waived.</w:t>
      </w:r>
    </w:p>
    <w:p>
      <w:pPr>
        <w:spacing w:after="0" w:line="78" w:lineRule="exact"/>
        <w:rPr>
          <w:rFonts w:ascii="Arial" w:cs="Arial" w:eastAsia="Arial" w:hAnsi="Arial"/>
          <w:sz w:val="18"/>
          <w:szCs w:val="18"/>
          <w:color w:val="auto"/>
        </w:rPr>
      </w:pPr>
    </w:p>
    <w:p>
      <w:pPr>
        <w:ind w:right="320" w:firstLine="443"/>
        <w:spacing w:after="0" w:line="277" w:lineRule="auto"/>
        <w:tabs>
          <w:tab w:leader="none" w:pos="693"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Descriptions of the Underwriting Agreement</w:t>
      </w:r>
      <w:r>
        <w:rPr>
          <w:rFonts w:ascii="Arial" w:cs="Arial" w:eastAsia="Arial" w:hAnsi="Arial"/>
          <w:sz w:val="18"/>
          <w:szCs w:val="18"/>
          <w:color w:val="auto"/>
        </w:rPr>
        <w:t>. This Agreement conforms in all material respects to the description thereof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w:t>
      </w:r>
    </w:p>
    <w:p>
      <w:pPr>
        <w:spacing w:after="0" w:line="62" w:lineRule="exact"/>
        <w:rPr>
          <w:rFonts w:ascii="Arial" w:cs="Arial" w:eastAsia="Arial" w:hAnsi="Arial"/>
          <w:sz w:val="18"/>
          <w:szCs w:val="18"/>
          <w:color w:val="auto"/>
        </w:rPr>
      </w:pPr>
    </w:p>
    <w:p>
      <w:pPr>
        <w:ind w:right="160" w:firstLine="443"/>
        <w:spacing w:after="0" w:line="277" w:lineRule="auto"/>
        <w:tabs>
          <w:tab w:leader="none" w:pos="693"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No Violation or Default</w:t>
      </w:r>
      <w:r>
        <w:rPr>
          <w:rFonts w:ascii="Arial" w:cs="Arial" w:eastAsia="Arial" w:hAnsi="Arial"/>
          <w:sz w:val="18"/>
          <w:szCs w:val="18"/>
          <w:color w:val="auto"/>
        </w:rPr>
        <w:t>. Neither the Company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74" w:right="279" w:bottom="1440" w:gutter="0" w:footer="0" w:header="0"/>
        </w:sectPr>
      </w:pPr>
    </w:p>
    <w:bookmarkStart w:id="110" w:name="page111"/>
    <w:bookmarkEnd w:id="1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w:t>
      </w:r>
    </w:p>
    <w:p>
      <w:pPr>
        <w:spacing w:after="0" w:line="2" w:lineRule="exact"/>
        <w:rPr>
          <w:sz w:val="20"/>
          <w:szCs w:val="20"/>
          <w:color w:val="auto"/>
        </w:rPr>
      </w:pPr>
    </w:p>
    <w:p>
      <w:pPr>
        <w:ind w:left="320" w:hanging="316"/>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above, for any such default or violation that would not, individually or in the aggregate, have a Material Adverse Effect.</w:t>
      </w:r>
    </w:p>
    <w:p>
      <w:pPr>
        <w:spacing w:after="0" w:line="102" w:lineRule="exact"/>
        <w:rPr>
          <w:rFonts w:ascii="Arial" w:cs="Arial" w:eastAsia="Arial" w:hAnsi="Arial"/>
          <w:sz w:val="18"/>
          <w:szCs w:val="18"/>
          <w:color w:val="auto"/>
        </w:rPr>
      </w:pPr>
    </w:p>
    <w:p>
      <w:pPr>
        <w:ind w:right="40" w:firstLine="443"/>
        <w:spacing w:after="0" w:line="270" w:lineRule="auto"/>
        <w:tabs>
          <w:tab w:leader="none" w:pos="663" w:val="left"/>
        </w:tabs>
        <w:numPr>
          <w:ilvl w:val="1"/>
          <w:numId w:val="87"/>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The execution, delivery and performance by the Company of this Agreement, the issuance and sale of the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the transactions contemplated by this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or default that would not, individually or in the aggregate, have a Material Adverse Effect.</w:t>
      </w:r>
    </w:p>
    <w:p>
      <w:pPr>
        <w:spacing w:after="0" w:line="73" w:lineRule="exact"/>
        <w:rPr>
          <w:rFonts w:ascii="Arial" w:cs="Arial" w:eastAsia="Arial" w:hAnsi="Arial"/>
          <w:sz w:val="17"/>
          <w:szCs w:val="17"/>
          <w:color w:val="auto"/>
        </w:rPr>
      </w:pPr>
    </w:p>
    <w:p>
      <w:pPr>
        <w:ind w:right="100" w:firstLine="443"/>
        <w:spacing w:after="0" w:line="255" w:lineRule="auto"/>
        <w:tabs>
          <w:tab w:leader="none" w:pos="673"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85" w:lineRule="exact"/>
        <w:rPr>
          <w:rFonts w:ascii="Arial" w:cs="Arial" w:eastAsia="Arial" w:hAnsi="Arial"/>
          <w:sz w:val="18"/>
          <w:szCs w:val="18"/>
          <w:color w:val="auto"/>
        </w:rPr>
      </w:pPr>
    </w:p>
    <w:p>
      <w:pPr>
        <w:ind w:right="40" w:firstLine="443"/>
        <w:spacing w:after="0" w:line="272" w:lineRule="auto"/>
        <w:tabs>
          <w:tab w:leader="none" w:pos="653" w:val="left"/>
        </w:tabs>
        <w:numPr>
          <w:ilvl w:val="1"/>
          <w:numId w:val="87"/>
        </w:numPr>
        <w:rPr>
          <w:rFonts w:ascii="Arial" w:cs="Arial" w:eastAsia="Arial" w:hAnsi="Arial"/>
          <w:sz w:val="17"/>
          <w:szCs w:val="17"/>
          <w:color w:val="auto"/>
        </w:rPr>
      </w:pPr>
      <w:r>
        <w:rPr>
          <w:rFonts w:ascii="Arial" w:cs="Arial" w:eastAsia="Arial" w:hAnsi="Arial"/>
          <w:sz w:val="17"/>
          <w:szCs w:val="17"/>
          <w:i w:val="1"/>
          <w:iCs w:val="1"/>
          <w:color w:val="auto"/>
        </w:rPr>
        <w:t>Legal Proceedings</w:t>
      </w:r>
      <w:r>
        <w:rPr>
          <w:rFonts w:ascii="Arial" w:cs="Arial" w:eastAsia="Arial" w:hAnsi="Arial"/>
          <w:sz w:val="17"/>
          <w:szCs w:val="17"/>
          <w:color w:val="auto"/>
        </w:rPr>
        <w:t>. 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Company or any of its subsidiaries is or may reasonably be expected to become a party or to which any property of the Company or any of its subsidiaries is or may reasonably be expected to become the subject that, individually or in the aggregate, if determined adversely to the Company or any of its subsidiaries, would reasonably be expected to have a Material Adverse Effect; to the knowledge of the Company no such investigations, actions, suits or proceedings are threatened or, to the knowledge of the Company, contemplated by any governmental or regulatory authority or threatened by others; and (i) there are no current or pending legal, governmental or regulatory actions, suits or proceedings that are</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11" w:name="page112"/>
    <w:bookmarkEnd w:id="111"/>
    <w:p>
      <w:pPr>
        <w:ind w:right="3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64" w:lineRule="exact"/>
        <w:rPr>
          <w:sz w:val="20"/>
          <w:szCs w:val="20"/>
          <w:color w:val="auto"/>
        </w:rPr>
      </w:pPr>
    </w:p>
    <w:p>
      <w:pPr>
        <w:ind w:right="140" w:firstLine="443"/>
        <w:spacing w:after="0" w:line="286" w:lineRule="auto"/>
        <w:tabs>
          <w:tab w:leader="none" w:pos="693"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Ernst &amp; Young LLP, who has certified certain financial statements of the Company and its subsidiaries, is an</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57" w:lineRule="exact"/>
        <w:rPr>
          <w:rFonts w:ascii="Arial" w:cs="Arial" w:eastAsia="Arial" w:hAnsi="Arial"/>
          <w:sz w:val="17"/>
          <w:szCs w:val="17"/>
          <w:color w:val="auto"/>
        </w:rPr>
      </w:pPr>
    </w:p>
    <w:p>
      <w:pPr>
        <w:ind w:firstLine="443"/>
        <w:spacing w:after="0" w:line="276" w:lineRule="auto"/>
        <w:tabs>
          <w:tab w:leader="none" w:pos="693"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Title to Real and Personal Property</w:t>
      </w:r>
      <w:r>
        <w:rPr>
          <w:rFonts w:ascii="Arial" w:cs="Arial" w:eastAsia="Arial" w:hAnsi="Arial"/>
          <w:sz w:val="17"/>
          <w:szCs w:val="17"/>
          <w:color w:val="auto"/>
        </w:rPr>
        <w:t>. The Company and its subsidiaries have good and marketable title in fee simple (in the case of real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to, or have valid and marketable rights to lease or otherwise use, all items of real and personal property and assets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64" w:lineRule="exact"/>
        <w:rPr>
          <w:rFonts w:ascii="Arial" w:cs="Arial" w:eastAsia="Arial" w:hAnsi="Arial"/>
          <w:sz w:val="17"/>
          <w:szCs w:val="17"/>
          <w:color w:val="auto"/>
        </w:rPr>
      </w:pPr>
    </w:p>
    <w:p>
      <w:pPr>
        <w:ind w:firstLine="443"/>
        <w:spacing w:after="0" w:line="286" w:lineRule="auto"/>
        <w:tabs>
          <w:tab w:leader="none" w:pos="733"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would not, individually or in the aggregate, have a Material Adverse Effect, the Company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own or possess, or can acquire on reasonable terms, adequate rights to use all material patents, patent applications, trademarks, service marks, trade names, trade dress, domain names (including all goodwill associated with the foregoing), inventions, copyrights, software, know-how, trade secrets (including all registrations and applications for registration of any of the foregoing), publicity rights, privacy rights, all other similar types of proprietary intellectual property rights necessary for the conduct of their respective businesses as currently conducted and as proposed to be conducted (“Intellectual Property”); and, to the knowledge of the Company, the conduct of their respective businesses does not infringe, misappropriate or otherwise conflict in any material respect with any such rights of others. The Company and its subsidiaries have not received any notice of any claim of infringement or misappropriation of, or conflict with, any such rights of others or any notice challenging the validity, scope, or enforceability of the Intellectual Property or the Company’s or any of its subsidiaries’ rights therein except in each case as would not reasonably be expected to result in a Material Adverse Effect. To the knowledge of the Company, no third party has materially infringed, misappropriated or otherwise violated any Intellectual Property owned by or exclusively licensed to the Company or any of its subsidiaries. All Intellectual Property owned by the Company or its subsidiaries is owned solely by the Company or its subsidiaries and is owned free and clear of all liens, encumbrances, defects or other restrictions, except those liens, encumbrances, defects or other restrictions that (i) do not materially interfere with the use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112" w:name="page113"/>
    <w:bookmarkEnd w:id="11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and proposed to be made of such Intellectual Property by the Company and its subsidiaries or (ii) could not reasonably be expected, individually or in the aggregate, to have a Material Adverse Effect. To the knowledge of the Company, all Intellectual Property that is licensed to the Company or its subsidiaries is free and clear of all liens and free of any restrictions or defects, except those liens, encumbrances or defects that (1) do not materially interfere with the use made and proposed to be made of such Intellectual Property by the Company or any of its subsidiaries, or (2) could not reasonably be expected, individually or in the aggregate, to have a Material Adverse Effect. To the knowledge of the Company, all Intellectual Property owned by or licensed to the Company is valid and enforceable except where such invalidity or unenforceability would not reasonably be expected to result in a Material Adverse Effect. Neither the Company nor any of its subsidiaries is subject to any judgment, order, writ, injunction or decree of any court or any federal, state, local, foreign or other governmental department, commission, board, bureau, agency or instrumentality, domestic or foreign, or any arbitrator, nor has the Company or any of its subsidiaries entered into or become a party to any agreement made in settlement of any pending or threatened litigation, that restricts or impairs its use of any Intellectual Property other than any such restrictions that could not reasonably be expected to result in a Material Adverse Effect. The Company and its subsidiaries have taken commercially reasonable actions necessary to maintain and protect all registered Intellectual Property owned by the Company or its subsidiaries, including payment of applicable maintenance fees, filing of applicable statements of use, timely response to office actions, and disclosure of any required information. The Company and its subsidiaries have taken reasonable steps in accordance with normal industry practice to maintain the confidentiality of all material trade secrets and confidential information owned, used or held for use by the Company or any of its subsidiaries, and, the knowledge of the Company, no such trade secrets or confidential information have been disclosed other than to employees, representatives and agents of the Company or any of its subsidiaries, or parties who are bound by written confidentiality agreements. All founders, key employees and other employees, in each case who are currently with the Company or any of its subsidiaries, involved in the development of Intellectual Property for the Company or any of its subsidiaries have signed confidentiality and invention assignment agreements with the Company. No employee contributing to any material Intellectual Property developed for and intended to be owned by the Company or its subsidiaries has failed to assign all of such employee’s rights, title and interest in such Intellectual Property to the Company or its subsidiaries. No independent contractor contributing to any material Intellectual Property developed for and intended to be owned by the Company or its subsidiaries has failed to assign all of such independent contractor’s rights, title and interest in such Intellectual Property to the Company or its subsidiaries, or, in the alternative, granted to the Company a license thereunder as necessary for the conduct of the Company’s and its subsidiaries’ business.</w:t>
      </w:r>
    </w:p>
    <w:p>
      <w:pPr>
        <w:spacing w:after="0" w:line="287" w:lineRule="exact"/>
        <w:rPr>
          <w:sz w:val="20"/>
          <w:szCs w:val="20"/>
          <w:color w:val="auto"/>
        </w:rPr>
      </w:pPr>
    </w:p>
    <w:p>
      <w:pPr>
        <w:ind w:right="40" w:firstLine="443"/>
        <w:spacing w:after="0" w:line="259" w:lineRule="auto"/>
        <w:tabs>
          <w:tab w:leader="none" w:pos="693"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13" w:name="page114"/>
    <w:bookmarkEnd w:id="113"/>
    <w:p>
      <w:pPr>
        <w:ind w:right="280" w:firstLine="443"/>
        <w:spacing w:after="0" w:line="279" w:lineRule="auto"/>
        <w:tabs>
          <w:tab w:leader="none" w:pos="693"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Company Act</w:t>
      </w:r>
      <w:r>
        <w:rPr>
          <w:rFonts w:ascii="Arial" w:cs="Arial" w:eastAsia="Arial" w:hAnsi="Arial"/>
          <w:sz w:val="17"/>
          <w:szCs w:val="17"/>
          <w:color w:val="auto"/>
        </w:rPr>
        <w:t>. The Company is not and, after giving effect to the offering and sale of the Shares and the application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63" w:lineRule="exact"/>
        <w:rPr>
          <w:rFonts w:ascii="Arial" w:cs="Arial" w:eastAsia="Arial" w:hAnsi="Arial"/>
          <w:sz w:val="17"/>
          <w:szCs w:val="17"/>
          <w:color w:val="auto"/>
        </w:rPr>
      </w:pPr>
    </w:p>
    <w:p>
      <w:pPr>
        <w:ind w:firstLine="443"/>
        <w:spacing w:after="0" w:line="279" w:lineRule="auto"/>
        <w:tabs>
          <w:tab w:leader="none" w:pos="683"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The Company and its subsidiaries have paid all federal, state, local and foreign taxes and filed all tax returns required to be paid or filed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date hereof (after giving effect to any valid extensions with respect to the filing of tax returns); and except as otherwise disclosed in the Registration Statement, the Pricing Disclosure Package and the Prospectus, there is no material tax deficiency that has been, or would reasonably be expected to be, asserted against the Company or any of its subsidiaries or any of their respective properties or assets.</w:t>
      </w:r>
    </w:p>
    <w:p>
      <w:pPr>
        <w:spacing w:after="0" w:line="63" w:lineRule="exact"/>
        <w:rPr>
          <w:sz w:val="20"/>
          <w:szCs w:val="20"/>
          <w:color w:val="auto"/>
        </w:rPr>
      </w:pPr>
    </w:p>
    <w:p>
      <w:pPr>
        <w:ind w:right="60" w:firstLine="443"/>
        <w:spacing w:after="0" w:line="286" w:lineRule="auto"/>
        <w:tabs>
          <w:tab w:leader="none" w:pos="763"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Licenses and Permits</w:t>
      </w:r>
      <w:r>
        <w:rPr>
          <w:rFonts w:ascii="Arial" w:cs="Arial" w:eastAsia="Arial" w:hAnsi="Arial"/>
          <w:sz w:val="16"/>
          <w:szCs w:val="16"/>
          <w:color w:val="auto"/>
        </w:rPr>
        <w:t>. The Company and its subsidiaries possess all licenses, certificates, permits and other authorizations issued by, and</w:t>
      </w:r>
      <w:r>
        <w:rPr>
          <w:rFonts w:ascii="Arial" w:cs="Arial" w:eastAsia="Arial" w:hAnsi="Arial"/>
          <w:sz w:val="16"/>
          <w:szCs w:val="16"/>
          <w:i w:val="1"/>
          <w:iCs w:val="1"/>
          <w:color w:val="auto"/>
        </w:rPr>
        <w:t xml:space="preserve"> </w:t>
      </w:r>
      <w:r>
        <w:rPr>
          <w:rFonts w:ascii="Arial" w:cs="Arial" w:eastAsia="Arial" w:hAnsi="Arial"/>
          <w:sz w:val="16"/>
          <w:szCs w:val="16"/>
          <w:color w:val="auto"/>
        </w:rPr>
        <w:t>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The Company and its subsidiaries (i) are, and at all times have been, in material compliance with all statutes, rules and regulations applicable to the ownership, testing, development, manufacture, packaging, processing, use, distribution, storage, import, export or disposal of any product manufactured or distributed by the Company or its subsidiaries (“Applicable Laws”), except where such noncompliance would not, individually or in the aggregate, reasonably be expected to have a Material Adverse Effect; and (ii) have not received any U.S. Food and Drug Administration (“FDA”) Form 483, written notice of adverse finding, warning letter, untitled letter or other correspondence or written notice from any court or arbitrator or governmental or regulatory authority alleging or asserting non-compliance with (x) any Applicable Laws or (y) any licenses, exemptions, certificates, approvals, clearances, authorizations, permits and supplements or amendments thereto required by any such Applicable Laws.</w:t>
      </w:r>
    </w:p>
    <w:p>
      <w:pPr>
        <w:spacing w:after="0" w:line="63" w:lineRule="exact"/>
        <w:rPr>
          <w:rFonts w:ascii="Arial" w:cs="Arial" w:eastAsia="Arial" w:hAnsi="Arial"/>
          <w:sz w:val="16"/>
          <w:szCs w:val="16"/>
          <w:color w:val="auto"/>
        </w:rPr>
      </w:pPr>
    </w:p>
    <w:p>
      <w:pPr>
        <w:ind w:right="60" w:firstLine="443"/>
        <w:spacing w:after="0" w:line="259" w:lineRule="auto"/>
        <w:tabs>
          <w:tab w:leader="none" w:pos="783"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disturbance by or dispute with employees of the Company or any of its subsidiaries exists or, to the knowledge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is contemplated or threatened, and the Company is not aware of any existing or imminent labor disturbance by, or dispute with, the employees of any of its or its subsidiaries’ principal suppliers, contractors or customers, except in each case as would not have a Material Adverse Effect.</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114" w:name="page115"/>
    <w:bookmarkEnd w:id="114"/>
    <w:p>
      <w:pPr>
        <w:ind w:right="40" w:firstLine="443"/>
        <w:spacing w:after="0" w:line="286" w:lineRule="auto"/>
        <w:tabs>
          <w:tab w:leader="none" w:pos="763" w:val="left"/>
        </w:tabs>
        <w:numPr>
          <w:ilvl w:val="1"/>
          <w:numId w:val="9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and Liability under Environmental Laws</w:t>
      </w:r>
      <w:r>
        <w:rPr>
          <w:rFonts w:ascii="Arial" w:cs="Arial" w:eastAsia="Arial" w:hAnsi="Arial"/>
          <w:sz w:val="16"/>
          <w:szCs w:val="16"/>
          <w:color w:val="auto"/>
        </w:rPr>
        <w:t>. (i) The Company and its subsidiaries (a) are, and at all prior times were,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any and all applicable federal, state, local and foreign laws, rules, regulations, requirements, decisions, judgments, decrees, orders and the common law relating to pollution or the protection of the environment, natural resources or human health or safety, including those relating to the generation, storage, treatment, use, handling, transportation, Release or threat of Release of Hazardous Materials (collectively, “Environmental Laws”),</w:t>
      </w:r>
    </w:p>
    <w:p>
      <w:pPr>
        <w:spacing w:after="0" w:line="1" w:lineRule="exact"/>
        <w:rPr>
          <w:rFonts w:ascii="Arial" w:cs="Arial" w:eastAsia="Arial" w:hAnsi="Arial"/>
          <w:sz w:val="16"/>
          <w:szCs w:val="16"/>
          <w:color w:val="auto"/>
        </w:rPr>
      </w:pPr>
    </w:p>
    <w:p>
      <w:pPr>
        <w:ind w:right="100" w:firstLine="4"/>
        <w:spacing w:after="0" w:line="281" w:lineRule="auto"/>
        <w:tabs>
          <w:tab w:leader="none" w:pos="2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have received and are in compliance with all permits, licenses, certificates or other authorizations or approvals required of them under applicable Environmental Laws to conduct their respective businesses, (c) have not received written notice of any actual or potential liability under or relating to, or actual or potential violation of, any Environmental Laws, including for the investigation or remediation of any Release or threat of Release of Hazardous Materials, and have no knowledge of any event or condition that would reasonably be expected to result in any such notice, (d) are not conducting or paying for, in whole or in part, any investigation, remediation or other corrective action pursuant to any Environmental Law at any location, and (e) are not a party to any order, decree or agreement that imposes any obligation or liability under any Environmental Law, and (ii) there are no costs or liabilities associated with Environmental Laws of or relating to the Company or its subsidiaries, except in the case of each of (i) and</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above, for any such matter, as would not, individually or in the aggregate, reasonably be expected to have a Material Adverse Effect; and</w:t>
      </w:r>
    </w:p>
    <w:p>
      <w:pPr>
        <w:spacing w:after="0" w:line="20" w:lineRule="exact"/>
        <w:rPr>
          <w:rFonts w:ascii="Arial" w:cs="Arial" w:eastAsia="Arial" w:hAnsi="Arial"/>
          <w:sz w:val="17"/>
          <w:szCs w:val="17"/>
          <w:color w:val="auto"/>
        </w:rPr>
      </w:pPr>
    </w:p>
    <w:p>
      <w:pPr>
        <w:ind w:firstLine="4"/>
        <w:spacing w:after="0" w:line="288" w:lineRule="auto"/>
        <w:tabs>
          <w:tab w:leader="none" w:pos="315"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Pricing Disclosure Package and the Prospectus, (a) there are no proceedings that are pending, or, to the knowledge of the Company, contemplated, against the Company or any of its subsidiaries under any Environmental Laws in which a governmental entity is also a party, other than such proceedings regarding which it is reasonably believed no monetary sanctions of $100,000 or more will be imposed, (b) the Company and its subsidiaries are not aware of any facts or issues regarding compliance with Environmental Laws, or liabilities or other obligations under Environmental Laws, including the Release or threat of Release of Hazardous Materials, that would reasonably be expected to have a material adverse effect on the capital expenditures, earnings or competitive position of the Company and its subsidiaries, and (c) none of the Company and its subsidiaries anticipates material capital expenditures relating to any Environmental Laws.</w:t>
      </w:r>
    </w:p>
    <w:p>
      <w:pPr>
        <w:spacing w:after="0" w:line="60" w:lineRule="exact"/>
        <w:rPr>
          <w:rFonts w:ascii="Arial" w:cs="Arial" w:eastAsia="Arial" w:hAnsi="Arial"/>
          <w:sz w:val="16"/>
          <w:szCs w:val="16"/>
          <w:color w:val="auto"/>
        </w:rPr>
      </w:pPr>
    </w:p>
    <w:p>
      <w:pPr>
        <w:ind w:right="80" w:firstLine="443"/>
        <w:spacing w:after="0" w:line="276" w:lineRule="auto"/>
        <w:tabs>
          <w:tab w:leader="none" w:pos="783" w:val="left"/>
        </w:tabs>
        <w:numPr>
          <w:ilvl w:val="1"/>
          <w:numId w:val="95"/>
        </w:numPr>
        <w:rPr>
          <w:rFonts w:ascii="Arial" w:cs="Arial" w:eastAsia="Arial" w:hAnsi="Arial"/>
          <w:sz w:val="17"/>
          <w:szCs w:val="17"/>
          <w:color w:val="auto"/>
        </w:rPr>
      </w:pPr>
      <w:r>
        <w:rPr>
          <w:rFonts w:ascii="Arial" w:cs="Arial" w:eastAsia="Arial" w:hAnsi="Arial"/>
          <w:sz w:val="17"/>
          <w:szCs w:val="17"/>
          <w:i w:val="1"/>
          <w:iCs w:val="1"/>
          <w:color w:val="auto"/>
        </w:rPr>
        <w:t>Hazardous Materials</w:t>
      </w:r>
      <w:r>
        <w:rPr>
          <w:rFonts w:ascii="Arial" w:cs="Arial" w:eastAsia="Arial" w:hAnsi="Arial"/>
          <w:sz w:val="17"/>
          <w:szCs w:val="17"/>
          <w:color w:val="auto"/>
        </w:rPr>
        <w:t>. There has been no storage, generation, transportation, use, handling, treatment, Release or threat of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Materials by, relating to or caused by the Company or any of its subsidiaries (or, to the knowledge of the Company and its subsidiaries, any other entity (including any predecessor) for whose acts or omissions the Company or any of its subsidiaries is or would reasonably be expected to be liable) at, on, under or from any property or facility now or previously owned, operated or leased by the Company or any of its subsidiaries, or at, on, under or from any other property or facility, in violation of any Environmental</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15" w:name="page116"/>
    <w:bookmarkEnd w:id="11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59" w:lineRule="exact"/>
        <w:rPr>
          <w:sz w:val="20"/>
          <w:szCs w:val="20"/>
          <w:color w:val="auto"/>
        </w:rPr>
      </w:pPr>
    </w:p>
    <w:p>
      <w:pPr>
        <w:ind w:firstLine="443"/>
        <w:spacing w:after="0" w:line="285" w:lineRule="auto"/>
        <w:tabs>
          <w:tab w:leader="none" w:pos="763" w:val="left"/>
        </w:tabs>
        <w:numPr>
          <w:ilvl w:val="1"/>
          <w:numId w:val="96"/>
        </w:numPr>
        <w:rPr>
          <w:rFonts w:ascii="Arial" w:cs="Arial" w:eastAsia="Arial" w:hAnsi="Arial"/>
          <w:sz w:val="16"/>
          <w:szCs w:val="16"/>
          <w:color w:val="auto"/>
        </w:rPr>
      </w:pPr>
      <w:r>
        <w:rPr>
          <w:rFonts w:ascii="Arial" w:cs="Arial" w:eastAsia="Arial" w:hAnsi="Arial"/>
          <w:sz w:val="16"/>
          <w:szCs w:val="16"/>
          <w:i w:val="1"/>
          <w:iCs w:val="1"/>
          <w:color w:val="auto"/>
        </w:rPr>
        <w:t>Compliance with ERISA</w:t>
      </w:r>
      <w:r>
        <w:rPr>
          <w:rFonts w:ascii="Arial" w:cs="Arial" w:eastAsia="Arial" w:hAnsi="Arial"/>
          <w:sz w:val="16"/>
          <w:szCs w:val="16"/>
          <w:color w:val="auto"/>
        </w:rPr>
        <w:t>. (i) Each employee benefit plan, within the meaning of Section 3(3) of the Employee Retirement Income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Act of 1974, as amended (“ERISA”), for which the Company or any member of its “Controlled Group” (defined as any organization which is a member of a controlled group of corporations within the meaning of Section 414 of the Internal Revenue Code of 1986, as amended (the “Code”)) has any liability (each, a “Plan”) has been maintained in compliance with its terms and the requirements of any applicable statutes, orders, rules and regulations, including but not limited to, ERISA and the Code, except for noncompliance that could not reasonably be expected to have a Material Adverse Effect;</w:t>
      </w:r>
    </w:p>
    <w:p>
      <w:pPr>
        <w:spacing w:after="0" w:line="2" w:lineRule="exact"/>
        <w:rPr>
          <w:rFonts w:ascii="Arial" w:cs="Arial" w:eastAsia="Arial" w:hAnsi="Arial"/>
          <w:sz w:val="16"/>
          <w:szCs w:val="16"/>
          <w:color w:val="auto"/>
        </w:rPr>
      </w:pPr>
    </w:p>
    <w:p>
      <w:pPr>
        <w:ind w:right="20" w:firstLine="4"/>
        <w:spacing w:after="0" w:line="284" w:lineRule="auto"/>
        <w:tabs>
          <w:tab w:leader="none" w:pos="2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 prohibited transaction, within the meaning of Section 406 of ERISA or Section 4975 of the Code, has occurred with respect to any Plan excluding transactions effected pursuant to a statutory or administrative exemption that could reasonably be expected to result in a material liability to the Company or its subsidiaries; (iii) for each Plan that is subject to the funding rules of Section 412 of the Code or Section 302 of ERISA, the minimum funding standard of Section 412 of the Code or Section 302 of ERISA, as applicable, has been satisfied (without taking into account any waiver thereof or extension of any amortization period) and is reasonably expected to be satisfied in the future (without taking into account any waiver thereof or extension of any amortization period); (iv) the fair market value of the assets of each Plan subject to the minimum funding standard of Section 412 of the Code or Section 302 of ERISA exceeds the present value of all benefits accrued under such Plan (determined based on those assumptions used to fund such Plan); (v) no “reportable event” (within the meaning of Section 4043(c) of ERISA) has occurred or is reasonably expected to occur that either has resulted, or could reasonably be expected to result, in material liability to the Company or its subsidiaries, excluding any reportable event for which the notice requirements have been waived; (vi) neither the Company nor any member of the Controlled Group has incurred, nor reasonably expects to incur, any material liability under Title IV of ERISA (other than contributions to the Plan or premiums to the PBGC, in the ordinary course and without default) in respect of a Plan (including a “multiemployer plan,” within the meaning of Section 4001(a)(3) of ERISA); and (vii) to the knowledge of the Company,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or its subsidiaries.</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116" w:name="page117"/>
    <w:bookmarkEnd w:id="116"/>
    <w:p>
      <w:pPr>
        <w:ind w:firstLine="443"/>
        <w:spacing w:after="0" w:line="293" w:lineRule="auto"/>
        <w:tabs>
          <w:tab w:leader="none" w:pos="72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Controls</w:t>
      </w:r>
      <w:r>
        <w:rPr>
          <w:rFonts w:ascii="Arial" w:cs="Arial" w:eastAsia="Arial" w:hAnsi="Arial"/>
          <w:sz w:val="16"/>
          <w:szCs w:val="16"/>
          <w:color w:val="auto"/>
        </w:rPr>
        <w:t>. The Company and its subsidiaries maintain an effective system of “disclosure controls and procedures”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 13a-15(e) of the Securities Exchange Act of 1934, as amended, and the rules and regulations of the Commission thereunder (collectively,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56" w:lineRule="exact"/>
        <w:rPr>
          <w:rFonts w:ascii="Arial" w:cs="Arial" w:eastAsia="Arial" w:hAnsi="Arial"/>
          <w:sz w:val="16"/>
          <w:szCs w:val="16"/>
          <w:color w:val="auto"/>
        </w:rPr>
      </w:pPr>
    </w:p>
    <w:p>
      <w:pPr>
        <w:ind w:firstLine="443"/>
        <w:spacing w:after="0" w:line="285" w:lineRule="auto"/>
        <w:tabs>
          <w:tab w:leader="none" w:pos="783"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Accounting Controls</w:t>
      </w:r>
      <w:r>
        <w:rPr>
          <w:rFonts w:ascii="Arial" w:cs="Arial" w:eastAsia="Arial" w:hAnsi="Arial"/>
          <w:sz w:val="16"/>
          <w:szCs w:val="16"/>
          <w:color w:val="auto"/>
        </w:rPr>
        <w:t>. The Company and its subsidiaries maintain systems of “internal control over financial reporting” (as defined in Rule</w:t>
      </w:r>
      <w:r>
        <w:rPr>
          <w:rFonts w:ascii="Arial" w:cs="Arial" w:eastAsia="Arial" w:hAnsi="Arial"/>
          <w:sz w:val="16"/>
          <w:szCs w:val="16"/>
          <w:i w:val="1"/>
          <w:iCs w:val="1"/>
          <w:color w:val="auto"/>
        </w:rPr>
        <w:t xml:space="preserve"> </w:t>
      </w:r>
      <w:r>
        <w:rPr>
          <w:rFonts w:ascii="Arial" w:cs="Arial" w:eastAsia="Arial" w:hAnsi="Arial"/>
          <w:sz w:val="16"/>
          <w:szCs w:val="16"/>
          <w:color w:val="auto"/>
        </w:rPr>
        <w:t>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if any,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9" w:lineRule="exact"/>
        <w:rPr>
          <w:rFonts w:ascii="Arial" w:cs="Arial" w:eastAsia="Arial" w:hAnsi="Arial"/>
          <w:sz w:val="16"/>
          <w:szCs w:val="16"/>
          <w:color w:val="auto"/>
        </w:rPr>
      </w:pPr>
    </w:p>
    <w:p>
      <w:pPr>
        <w:ind w:right="180" w:firstLine="443"/>
        <w:spacing w:after="0" w:line="264" w:lineRule="auto"/>
        <w:tabs>
          <w:tab w:leader="none" w:pos="783"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eXtensible Business Reporting Language</w:t>
      </w:r>
      <w:r>
        <w:rPr>
          <w:rFonts w:ascii="Arial" w:cs="Arial" w:eastAsia="Arial" w:hAnsi="Arial"/>
          <w:sz w:val="18"/>
          <w:szCs w:val="18"/>
          <w:color w:val="auto"/>
        </w:rPr>
        <w:t>. The interactive data in eXtensible Business Reporting Language included or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117" w:name="page118"/>
    <w:bookmarkEnd w:id="117"/>
    <w:p>
      <w:pPr>
        <w:ind w:right="80" w:firstLine="443"/>
        <w:spacing w:after="0" w:line="288" w:lineRule="auto"/>
        <w:tabs>
          <w:tab w:leader="none" w:pos="703" w:val="left"/>
        </w:tabs>
        <w:numPr>
          <w:ilvl w:val="1"/>
          <w:numId w:val="9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w:t>
      </w:r>
      <w:r>
        <w:rPr>
          <w:rFonts w:ascii="Arial" w:cs="Arial" w:eastAsia="Arial" w:hAnsi="Arial"/>
          <w:sz w:val="16"/>
          <w:szCs w:val="16"/>
          <w:color w:val="auto"/>
        </w:rPr>
        <w:t>. 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commercially reasonable amounts and reasonably insures against such losses and risks as are adequate to protect the Company and its subsidiaries and their respective businesses; and neither the Company nor any of its subsidiaries has</w:t>
      </w:r>
    </w:p>
    <w:p>
      <w:pPr>
        <w:ind w:right="20" w:firstLine="4"/>
        <w:spacing w:after="0" w:line="277" w:lineRule="auto"/>
        <w:tabs>
          <w:tab w:leader="none" w:pos="2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65" w:lineRule="exact"/>
        <w:rPr>
          <w:rFonts w:ascii="Arial" w:cs="Arial" w:eastAsia="Arial" w:hAnsi="Arial"/>
          <w:sz w:val="17"/>
          <w:szCs w:val="17"/>
          <w:color w:val="auto"/>
        </w:rPr>
      </w:pPr>
    </w:p>
    <w:p>
      <w:pPr>
        <w:ind w:right="60" w:firstLine="443"/>
        <w:spacing w:after="0" w:line="288" w:lineRule="auto"/>
        <w:tabs>
          <w:tab w:leader="none" w:pos="703"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No Unlawful Payments</w:t>
      </w:r>
      <w:r>
        <w:rPr>
          <w:rFonts w:ascii="Arial" w:cs="Arial" w:eastAsia="Arial" w:hAnsi="Arial"/>
          <w:sz w:val="16"/>
          <w:szCs w:val="16"/>
          <w:color w:val="auto"/>
        </w:rPr>
        <w:t>. Neither the Company nor any of its subsidiaries nor any director, officer or employee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w:t>
      </w:r>
    </w:p>
    <w:p>
      <w:pPr>
        <w:ind w:right="300" w:firstLine="4"/>
        <w:spacing w:after="0" w:line="281" w:lineRule="auto"/>
        <w:tabs>
          <w:tab w:leader="none" w:pos="26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rFonts w:ascii="Arial" w:cs="Arial" w:eastAsia="Arial" w:hAnsi="Arial"/>
          <w:sz w:val="16"/>
          <w:szCs w:val="16"/>
          <w:color w:val="auto"/>
        </w:rPr>
      </w:pPr>
    </w:p>
    <w:p>
      <w:pPr>
        <w:ind w:right="140" w:firstLine="4"/>
        <w:spacing w:after="0" w:line="252" w:lineRule="auto"/>
        <w:tabs>
          <w:tab w:leader="none" w:pos="3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promoted policies and procedures designed to promote and ensure compliance with all applicable anti-bribery and anti-corruption laws, and, reasonably promptly following the offering pursuant to which this Agreement relates, will institute formal written policies and procedures designed to promote and ensure compliance with all applicable anti-bribery and anti-corruption laws.</w:t>
      </w:r>
    </w:p>
    <w:p>
      <w:pPr>
        <w:spacing w:after="0" w:line="83" w:lineRule="exact"/>
        <w:rPr>
          <w:rFonts w:ascii="Arial" w:cs="Arial" w:eastAsia="Arial" w:hAnsi="Arial"/>
          <w:sz w:val="18"/>
          <w:szCs w:val="18"/>
          <w:color w:val="auto"/>
        </w:rPr>
      </w:pPr>
    </w:p>
    <w:p>
      <w:pPr>
        <w:ind w:firstLine="443"/>
        <w:spacing w:after="0" w:line="276" w:lineRule="auto"/>
        <w:tabs>
          <w:tab w:leader="none" w:pos="783" w:val="left"/>
        </w:tabs>
        <w:numPr>
          <w:ilvl w:val="1"/>
          <w:numId w:val="102"/>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subsidiaries are and have been conducted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74" w:right="259" w:bottom="1440" w:gutter="0" w:footer="0" w:header="0"/>
        </w:sectPr>
      </w:pPr>
    </w:p>
    <w:bookmarkStart w:id="118" w:name="page119"/>
    <w:bookmarkEnd w:id="11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62" w:lineRule="exact"/>
        <w:rPr>
          <w:sz w:val="20"/>
          <w:szCs w:val="20"/>
          <w:color w:val="auto"/>
        </w:rPr>
      </w:pPr>
    </w:p>
    <w:p>
      <w:pPr>
        <w:ind w:firstLine="443"/>
        <w:spacing w:after="0" w:line="286" w:lineRule="auto"/>
        <w:tabs>
          <w:tab w:leader="none" w:pos="703"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its subsidiaries nor any director, officer or employee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of its subsidiaries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nor is the Company, any of its subsidiaries located, organized or resident in a country or territory that is the subject or target of Sanctions, including, without limitation, Cuba, Iran, North Korea, Sudan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63" w:lineRule="exact"/>
        <w:rPr>
          <w:rFonts w:ascii="Arial" w:cs="Arial" w:eastAsia="Arial" w:hAnsi="Arial"/>
          <w:sz w:val="16"/>
          <w:szCs w:val="16"/>
          <w:color w:val="auto"/>
        </w:rPr>
      </w:pPr>
    </w:p>
    <w:p>
      <w:pPr>
        <w:ind w:right="40" w:firstLine="443"/>
        <w:spacing w:after="0" w:line="259" w:lineRule="auto"/>
        <w:tabs>
          <w:tab w:leader="none" w:pos="883"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78" w:lineRule="exact"/>
        <w:rPr>
          <w:rFonts w:ascii="Arial" w:cs="Arial" w:eastAsia="Arial" w:hAnsi="Arial"/>
          <w:sz w:val="18"/>
          <w:szCs w:val="18"/>
          <w:color w:val="auto"/>
        </w:rPr>
      </w:pPr>
    </w:p>
    <w:p>
      <w:pPr>
        <w:ind w:right="240" w:firstLine="443"/>
        <w:spacing w:after="0" w:line="264" w:lineRule="auto"/>
        <w:tabs>
          <w:tab w:leader="none" w:pos="783"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No Broker’s Fees</w:t>
      </w:r>
      <w:r>
        <w:rPr>
          <w:rFonts w:ascii="Arial" w:cs="Arial" w:eastAsia="Arial" w:hAnsi="Arial"/>
          <w:sz w:val="18"/>
          <w:szCs w:val="18"/>
          <w:color w:val="auto"/>
        </w:rPr>
        <w:t>. 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Shares.</w:t>
      </w:r>
    </w:p>
    <w:p>
      <w:pPr>
        <w:spacing w:after="0" w:line="73" w:lineRule="exact"/>
        <w:rPr>
          <w:rFonts w:ascii="Arial" w:cs="Arial" w:eastAsia="Arial" w:hAnsi="Arial"/>
          <w:sz w:val="18"/>
          <w:szCs w:val="18"/>
          <w:color w:val="auto"/>
        </w:rPr>
      </w:pPr>
    </w:p>
    <w:p>
      <w:pPr>
        <w:ind w:right="20" w:firstLine="443"/>
        <w:spacing w:after="0" w:line="286" w:lineRule="auto"/>
        <w:tabs>
          <w:tab w:leader="none" w:pos="783"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Except as described in the Registration Statement, the Pricing Disclosure Package and the Prospectus, no person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 to require the Company or any of its subsidiaries to register any securities for sale under the Securities Act by reason of the filing of the Registration Statement with the Commission or the issuance and sale of the Shares except such rights that have been duly waived.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74" w:right="279" w:bottom="1440" w:gutter="0" w:footer="0" w:header="0"/>
        </w:sectPr>
      </w:pPr>
    </w:p>
    <w:bookmarkStart w:id="119" w:name="page120"/>
    <w:bookmarkEnd w:id="119"/>
    <w:p>
      <w:pPr>
        <w:ind w:right="500" w:firstLine="443"/>
        <w:spacing w:after="0" w:line="308" w:lineRule="auto"/>
        <w:tabs>
          <w:tab w:leader="none" w:pos="783"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Stabilization. </w:t>
      </w:r>
      <w:r>
        <w:rPr>
          <w:rFonts w:ascii="Arial" w:cs="Arial" w:eastAsia="Arial" w:hAnsi="Arial"/>
          <w:sz w:val="17"/>
          <w:szCs w:val="17"/>
          <w:color w:val="auto"/>
        </w:rPr>
        <w:t>The Company, without giving effect to activities by the Underwriters, has not taken, directly or indirectly,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Shares.</w:t>
      </w:r>
    </w:p>
    <w:p>
      <w:pPr>
        <w:spacing w:after="0" w:line="38" w:lineRule="exact"/>
        <w:rPr>
          <w:rFonts w:ascii="Arial" w:cs="Arial" w:eastAsia="Arial" w:hAnsi="Arial"/>
          <w:sz w:val="17"/>
          <w:szCs w:val="17"/>
          <w:color w:val="auto"/>
        </w:rPr>
      </w:pPr>
    </w:p>
    <w:p>
      <w:pPr>
        <w:jc w:val="both"/>
        <w:ind w:right="200" w:firstLine="443"/>
        <w:spacing w:after="0" w:line="264" w:lineRule="auto"/>
        <w:tabs>
          <w:tab w:leader="none" w:pos="783"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The application of the proceeds received by the Company from the issuance, sale and delivery of the Shares as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Pricing Disclosure Package and the Prospectus will not violate Regulation T, U or X of the Board of Governors of the Federal Reserve System or any other regulation of such Board of Governors.</w:t>
      </w:r>
    </w:p>
    <w:p>
      <w:pPr>
        <w:spacing w:after="0" w:line="73" w:lineRule="exact"/>
        <w:rPr>
          <w:rFonts w:ascii="Arial" w:cs="Arial" w:eastAsia="Arial" w:hAnsi="Arial"/>
          <w:sz w:val="18"/>
          <w:szCs w:val="18"/>
          <w:color w:val="auto"/>
        </w:rPr>
      </w:pPr>
    </w:p>
    <w:p>
      <w:pPr>
        <w:ind w:firstLine="443"/>
        <w:spacing w:after="0" w:line="264" w:lineRule="auto"/>
        <w:tabs>
          <w:tab w:leader="none" w:pos="723"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Forward-Looking Statements</w:t>
      </w:r>
      <w:r>
        <w:rPr>
          <w:rFonts w:ascii="Arial" w:cs="Arial" w:eastAsia="Arial" w:hAnsi="Arial"/>
          <w:sz w:val="18"/>
          <w:szCs w:val="18"/>
          <w:color w:val="auto"/>
        </w:rPr>
        <w:t>. 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or incorporated by reference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80" w:firstLine="443"/>
        <w:spacing w:after="0" w:line="264" w:lineRule="auto"/>
        <w:tabs>
          <w:tab w:leader="none" w:pos="743"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Statistical and Market Data</w:t>
      </w:r>
      <w:r>
        <w:rPr>
          <w:rFonts w:ascii="Arial" w:cs="Arial" w:eastAsia="Arial" w:hAnsi="Arial"/>
          <w:sz w:val="18"/>
          <w:szCs w:val="18"/>
          <w:color w:val="auto"/>
        </w:rPr>
        <w:t>. 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or incorporated by reference in the Registration Statement, the Pricing Disclosure Package and the Prospectus are not based on or derived from sources that are reliable and accurate in all material respects.</w:t>
      </w:r>
    </w:p>
    <w:p>
      <w:pPr>
        <w:spacing w:after="0" w:line="73" w:lineRule="exact"/>
        <w:rPr>
          <w:rFonts w:ascii="Arial" w:cs="Arial" w:eastAsia="Arial" w:hAnsi="Arial"/>
          <w:sz w:val="18"/>
          <w:szCs w:val="18"/>
          <w:color w:val="auto"/>
        </w:rPr>
      </w:pPr>
    </w:p>
    <w:p>
      <w:pPr>
        <w:ind w:firstLine="443"/>
        <w:spacing w:after="0" w:line="259" w:lineRule="auto"/>
        <w:tabs>
          <w:tab w:leader="none" w:pos="703"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to the knowledge of the Company, any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officers, in their capacities as such, to comply with any provision of the Sarbanes-Oxley Act of 2002, as amended, and the rules and regulations promulgated in connection therewith (the “Sarbanes-Oxley Act”), including Section 402 related to loans, to the extent compliance is required as of the date of this Agreement.</w:t>
      </w:r>
    </w:p>
    <w:p>
      <w:pPr>
        <w:spacing w:after="0" w:line="78" w:lineRule="exact"/>
        <w:rPr>
          <w:rFonts w:ascii="Arial" w:cs="Arial" w:eastAsia="Arial" w:hAnsi="Arial"/>
          <w:sz w:val="18"/>
          <w:szCs w:val="18"/>
          <w:color w:val="auto"/>
        </w:rPr>
      </w:pPr>
    </w:p>
    <w:p>
      <w:pPr>
        <w:ind w:right="40" w:firstLine="443"/>
        <w:spacing w:after="0" w:line="279" w:lineRule="auto"/>
        <w:tabs>
          <w:tab w:leader="none" w:pos="783"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At the time of filing the Registration Statement and any post-effective amendment thereto, at the earliest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thereafter that the Company or any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w:t>
      </w:r>
    </w:p>
    <w:p>
      <w:pPr>
        <w:spacing w:after="0" w:line="63"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Clinical Trials</w:t>
      </w:r>
      <w:r>
        <w:rPr>
          <w:rFonts w:ascii="Arial" w:cs="Arial" w:eastAsia="Arial" w:hAnsi="Arial"/>
          <w:sz w:val="18"/>
          <w:szCs w:val="18"/>
          <w:color w:val="auto"/>
        </w:rPr>
        <w:t>. The clinical and pre-clinical trials conducted by or, to the knowledge of the Company, on behalf of or sponsored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subsidiaries, or in which the Company or its subsidiaries have participated, that are described in the Registration Statement, the Pricing Disclosure Package and the Prospectus, or the results of which are referred to in the Registration Statement, the Pricing Disclosure Package and the Prospectus, as applicable, were, and if still pending</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120" w:name="page121"/>
    <w:bookmarkEnd w:id="12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FDA and comparable regulatory agencies outside of the United States to which they are subject, including the European Medicines Agency (collectively, the “Regulatory Authorities”), and current Good Clinical Practices and Good Laboratory Practices; the descriptions in the Registration Statement, the Pricing Disclosure Package and the Prospectus of the results of such studies and tests are accurate and complete descriptions in all material respects and fairly present the data derived therefrom; the Company has no knowledge of any other trials not described in the Registration Statement, the Pricing Disclosure Package and the Prospectus, the results of which are inconsistent with or call into question the results described or referred to in the Registration Statement, the Pricing Disclosure Package and the Prospectus; the Company and its subsidiaries have operated at all times and are currently in compliance in all material respects with all applicable statutes, rules and regulations of the Regulatory Authorities; neither the Company nor any of its subsidiaries have received any written notices, correspondence or other communications from the Regulatory Authorities or any other governmental agency requiring or threatening the termination, material modification or suspension of any clinical or pre-clinical trials that are described in the Registration Statement, the Pricing Disclosure Package and the Prospectus or the results of which are referred to in the Registration Statement, the Pricing Disclosure Package and the Prospectus, other than ordinary course communications with respect to modifications in connection with the design and implementation of such trials, and, to the Company’s knowledge, there are no reasonable grounds for the same.</w:t>
      </w:r>
    </w:p>
    <w:p>
      <w:pPr>
        <w:spacing w:after="0" w:line="64" w:lineRule="exact"/>
        <w:rPr>
          <w:sz w:val="20"/>
          <w:szCs w:val="20"/>
          <w:color w:val="auto"/>
        </w:rPr>
      </w:pPr>
    </w:p>
    <w:p>
      <w:pPr>
        <w:ind w:right="60" w:firstLine="443"/>
        <w:spacing w:after="0" w:line="273" w:lineRule="auto"/>
        <w:tabs>
          <w:tab w:leader="none" w:pos="863" w:val="left"/>
        </w:tabs>
        <w:numPr>
          <w:ilvl w:val="1"/>
          <w:numId w:val="105"/>
        </w:numPr>
        <w:rPr>
          <w:rFonts w:ascii="Arial" w:cs="Arial" w:eastAsia="Arial" w:hAnsi="Arial"/>
          <w:sz w:val="17"/>
          <w:szCs w:val="17"/>
          <w:color w:val="auto"/>
        </w:rPr>
      </w:pPr>
      <w:r>
        <w:rPr>
          <w:rFonts w:ascii="Arial" w:cs="Arial" w:eastAsia="Arial" w:hAnsi="Arial"/>
          <w:sz w:val="17"/>
          <w:szCs w:val="17"/>
          <w:i w:val="1"/>
          <w:iCs w:val="1"/>
          <w:color w:val="auto"/>
        </w:rPr>
        <w:t>Regulatory Filings</w:t>
      </w:r>
      <w:r>
        <w:rPr>
          <w:rFonts w:ascii="Arial" w:cs="Arial" w:eastAsia="Arial" w:hAnsi="Arial"/>
          <w:sz w:val="17"/>
          <w:szCs w:val="17"/>
          <w:color w:val="auto"/>
        </w:rPr>
        <w:t>. The Company has not failed to file with the Regulatory Authorities any required material filing, declaration, listing,</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report or submission with respect to the Company’s product candidates that are described or referred to in the Registration Statement, the Pricing Disclosure Package and the Prospectus; all such filings, declarations, listings, registrations, reports or submissions were in material compliance with applicable laws when filed (other than any such instances of non-compliance that were subsequently corrected or amended and accepted by the applicable Regulatory Authority); and no deficiencies regarding compliance with applicable law have been asserted by any applicable Regulatory Authority with respect to any such filings, declarations, listings, registrations, reports or submissions.</w:t>
      </w:r>
    </w:p>
    <w:p>
      <w:pPr>
        <w:spacing w:after="0" w:line="178" w:lineRule="exact"/>
        <w:rPr>
          <w:rFonts w:ascii="Arial" w:cs="Arial" w:eastAsia="Arial" w:hAnsi="Arial"/>
          <w:sz w:val="17"/>
          <w:szCs w:val="17"/>
          <w:color w:val="auto"/>
        </w:rPr>
      </w:pPr>
    </w:p>
    <w:p>
      <w:pPr>
        <w:ind w:left="180" w:hanging="176"/>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jc w:val="both"/>
        <w:ind w:right="40" w:firstLine="443"/>
        <w:spacing w:after="0" w:line="302" w:lineRule="auto"/>
        <w:tabs>
          <w:tab w:leader="none" w:pos="683"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Required Filings</w:t>
      </w:r>
      <w:r>
        <w:rPr>
          <w:rFonts w:ascii="Arial" w:cs="Arial" w:eastAsia="Arial" w:hAnsi="Arial"/>
          <w:sz w:val="16"/>
          <w:szCs w:val="16"/>
          <w:color w:val="auto"/>
        </w:rPr>
        <w:t>. The Company will file the final Prospectus with the Commission within the time periods specified by Rule 424(b) and Rule</w:t>
      </w:r>
      <w:r>
        <w:rPr>
          <w:rFonts w:ascii="Arial" w:cs="Arial" w:eastAsia="Arial" w:hAnsi="Arial"/>
          <w:sz w:val="16"/>
          <w:szCs w:val="16"/>
          <w:i w:val="1"/>
          <w:iCs w:val="1"/>
          <w:color w:val="auto"/>
        </w:rPr>
        <w:t xml:space="preserve"> </w:t>
      </w:r>
      <w:r>
        <w:rPr>
          <w:rFonts w:ascii="Arial" w:cs="Arial" w:eastAsia="Arial" w:hAnsi="Arial"/>
          <w:sz w:val="16"/>
          <w:szCs w:val="16"/>
          <w:color w:val="auto"/>
        </w:rPr>
        <w:t>430A, 430B or 430C under the Securities Act, will file any Issuer Free Writing Prospectus to the extent required by Rule 433 under the Securities Act; and will furnish copies of the Prospectus and each Issuer Free Writing Prospectus (to the extent not previously delivered) to the Underwriters in New York City as soon as is reasonably possible following the date of this Agreement in such quantities as the Representatives may reasonably request.</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121" w:name="page122"/>
    <w:bookmarkEnd w:id="121"/>
    <w:p>
      <w:pPr>
        <w:ind w:firstLine="443"/>
        <w:spacing w:after="0" w:line="271" w:lineRule="auto"/>
        <w:tabs>
          <w:tab w:leader="none" w:pos="693"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Copies</w:t>
      </w:r>
      <w:r>
        <w:rPr>
          <w:rFonts w:ascii="Arial" w:cs="Arial" w:eastAsia="Arial" w:hAnsi="Arial"/>
          <w:sz w:val="17"/>
          <w:szCs w:val="17"/>
          <w:color w:val="auto"/>
        </w:rPr>
        <w:t>. The Company will deliver, without charge, (i) to the Representatives, three copies of the Registration Statement as</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70" w:lineRule="exact"/>
        <w:rPr>
          <w:rFonts w:ascii="Arial" w:cs="Arial" w:eastAsia="Arial" w:hAnsi="Arial"/>
          <w:sz w:val="17"/>
          <w:szCs w:val="17"/>
          <w:color w:val="auto"/>
        </w:rPr>
      </w:pPr>
    </w:p>
    <w:p>
      <w:pPr>
        <w:jc w:val="both"/>
        <w:ind w:right="200" w:firstLine="443"/>
        <w:spacing w:after="0" w:line="257" w:lineRule="auto"/>
        <w:tabs>
          <w:tab w:leader="none" w:pos="683"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Amendments or Supplements, Issuer Free Writing Prospectuses</w:t>
      </w:r>
      <w:r>
        <w:rPr>
          <w:rFonts w:ascii="Arial" w:cs="Arial" w:eastAsia="Arial" w:hAnsi="Arial"/>
          <w:sz w:val="18"/>
          <w:szCs w:val="18"/>
          <w:color w:val="auto"/>
        </w:rPr>
        <w:t>. Before preparing, using, authorizing, approving, referring to or filing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prepare, use, authorize, approve, refer to or file any such Issuer Free Writing Prospectus or file any such proposed amendment or supplement to which the Representatives reasonably object.</w:t>
      </w:r>
    </w:p>
    <w:p>
      <w:pPr>
        <w:spacing w:after="0" w:line="80" w:lineRule="exact"/>
        <w:rPr>
          <w:rFonts w:ascii="Arial" w:cs="Arial" w:eastAsia="Arial" w:hAnsi="Arial"/>
          <w:sz w:val="18"/>
          <w:szCs w:val="18"/>
          <w:color w:val="auto"/>
        </w:rPr>
      </w:pPr>
    </w:p>
    <w:p>
      <w:pPr>
        <w:ind w:right="20" w:firstLine="443"/>
        <w:spacing w:after="0" w:line="268" w:lineRule="auto"/>
        <w:tabs>
          <w:tab w:leader="none" w:pos="693"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Notice to the Representatives</w:t>
      </w:r>
      <w:r>
        <w:rPr>
          <w:rFonts w:ascii="Arial" w:cs="Arial" w:eastAsia="Arial" w:hAnsi="Arial"/>
          <w:sz w:val="17"/>
          <w:szCs w:val="17"/>
          <w:color w:val="auto"/>
        </w:rPr>
        <w:t>. The Company will advise the Representatives promptly, and confirm such advice in writing (which may be by</w:t>
      </w:r>
      <w:r>
        <w:rPr>
          <w:rFonts w:ascii="Arial" w:cs="Arial" w:eastAsia="Arial" w:hAnsi="Arial"/>
          <w:sz w:val="17"/>
          <w:szCs w:val="17"/>
          <w:i w:val="1"/>
          <w:iCs w:val="1"/>
          <w:color w:val="auto"/>
        </w:rPr>
        <w:t xml:space="preserve"> </w:t>
      </w:r>
      <w:r>
        <w:rPr>
          <w:rFonts w:ascii="Arial" w:cs="Arial" w:eastAsia="Arial" w:hAnsi="Arial"/>
          <w:sz w:val="17"/>
          <w:szCs w:val="17"/>
          <w:color w:val="auto"/>
        </w:rPr>
        <w:t>email), (i) when the Registration Statement has become effective; (ii) when any amendment to the Registration Statement has been filed or becomes effective; (iii) when any supplement to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of any order suspending the effectiveness of the Registration Statement or preventing or suspending the use of any Preliminary Prospectus, any of the Pricing Disclosure Package, the Prospectus or any Written Testing-the-Waters Communication or the initiation or, to the Company’s knowledge, threatening of any proceeding for that purpose or pursuant to Section 8A of the Securities Act; (vi) of the occurrence of any event or development within the Prospectus Delivery Period as a result of which the Prospectus,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Written Testing-the-Waters Communication is delivered to a purchaser, not misleading;</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122" w:name="page123"/>
    <w:bookmarkEnd w:id="122"/>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(vii) of the receipt by the Company of any notice with respect to any suspension of the qualification of the Shares for offer and sale in any jurisdiction or the initiation or, to the Company’s knowledge, threatening of any proceeding for such purpose; and the Company will use its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64" w:lineRule="exact"/>
        <w:rPr>
          <w:sz w:val="20"/>
          <w:szCs w:val="20"/>
          <w:color w:val="auto"/>
        </w:rPr>
      </w:pPr>
    </w:p>
    <w:p>
      <w:pPr>
        <w:ind w:firstLine="443"/>
        <w:spacing w:after="0" w:line="285" w:lineRule="auto"/>
        <w:tabs>
          <w:tab w:leader="none" w:pos="683"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Ongoing Compliance</w:t>
      </w:r>
      <w:r>
        <w:rPr>
          <w:rFonts w:ascii="Arial" w:cs="Arial" w:eastAsia="Arial" w:hAnsi="Arial"/>
          <w:sz w:val="16"/>
          <w:szCs w:val="16"/>
          <w:color w:val="auto"/>
        </w:rPr>
        <w:t>. (1) If during the Prospectus Delivery Period (i) any event or development shall occur or condition shall exist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as soon as reasonably possible and in any event within twenty-hour (24) hours,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as soon as reasonably possible and in any event within twenty-hour (24) hours,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283" w:lineRule="exact"/>
        <w:rPr>
          <w:rFonts w:ascii="Arial" w:cs="Arial" w:eastAsia="Arial" w:hAnsi="Arial"/>
          <w:sz w:val="16"/>
          <w:szCs w:val="16"/>
          <w:color w:val="auto"/>
        </w:rPr>
      </w:pPr>
    </w:p>
    <w:p>
      <w:pPr>
        <w:ind w:firstLine="443"/>
        <w:spacing w:after="0" w:line="286" w:lineRule="auto"/>
        <w:tabs>
          <w:tab w:leader="none" w:pos="663"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Blue Sky Compliance</w:t>
      </w:r>
      <w:r>
        <w:rPr>
          <w:rFonts w:ascii="Arial" w:cs="Arial" w:eastAsia="Arial" w:hAnsi="Arial"/>
          <w:sz w:val="17"/>
          <w:szCs w:val="17"/>
          <w:color w:val="auto"/>
        </w:rPr>
        <w:t>. The Company will qualify the Shares for offer and sale under the securities or Blue Sky laws of such jurisdictions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Representatives shall reasonably request and will continue such qualifications in effect so long as required for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 where it would not otherwise be required to so qualify, (ii) file any general consent to service of process in any such jurisdiction or</w:t>
      </w:r>
    </w:p>
    <w:p>
      <w:pPr>
        <w:spacing w:after="0" w:line="35" w:lineRule="exact"/>
        <w:rPr>
          <w:sz w:val="20"/>
          <w:szCs w:val="20"/>
          <w:color w:val="auto"/>
        </w:rPr>
      </w:pPr>
    </w:p>
    <w:p>
      <w:pPr>
        <w:ind w:left="320" w:hanging="316"/>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otherwise so subject.</w:t>
      </w:r>
    </w:p>
    <w:p>
      <w:pPr>
        <w:spacing w:after="0" w:line="102" w:lineRule="exact"/>
        <w:rPr>
          <w:rFonts w:ascii="Arial" w:cs="Arial" w:eastAsia="Arial" w:hAnsi="Arial"/>
          <w:sz w:val="18"/>
          <w:szCs w:val="18"/>
          <w:color w:val="auto"/>
        </w:rPr>
      </w:pPr>
    </w:p>
    <w:p>
      <w:pPr>
        <w:ind w:right="80" w:firstLine="443"/>
        <w:spacing w:after="0" w:line="259" w:lineRule="auto"/>
        <w:tabs>
          <w:tab w:leader="none" w:pos="693"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Earning Statement</w:t>
      </w:r>
      <w:r>
        <w:rPr>
          <w:rFonts w:ascii="Arial" w:cs="Arial" w:eastAsia="Arial" w:hAnsi="Arial"/>
          <w:sz w:val="18"/>
          <w:szCs w:val="18"/>
          <w:color w:val="auto"/>
        </w:rPr>
        <w:t>. 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78" w:lineRule="exact"/>
        <w:rPr>
          <w:rFonts w:ascii="Arial" w:cs="Arial" w:eastAsia="Arial" w:hAnsi="Arial"/>
          <w:sz w:val="18"/>
          <w:szCs w:val="18"/>
          <w:color w:val="auto"/>
        </w:rPr>
      </w:pPr>
    </w:p>
    <w:p>
      <w:pPr>
        <w:ind w:firstLine="443"/>
        <w:spacing w:after="0" w:line="286" w:lineRule="auto"/>
        <w:tabs>
          <w:tab w:leader="none" w:pos="693"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Clear Market</w:t>
      </w:r>
      <w:r>
        <w:rPr>
          <w:rFonts w:ascii="Arial" w:cs="Arial" w:eastAsia="Arial" w:hAnsi="Arial"/>
          <w:sz w:val="16"/>
          <w:szCs w:val="16"/>
          <w:color w:val="auto"/>
        </w:rPr>
        <w:t>. For a period of 90 days after the date of the Prospectus, the Company will not (i) offer, pledge, sell, contract to sell, sell any</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Stock or any securities convertible into or exercisable or exchangeable for Stock, or publicly disclose the intention to make any offer, sale, pledge, disposition or filing, or</w:t>
      </w:r>
    </w:p>
    <w:p>
      <w:pPr>
        <w:spacing w:after="0" w:line="1" w:lineRule="exact"/>
        <w:rPr>
          <w:rFonts w:ascii="Arial" w:cs="Arial" w:eastAsia="Arial" w:hAnsi="Arial"/>
          <w:sz w:val="16"/>
          <w:szCs w:val="16"/>
          <w:color w:val="auto"/>
        </w:rPr>
      </w:pPr>
    </w:p>
    <w:p>
      <w:pPr>
        <w:ind w:right="20" w:firstLine="4"/>
        <w:spacing w:after="0" w:line="266" w:lineRule="auto"/>
        <w:tabs>
          <w:tab w:leader="none" w:pos="26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and Credit Suisse Securities (USA) LLC, other than (A) the Shares to be sold hereunder, (B) any shares of Stock of the Company issued upon the exercise of options granted under Company Stock Plans described in the Registration Statement, the Pricing Disclosure Package and the Prospectus, provided, that the Company shall cause each recipient of such issuance to execute and deliver to J.P. Morgan Securities LLC and Credit Suisse Securities (USA) LLC an agreement substantially in the form of Exhibit A hereto if such recipient has not already delivered one, (C) any options and other awards granted under Company Stock Plans described in the Registration Statement, the Pricing Disclosure Package and the Prospectus, provided, that the Company shall cause each recipient of such grant to execute and deliver to J.P. Morgan Securities LLC and Credit Suisse Securities (USA) LLC an agreement substantially in the form of Exhibit A hereto if such recipient has not already delivered one, (D) the filing by the Company of any registration statement on Form S-8 or a successor form thereto relating to the shares of Stock granted pursuant to or reserved for issuance under Company Stock Plans described in the Registration Statement, the Pricing Disclosure Package and the Prospectus, (E) the issuance of shares of Stock of the Company or other securities (including securities convertible into or exchangeable or exercisable for Stock or other securities) in connection with the acquisition by the Company or any of its subsidiaries of the securities, business, properties or other assets of another person or entity or pursuant to any employee benefit plan assumed by the Company or any of its subsidiaries in connection with any such acquisition, and (F) the issuance of shares of Stock of the Company or other securities (including securities convertible into or exchangeable or exercisable for Stock or other securities) in connection with joint ventures, commercial relationships or other strategic transactions;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74" w:right="239" w:bottom="1440" w:gutter="0" w:footer="0" w:header="0"/>
        </w:sectPr>
      </w:pPr>
    </w:p>
    <w:bookmarkStart w:id="124" w:name="page125"/>
    <w:bookmarkEnd w:id="124"/>
    <w:p>
      <w:pPr>
        <w:ind w:right="40"/>
        <w:spacing w:after="0" w:line="29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w:t>
      </w:r>
      <w:r>
        <w:rPr>
          <w:rFonts w:ascii="Arial" w:cs="Arial" w:eastAsia="Arial" w:hAnsi="Arial"/>
          <w:sz w:val="16"/>
          <w:szCs w:val="16"/>
          <w:color w:val="auto"/>
        </w:rPr>
        <w:t>, in the case of clauses (E) and (F), (i) the aggregate number of shares of Stock of the Company or other securities (including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into or exchangeable or exercisable for Stock or other securities) issued in all such acquisitions and transactions, on an as-converted, as-exchanged and as-exercised basis, does not exceed 5% of the outstanding Stock of the Company following the issuance and sale of the Shares to be sold hereunder and (ii) the Company shall cause each recipient of such issuance to execute and deliver to J.P. Morgan Securities LLC and Credit Suisse Securities (USA) LLC an agreement substantially in the form of Exhibit A hereto if such recipient has not already delivered one.</w:t>
      </w:r>
    </w:p>
    <w:p>
      <w:pPr>
        <w:spacing w:after="0" w:line="50" w:lineRule="exact"/>
        <w:rPr>
          <w:sz w:val="20"/>
          <w:szCs w:val="20"/>
          <w:color w:val="auto"/>
        </w:rPr>
      </w:pPr>
    </w:p>
    <w:p>
      <w:pPr>
        <w:ind w:right="100" w:firstLine="443"/>
        <w:spacing w:after="0" w:line="277" w:lineRule="auto"/>
        <w:tabs>
          <w:tab w:leader="none" w:pos="653"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Shares as described in the Registration Statement,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under the heading “Use of proceeds.”</w:t>
      </w:r>
    </w:p>
    <w:p>
      <w:pPr>
        <w:spacing w:after="0" w:line="62" w:lineRule="exact"/>
        <w:rPr>
          <w:rFonts w:ascii="Arial" w:cs="Arial" w:eastAsia="Arial" w:hAnsi="Arial"/>
          <w:sz w:val="18"/>
          <w:szCs w:val="18"/>
          <w:color w:val="auto"/>
        </w:rPr>
      </w:pPr>
    </w:p>
    <w:p>
      <w:pPr>
        <w:ind w:right="660" w:firstLine="443"/>
        <w:spacing w:after="0" w:line="308" w:lineRule="auto"/>
        <w:tabs>
          <w:tab w:leader="none" w:pos="653" w:val="left"/>
        </w:tabs>
        <w:numPr>
          <w:ilvl w:val="1"/>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Company will not, without giving effect to activities by the Underwriters, take, directly or indirectly,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Stock.</w:t>
      </w:r>
    </w:p>
    <w:p>
      <w:pPr>
        <w:spacing w:after="0" w:line="38" w:lineRule="exact"/>
        <w:rPr>
          <w:rFonts w:ascii="Arial" w:cs="Arial" w:eastAsia="Arial" w:hAnsi="Arial"/>
          <w:sz w:val="17"/>
          <w:szCs w:val="17"/>
          <w:color w:val="auto"/>
        </w:rPr>
      </w:pPr>
    </w:p>
    <w:p>
      <w:pPr>
        <w:ind w:right="160" w:firstLine="443"/>
        <w:spacing w:after="0" w:line="277" w:lineRule="auto"/>
        <w:tabs>
          <w:tab w:leader="none" w:pos="693"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 Company will use its best efforts to list, subject to notice of issuance, the Shares on the Nasdaq Global Market Stock</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(the “Exchange”).</w:t>
      </w:r>
    </w:p>
    <w:p>
      <w:pPr>
        <w:spacing w:after="0" w:line="62" w:lineRule="exact"/>
        <w:rPr>
          <w:rFonts w:ascii="Arial" w:cs="Arial" w:eastAsia="Arial" w:hAnsi="Arial"/>
          <w:sz w:val="18"/>
          <w:szCs w:val="18"/>
          <w:color w:val="auto"/>
        </w:rPr>
      </w:pPr>
    </w:p>
    <w:p>
      <w:pPr>
        <w:ind w:right="120" w:firstLine="443"/>
        <w:spacing w:after="0" w:line="276" w:lineRule="auto"/>
        <w:tabs>
          <w:tab w:leader="none" w:pos="653" w:val="left"/>
        </w:tabs>
        <w:numPr>
          <w:ilvl w:val="1"/>
          <w:numId w:val="111"/>
        </w:numPr>
        <w:rPr>
          <w:rFonts w:ascii="Arial" w:cs="Arial" w:eastAsia="Arial" w:hAnsi="Arial"/>
          <w:sz w:val="17"/>
          <w:szCs w:val="17"/>
          <w:color w:val="auto"/>
        </w:rPr>
      </w:pPr>
      <w:r>
        <w:rPr>
          <w:rFonts w:ascii="Arial" w:cs="Arial" w:eastAsia="Arial" w:hAnsi="Arial"/>
          <w:sz w:val="17"/>
          <w:szCs w:val="17"/>
          <w:i w:val="1"/>
          <w:iCs w:val="1"/>
          <w:color w:val="auto"/>
        </w:rPr>
        <w:t>Reports</w:t>
      </w:r>
      <w:r>
        <w:rPr>
          <w:rFonts w:ascii="Arial" w:cs="Arial" w:eastAsia="Arial" w:hAnsi="Arial"/>
          <w:sz w:val="17"/>
          <w:szCs w:val="17"/>
          <w:color w:val="auto"/>
        </w:rPr>
        <w:t>. During a period of three years from the date of this Agreement, the Company will furnish to the Representatives, as soon as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commercially reasonable after the date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will be deemed to have furnished such reports and financial statements to the Representatives to the extent they are filed on the Commission’s Electronic Data Gathering, Analysis, and Retrieval system.</w:t>
      </w:r>
    </w:p>
    <w:p>
      <w:pPr>
        <w:spacing w:after="0" w:line="64" w:lineRule="exact"/>
        <w:rPr>
          <w:rFonts w:ascii="Arial" w:cs="Arial" w:eastAsia="Arial" w:hAnsi="Arial"/>
          <w:sz w:val="17"/>
          <w:szCs w:val="17"/>
          <w:color w:val="auto"/>
        </w:rPr>
      </w:pPr>
    </w:p>
    <w:p>
      <w:pPr>
        <w:ind w:right="200" w:firstLine="443"/>
        <w:spacing w:after="0" w:line="277" w:lineRule="auto"/>
        <w:tabs>
          <w:tab w:leader="none" w:pos="743"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62" w:lineRule="exact"/>
        <w:rPr>
          <w:rFonts w:ascii="Arial" w:cs="Arial" w:eastAsia="Arial" w:hAnsi="Arial"/>
          <w:sz w:val="18"/>
          <w:szCs w:val="18"/>
          <w:color w:val="auto"/>
        </w:rPr>
      </w:pPr>
    </w:p>
    <w:p>
      <w:pPr>
        <w:ind w:right="20" w:firstLine="443"/>
        <w:spacing w:after="0" w:line="264" w:lineRule="auto"/>
        <w:tabs>
          <w:tab w:leader="none" w:pos="693"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Shares within the meaning of the Securities Act and (ii) completion of the 90-day restricted period referred to in Section 4(h) hereof.</w:t>
      </w:r>
    </w:p>
    <w:p>
      <w:pPr>
        <w:spacing w:after="0" w:line="181" w:lineRule="exact"/>
        <w:rPr>
          <w:rFonts w:ascii="Arial" w:cs="Arial" w:eastAsia="Arial" w:hAnsi="Arial"/>
          <w:sz w:val="18"/>
          <w:szCs w:val="18"/>
          <w:color w:val="auto"/>
        </w:rPr>
      </w:pPr>
    </w:p>
    <w:p>
      <w:pPr>
        <w:ind w:left="180" w:hanging="176"/>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680" w:hanging="237"/>
        <w:spacing w:after="0"/>
        <w:tabs>
          <w:tab w:leader="none" w:pos="6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It has not used, authorized use of, referred to or participated in the planning for use of, and will not use, authorize use of, refer to or participate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125" w:name="page126"/>
    <w:bookmarkEnd w:id="125"/>
    <w:p>
      <w:pPr>
        <w:ind w:left="4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w:t>
      </w:r>
    </w:p>
    <w:p>
      <w:pPr>
        <w:spacing w:after="0" w:line="2" w:lineRule="exact"/>
        <w:rPr>
          <w:sz w:val="20"/>
          <w:szCs w:val="20"/>
          <w:color w:val="auto"/>
        </w:rPr>
      </w:pPr>
    </w:p>
    <w:p>
      <w:pPr>
        <w:ind w:left="400" w:right="120" w:firstLine="4"/>
        <w:spacing w:after="0" w:line="261" w:lineRule="auto"/>
        <w:tabs>
          <w:tab w:leader="none" w:pos="7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free writing prospectus prepared by such underwriter and approved by the Company in advance in writing (each such free writing prospectus referred to in clauses (i) or (iii), an “Underwriter Free Writing Prospectus”).</w:t>
      </w:r>
    </w:p>
    <w:p>
      <w:pPr>
        <w:spacing w:after="0" w:line="75" w:lineRule="exact"/>
        <w:rPr>
          <w:rFonts w:ascii="Arial" w:cs="Arial" w:eastAsia="Arial" w:hAnsi="Arial"/>
          <w:sz w:val="18"/>
          <w:szCs w:val="18"/>
          <w:color w:val="auto"/>
        </w:rPr>
      </w:pPr>
    </w:p>
    <w:p>
      <w:pPr>
        <w:ind w:left="400" w:right="20" w:firstLine="443"/>
        <w:spacing w:after="0" w:line="257" w:lineRule="auto"/>
        <w:tabs>
          <w:tab w:leader="none" w:pos="109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Underwriters may use a term sheet substantially in the form of Annex C hereto without the consent of the Company;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80" w:lineRule="exact"/>
        <w:rPr>
          <w:rFonts w:ascii="Arial" w:cs="Arial" w:eastAsia="Arial" w:hAnsi="Arial"/>
          <w:sz w:val="18"/>
          <w:szCs w:val="18"/>
          <w:color w:val="auto"/>
        </w:rPr>
      </w:pPr>
    </w:p>
    <w:p>
      <w:pPr>
        <w:ind w:left="400" w:right="200" w:firstLine="443"/>
        <w:spacing w:after="0" w:line="277" w:lineRule="auto"/>
        <w:tabs>
          <w:tab w:leader="none" w:pos="108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sz w:val="20"/>
          <w:szCs w:val="20"/>
          <w:color w:val="auto"/>
        </w:rPr>
      </w:pPr>
    </w:p>
    <w:p>
      <w:pPr>
        <w:ind w:left="-60" w:firstLine="464"/>
        <w:spacing w:after="0" w:line="264" w:lineRule="auto"/>
        <w:tabs>
          <w:tab w:leader="none" w:pos="57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400" w:right="20" w:firstLine="443"/>
        <w:spacing w:after="0" w:line="276" w:lineRule="auto"/>
        <w:tabs>
          <w:tab w:leader="none" w:pos="1083" w:val="left"/>
        </w:tabs>
        <w:numPr>
          <w:ilvl w:val="1"/>
          <w:numId w:val="114"/>
        </w:numPr>
        <w:rPr>
          <w:rFonts w:ascii="Arial" w:cs="Arial" w:eastAsia="Arial" w:hAnsi="Arial"/>
          <w:sz w:val="17"/>
          <w:szCs w:val="17"/>
          <w:color w:val="auto"/>
        </w:rPr>
      </w:pPr>
      <w:r>
        <w:rPr>
          <w:rFonts w:ascii="Arial" w:cs="Arial" w:eastAsia="Arial" w:hAnsi="Arial"/>
          <w:sz w:val="17"/>
          <w:szCs w:val="17"/>
          <w:i w:val="1"/>
          <w:iCs w:val="1"/>
          <w:color w:val="auto"/>
        </w:rPr>
        <w:t>Registration Compliance</w:t>
      </w:r>
      <w:r>
        <w:rPr>
          <w:rFonts w:ascii="Arial" w:cs="Arial" w:eastAsia="Arial" w:hAnsi="Arial"/>
          <w:sz w:val="17"/>
          <w:szCs w:val="17"/>
          <w:color w:val="auto"/>
        </w:rPr>
        <w:t>; No Stop Order. 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64" w:lineRule="exact"/>
        <w:rPr>
          <w:rFonts w:ascii="Arial" w:cs="Arial" w:eastAsia="Arial" w:hAnsi="Arial"/>
          <w:sz w:val="17"/>
          <w:szCs w:val="17"/>
          <w:color w:val="auto"/>
        </w:rPr>
      </w:pPr>
    </w:p>
    <w:p>
      <w:pPr>
        <w:ind w:left="400" w:right="80" w:firstLine="443"/>
        <w:spacing w:after="0" w:line="259" w:lineRule="auto"/>
        <w:tabs>
          <w:tab w:leader="none" w:pos="1093" w:val="left"/>
        </w:tabs>
        <w:numPr>
          <w:ilvl w:val="1"/>
          <w:numId w:val="114"/>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of the Company contained herein shall be true and correct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300" w:top="274" w:right="299" w:bottom="1440" w:gutter="0" w:footer="0" w:header="0"/>
        </w:sectPr>
      </w:pPr>
    </w:p>
    <w:bookmarkStart w:id="126" w:name="page127"/>
    <w:bookmarkEnd w:id="126"/>
    <w:p>
      <w:pPr>
        <w:ind w:right="20" w:firstLine="443"/>
        <w:spacing w:after="0" w:line="255" w:lineRule="auto"/>
        <w:tabs>
          <w:tab w:leader="none" w:pos="683"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Downgrade</w:t>
      </w:r>
      <w:r>
        <w:rPr>
          <w:rFonts w:ascii="Arial" w:cs="Arial" w:eastAsia="Arial" w:hAnsi="Arial"/>
          <w:sz w:val="18"/>
          <w:szCs w:val="18"/>
          <w:color w:val="auto"/>
        </w:rPr>
        <w:t>. Subsequent to the earlier of (A) the Applicable Time and (B) the execution and delivery of this Agreement, if there are any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firstLine="443"/>
        <w:spacing w:after="0" w:line="276" w:lineRule="auto"/>
        <w:tabs>
          <w:tab w:leader="none" w:pos="693"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No event or condition of a type described in Section 3(i) hereof shall have occurred or shall exist, which event</w:t>
      </w:r>
      <w:r>
        <w:rPr>
          <w:rFonts w:ascii="Arial" w:cs="Arial" w:eastAsia="Arial" w:hAnsi="Arial"/>
          <w:sz w:val="17"/>
          <w:szCs w:val="17"/>
          <w:i w:val="1"/>
          <w:iCs w:val="1"/>
          <w:color w:val="auto"/>
        </w:rPr>
        <w:t xml:space="preserve"> </w:t>
      </w:r>
      <w:r>
        <w:rPr>
          <w:rFonts w:ascii="Arial" w:cs="Arial" w:eastAsia="Arial" w:hAnsi="Arial"/>
          <w:sz w:val="17"/>
          <w:szCs w:val="17"/>
          <w:color w:val="auto"/>
        </w:rPr>
        <w:t>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right="180" w:firstLine="443"/>
        <w:spacing w:after="0" w:line="286" w:lineRule="auto"/>
        <w:tabs>
          <w:tab w:leader="none" w:pos="683" w:val="left"/>
        </w:tabs>
        <w:numPr>
          <w:ilvl w:val="1"/>
          <w:numId w:val="115"/>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Representatives shall have received on and as of the Closing Date or the Additional Closing Date, as the case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w:t>
      </w:r>
    </w:p>
    <w:p>
      <w:pPr>
        <w:spacing w:after="0" w:line="1" w:lineRule="exact"/>
        <w:rPr>
          <w:rFonts w:ascii="Arial" w:cs="Arial" w:eastAsia="Arial" w:hAnsi="Arial"/>
          <w:sz w:val="16"/>
          <w:szCs w:val="16"/>
          <w:color w:val="auto"/>
        </w:rPr>
      </w:pPr>
    </w:p>
    <w:p>
      <w:pPr>
        <w:ind w:right="40" w:firstLine="4"/>
        <w:spacing w:after="0" w:line="255" w:lineRule="auto"/>
        <w:tabs>
          <w:tab w:leader="none" w:pos="2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(c) and (d) above.</w:t>
      </w:r>
    </w:p>
    <w:p>
      <w:pPr>
        <w:spacing w:after="0" w:line="82" w:lineRule="exact"/>
        <w:rPr>
          <w:rFonts w:ascii="Arial" w:cs="Arial" w:eastAsia="Arial" w:hAnsi="Arial"/>
          <w:sz w:val="18"/>
          <w:szCs w:val="18"/>
          <w:color w:val="auto"/>
        </w:rPr>
      </w:pPr>
    </w:p>
    <w:p>
      <w:pPr>
        <w:ind w:right="40" w:firstLine="443"/>
        <w:spacing w:after="0" w:line="272" w:lineRule="auto"/>
        <w:tabs>
          <w:tab w:leader="none" w:pos="663"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Comfort Letters</w:t>
      </w:r>
      <w:r>
        <w:rPr>
          <w:rFonts w:ascii="Arial" w:cs="Arial" w:eastAsia="Arial" w:hAnsi="Arial"/>
          <w:sz w:val="17"/>
          <w:szCs w:val="17"/>
          <w:color w:val="auto"/>
        </w:rPr>
        <w:t>. On the date of this Agreement and on the Closing Date or the Additional Closing Date, as the case may be, Ernst &amp; Young</w:t>
      </w:r>
      <w:r>
        <w:rPr>
          <w:rFonts w:ascii="Arial" w:cs="Arial" w:eastAsia="Arial" w:hAnsi="Arial"/>
          <w:sz w:val="17"/>
          <w:szCs w:val="17"/>
          <w:i w:val="1"/>
          <w:iCs w:val="1"/>
          <w:color w:val="auto"/>
        </w:rPr>
        <w:t xml:space="preserve"> </w:t>
      </w:r>
      <w:r>
        <w:rPr>
          <w:rFonts w:ascii="Arial" w:cs="Arial" w:eastAsia="Arial" w:hAnsi="Arial"/>
          <w:sz w:val="17"/>
          <w:szCs w:val="17"/>
          <w:color w:val="auto"/>
        </w:rPr>
        <w:t>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74" w:right="259" w:bottom="1440" w:gutter="0" w:footer="0" w:header="0"/>
        </w:sectPr>
      </w:pPr>
    </w:p>
    <w:bookmarkStart w:id="127" w:name="page128"/>
    <w:bookmarkEnd w:id="127"/>
    <w:p>
      <w:pPr>
        <w:ind w:right="60" w:firstLine="443"/>
        <w:spacing w:after="0" w:line="255" w:lineRule="auto"/>
        <w:tabs>
          <w:tab w:leader="none" w:pos="693"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 and Negative Assurance Letter of Counsel for the Company</w:t>
      </w:r>
      <w:r>
        <w:rPr>
          <w:rFonts w:ascii="Arial" w:cs="Arial" w:eastAsia="Arial" w:hAnsi="Arial"/>
          <w:sz w:val="18"/>
          <w:szCs w:val="18"/>
          <w:color w:val="auto"/>
        </w:rPr>
        <w:t>. (i) Latham &amp; Watkins LLP, counsel for the Company,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Representatives, at the request of the Company, their written opinion and negative assurance letter, each, dated the Closing Date or the Additional Closing Date, as the case may be, and addressed to the Underwriters, in form and substance reasonably satisfactory to the Representatives, and (ii) Matthew Hooper, in his capacity as General Counsel to the Company, shall have furnished to the Representatives, his written opinion dated the Closing Date or the Additional Closing Date, as the case may be, and addressed to the Underwriters, in form and substance reasonably satisfactory to the Representatives.</w:t>
      </w:r>
    </w:p>
    <w:p>
      <w:pPr>
        <w:spacing w:after="0" w:line="85" w:lineRule="exact"/>
        <w:rPr>
          <w:rFonts w:ascii="Arial" w:cs="Arial" w:eastAsia="Arial" w:hAnsi="Arial"/>
          <w:sz w:val="18"/>
          <w:szCs w:val="18"/>
          <w:color w:val="auto"/>
        </w:rPr>
      </w:pPr>
    </w:p>
    <w:p>
      <w:pPr>
        <w:ind w:right="140" w:firstLine="443"/>
        <w:spacing w:after="0" w:line="259" w:lineRule="auto"/>
        <w:tabs>
          <w:tab w:leader="none" w:pos="693"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Opinion and 10b-5 Statement of Counsel for the Underwriters</w:t>
      </w:r>
      <w:r>
        <w:rPr>
          <w:rFonts w:ascii="Arial" w:cs="Arial" w:eastAsia="Arial" w:hAnsi="Arial"/>
          <w:sz w:val="18"/>
          <w:szCs w:val="18"/>
          <w:color w:val="auto"/>
        </w:rPr>
        <w:t>. 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78" w:lineRule="exact"/>
        <w:rPr>
          <w:rFonts w:ascii="Arial" w:cs="Arial" w:eastAsia="Arial" w:hAnsi="Arial"/>
          <w:sz w:val="18"/>
          <w:szCs w:val="18"/>
          <w:color w:val="auto"/>
        </w:rPr>
      </w:pPr>
    </w:p>
    <w:p>
      <w:pPr>
        <w:ind w:right="20" w:firstLine="443"/>
        <w:spacing w:after="0" w:line="302" w:lineRule="auto"/>
        <w:tabs>
          <w:tab w:leader="none" w:pos="653"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No Legal Impediment to Issuance</w:t>
      </w:r>
      <w:r>
        <w:rPr>
          <w:rFonts w:ascii="Arial" w:cs="Arial" w:eastAsia="Arial" w:hAnsi="Arial"/>
          <w:sz w:val="16"/>
          <w:szCs w:val="16"/>
          <w:color w:val="auto"/>
        </w:rPr>
        <w:t>. No action shall have been taken and no statute, rule, regulation or order shall have been enacted, adopted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46" w:lineRule="exact"/>
        <w:rPr>
          <w:rFonts w:ascii="Arial" w:cs="Arial" w:eastAsia="Arial" w:hAnsi="Arial"/>
          <w:sz w:val="16"/>
          <w:szCs w:val="16"/>
          <w:color w:val="auto"/>
        </w:rPr>
      </w:pPr>
    </w:p>
    <w:p>
      <w:pPr>
        <w:ind w:right="140" w:firstLine="443"/>
        <w:spacing w:after="0" w:line="259" w:lineRule="auto"/>
        <w:tabs>
          <w:tab w:leader="none" w:pos="653"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evidence of the good standing of the Company and its subsidiaries in their respective jurisdictions of organization and their good standing as a foreign entity in such other jurisdictions as the Representatives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right="600" w:firstLine="443"/>
        <w:spacing w:after="0" w:line="277" w:lineRule="auto"/>
        <w:tabs>
          <w:tab w:leader="none" w:pos="693"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Exchange, subject to official notice of issuance.</w:t>
      </w:r>
    </w:p>
    <w:p>
      <w:pPr>
        <w:spacing w:after="0" w:line="62" w:lineRule="exact"/>
        <w:rPr>
          <w:rFonts w:ascii="Arial" w:cs="Arial" w:eastAsia="Arial" w:hAnsi="Arial"/>
          <w:sz w:val="18"/>
          <w:szCs w:val="18"/>
          <w:color w:val="auto"/>
        </w:rPr>
      </w:pPr>
    </w:p>
    <w:p>
      <w:pPr>
        <w:ind w:right="260" w:firstLine="443"/>
        <w:spacing w:after="0" w:line="259" w:lineRule="auto"/>
        <w:tabs>
          <w:tab w:leader="none" w:pos="653"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 hereto, between you and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directors of the Company and certain stockholders of the Company listed on Annex D hereto relating to sales and certain other dispositions of shares of Stock or certain other securities, delivered to you on or before the date hereof, shall be in full force and effect on the Closing Date or Additional Closing Date, as the case may be.</w:t>
      </w:r>
    </w:p>
    <w:p>
      <w:pPr>
        <w:spacing w:after="0" w:line="78" w:lineRule="exact"/>
        <w:rPr>
          <w:rFonts w:ascii="Arial" w:cs="Arial" w:eastAsia="Arial" w:hAnsi="Arial"/>
          <w:sz w:val="18"/>
          <w:szCs w:val="18"/>
          <w:color w:val="auto"/>
        </w:rPr>
      </w:pPr>
    </w:p>
    <w:p>
      <w:pPr>
        <w:ind w:firstLine="443"/>
        <w:spacing w:after="0" w:line="277" w:lineRule="auto"/>
        <w:tabs>
          <w:tab w:leader="none" w:pos="743"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74" w:right="259" w:bottom="1440" w:gutter="0" w:footer="0" w:header="0"/>
        </w:sectPr>
      </w:pPr>
    </w:p>
    <w:bookmarkStart w:id="128" w:name="page129"/>
    <w:bookmarkEnd w:id="128"/>
    <w:p>
      <w:pPr>
        <w:ind w:right="7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8" w:lineRule="auto"/>
        <w:tabs>
          <w:tab w:leader="none" w:pos="701"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Indemnification of the Underwriters</w:t>
      </w:r>
      <w:r>
        <w:rPr>
          <w:rFonts w:ascii="Arial" w:cs="Arial" w:eastAsia="Arial" w:hAnsi="Arial"/>
          <w:sz w:val="17"/>
          <w:szCs w:val="17"/>
          <w:color w:val="auto"/>
        </w:rPr>
        <w:t>. The Company agrees to indemnify and hold harmless each Underwriter, its affiliates, agents,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83" w:lineRule="exact"/>
        <w:rPr>
          <w:rFonts w:ascii="Arial" w:cs="Arial" w:eastAsia="Arial" w:hAnsi="Arial"/>
          <w:sz w:val="17"/>
          <w:szCs w:val="17"/>
          <w:color w:val="auto"/>
        </w:rPr>
      </w:pPr>
    </w:p>
    <w:p>
      <w:pPr>
        <w:ind w:right="60" w:firstLine="464"/>
        <w:spacing w:after="0" w:line="253"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Indemnification of the Company</w:t>
      </w:r>
      <w:r>
        <w:rPr>
          <w:rFonts w:ascii="Arial" w:cs="Arial" w:eastAsia="Arial" w:hAnsi="Arial"/>
          <w:sz w:val="18"/>
          <w:szCs w:val="18"/>
          <w:color w:val="auto"/>
        </w:rPr>
        <w:t>. Each Underwriter agrees, severally and not jointly, to indemnify and hold harmless the Company, its directors, its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129" w:name="page130"/>
    <w:bookmarkEnd w:id="129"/>
    <w:p>
      <w:pPr>
        <w:ind w:firstLine="464"/>
        <w:spacing w:after="0" w:line="284" w:lineRule="auto"/>
        <w:tabs>
          <w:tab w:leader="none" w:pos="701"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fees and expenses of such counsel related to such proceeding, as incurred. In any such proceeding, any Indemnified Person shall have the right to retain its own counsel, but the reasonable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agents,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30" w:name="page131"/>
    <w:bookmarkEnd w:id="13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9" w:lineRule="exact"/>
        <w:rPr>
          <w:sz w:val="20"/>
          <w:szCs w:val="20"/>
          <w:color w:val="auto"/>
        </w:rPr>
      </w:pPr>
    </w:p>
    <w:p>
      <w:pPr>
        <w:ind w:right="40" w:firstLine="464"/>
        <w:spacing w:after="0" w:line="268" w:lineRule="auto"/>
        <w:tabs>
          <w:tab w:leader="none" w:pos="711" w:val="left"/>
        </w:tabs>
        <w:numPr>
          <w:ilvl w:val="1"/>
          <w:numId w:val="121"/>
        </w:numPr>
        <w:rPr>
          <w:rFonts w:ascii="Arial" w:cs="Arial" w:eastAsia="Arial" w:hAnsi="Arial"/>
          <w:sz w:val="17"/>
          <w:szCs w:val="17"/>
          <w:color w:val="auto"/>
        </w:rPr>
      </w:pPr>
      <w:r>
        <w:rPr>
          <w:rFonts w:ascii="Arial" w:cs="Arial" w:eastAsia="Arial" w:hAnsi="Arial"/>
          <w:sz w:val="17"/>
          <w:szCs w:val="17"/>
          <w:i w:val="1"/>
          <w:iCs w:val="1"/>
          <w:color w:val="auto"/>
        </w:rPr>
        <w:t>Contribution</w:t>
      </w:r>
      <w:r>
        <w:rPr>
          <w:rFonts w:ascii="Arial" w:cs="Arial" w:eastAsia="Arial" w:hAnsi="Arial"/>
          <w:sz w:val="17"/>
          <w:szCs w:val="17"/>
          <w:color w:val="auto"/>
        </w:rPr>
        <w:t>. 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rFonts w:ascii="Arial" w:cs="Arial" w:eastAsia="Arial" w:hAnsi="Arial"/>
          <w:sz w:val="17"/>
          <w:szCs w:val="17"/>
          <w:color w:val="auto"/>
        </w:rPr>
      </w:pPr>
    </w:p>
    <w:p>
      <w:pPr>
        <w:ind w:left="700" w:hanging="236"/>
        <w:spacing w:after="0"/>
        <w:tabs>
          <w:tab w:leader="none" w:pos="700" w:val="left"/>
        </w:tabs>
        <w:numPr>
          <w:ilvl w:val="1"/>
          <w:numId w:val="121"/>
        </w:numPr>
        <w:rPr>
          <w:rFonts w:ascii="Arial" w:cs="Arial" w:eastAsia="Arial" w:hAnsi="Arial"/>
          <w:sz w:val="17"/>
          <w:szCs w:val="17"/>
          <w:color w:val="auto"/>
        </w:rPr>
      </w:pPr>
      <w:r>
        <w:rPr>
          <w:rFonts w:ascii="Arial" w:cs="Arial" w:eastAsia="Arial" w:hAnsi="Arial"/>
          <w:sz w:val="17"/>
          <w:szCs w:val="17"/>
          <w:i w:val="1"/>
          <w:iCs w:val="1"/>
          <w:color w:val="auto"/>
        </w:rPr>
        <w:t>Limitation on Liability</w:t>
      </w:r>
      <w:r>
        <w:rPr>
          <w:rFonts w:ascii="Arial" w:cs="Arial" w:eastAsia="Arial" w:hAnsi="Arial"/>
          <w:sz w:val="17"/>
          <w:szCs w:val="17"/>
          <w:color w:val="auto"/>
        </w:rPr>
        <w:t>. 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right="20" w:firstLine="8"/>
        <w:spacing w:after="0" w:line="253" w:lineRule="auto"/>
        <w:tabs>
          <w:tab w:leader="none" w:pos="2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above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paragraphs (d) and (e), in no event shall an Underwriter be required to contribute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31" w:name="page132"/>
    <w:bookmarkEnd w:id="13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w:t>
      </w:r>
    </w:p>
    <w:p>
      <w:pPr>
        <w:spacing w:after="0" w:line="2"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and (e) are several in proportion to their respective purchase obligations hereunder and not joint.</w:t>
      </w:r>
    </w:p>
    <w:p>
      <w:pPr>
        <w:spacing w:after="0" w:line="210" w:lineRule="exact"/>
        <w:rPr>
          <w:rFonts w:ascii="Arial" w:cs="Arial" w:eastAsia="Arial" w:hAnsi="Arial"/>
          <w:sz w:val="18"/>
          <w:szCs w:val="18"/>
          <w:color w:val="auto"/>
        </w:rPr>
      </w:pPr>
    </w:p>
    <w:p>
      <w:pPr>
        <w:ind w:right="580" w:firstLine="464"/>
        <w:spacing w:after="0" w:line="277" w:lineRule="auto"/>
        <w:tabs>
          <w:tab w:leader="none" w:pos="681" w:val="left"/>
        </w:tabs>
        <w:numPr>
          <w:ilvl w:val="1"/>
          <w:numId w:val="123"/>
        </w:numPr>
        <w:rPr>
          <w:rFonts w:ascii="Arial" w:cs="Arial" w:eastAsia="Arial" w:hAnsi="Arial"/>
          <w:sz w:val="18"/>
          <w:szCs w:val="18"/>
          <w:color w:val="auto"/>
        </w:rPr>
      </w:pPr>
      <w:r>
        <w:rPr>
          <w:rFonts w:ascii="Arial" w:cs="Arial" w:eastAsia="Arial" w:hAnsi="Arial"/>
          <w:sz w:val="18"/>
          <w:szCs w:val="18"/>
          <w:i w:val="1"/>
          <w:iCs w:val="1"/>
          <w:color w:val="auto"/>
        </w:rPr>
        <w:t>Non-Exclusive Remedies</w:t>
      </w:r>
      <w:r>
        <w:rPr>
          <w:rFonts w:ascii="Arial" w:cs="Arial" w:eastAsia="Arial" w:hAnsi="Arial"/>
          <w:sz w:val="18"/>
          <w:szCs w:val="18"/>
          <w:color w:val="auto"/>
        </w:rPr>
        <w:t>. The remedies provided for in this Section 7 are not exclusive and shall not limit any rights or remedies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170" w:lineRule="exact"/>
        <w:rPr>
          <w:sz w:val="20"/>
          <w:szCs w:val="20"/>
          <w:color w:val="auto"/>
        </w:rPr>
      </w:pPr>
    </w:p>
    <w:p>
      <w:pPr>
        <w:ind w:left="640" w:hanging="176"/>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40" w:firstLine="464"/>
        <w:spacing w:after="0" w:line="289" w:lineRule="auto"/>
        <w:tabs>
          <w:tab w:leader="none" w:pos="636"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prior to the Closing Date or, in the case of the Option Shares, prior to the Additional Closing Date (i) trading generally shall have been suspended or materially limited on or by any of the New York Stock Exchange, the American Stock Exchange, the Nasdaq Stock Market, the Chicago Board Options Exchange, the Chicago Mercantile Exchange or the Chicago Board of Trade;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0" w:lineRule="auto"/>
        <w:tabs>
          <w:tab w:leader="none" w:pos="7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132" w:name="page133"/>
    <w:bookmarkEnd w:id="132"/>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66" w:lineRule="exact"/>
        <w:rPr>
          <w:sz w:val="20"/>
          <w:szCs w:val="20"/>
          <w:color w:val="auto"/>
        </w:rPr>
      </w:pPr>
    </w:p>
    <w:p>
      <w:pPr>
        <w:ind w:right="140" w:firstLine="464"/>
        <w:spacing w:after="0" w:line="273" w:lineRule="auto"/>
        <w:tabs>
          <w:tab w:leader="none" w:pos="71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78" w:lineRule="exact"/>
        <w:rPr>
          <w:rFonts w:ascii="Arial" w:cs="Arial" w:eastAsia="Arial" w:hAnsi="Arial"/>
          <w:sz w:val="17"/>
          <w:szCs w:val="17"/>
          <w:color w:val="auto"/>
        </w:rPr>
      </w:pPr>
    </w:p>
    <w:p>
      <w:pPr>
        <w:ind w:right="160" w:firstLine="464"/>
        <w:spacing w:after="0" w:line="254" w:lineRule="auto"/>
        <w:tabs>
          <w:tab w:leader="none" w:pos="7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92"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20" w:hanging="256"/>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of the Shares under the state or foreign securities or blue sky laws of such jurisdictions as the Representatives may designate and the preparation, printing and distribution of a Blue Sky Memorandum (including the related fees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33" w:name="page134"/>
    <w:bookmarkEnd w:id="13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expenses of counsel for the Underwriters) in an amount not to exceed $10,000 (excluding filing fees); (v) the cost of preparing stock certificates; (vi) the costs and charges of any transfer agent and any registrar; (vii) all expenses and application fees incurred in connection with any filing with, and clearance of the offering by, FINRA, in an amount not to exceed $20,000 (excluding filing fees); (viii) all expenses incurred by the Company in connection with any “road show” presentation to potential investors, provided, however, that the Underwriters and the Company shall each pay 50% of the cost of chartering any aircraft to be used in connection with the roadshow by the Company and the Underwriters; and (ix) all expenses and application fees related to the listing of the Shares on the Exchange.</w:t>
      </w:r>
    </w:p>
    <w:p>
      <w:pPr>
        <w:spacing w:after="0" w:line="193" w:lineRule="exact"/>
        <w:rPr>
          <w:sz w:val="20"/>
          <w:szCs w:val="20"/>
          <w:color w:val="auto"/>
        </w:rPr>
      </w:pPr>
    </w:p>
    <w:p>
      <w:pPr>
        <w:ind w:firstLine="464"/>
        <w:spacing w:after="0" w:line="255" w:lineRule="auto"/>
        <w:tabs>
          <w:tab w:leader="none" w:pos="7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provided, however, that for purposes of this Section 11(b), the Company shall in no event be liable to any of the Underwriters for any other amounts, including, without limitation, damages on account of loss of anticipated profits from the sale of the Shares. For the avoidance of doubt, it is understood that the Company shall not pay or reimburse any costs, fees or expenses incurred by any Underwriter that is a defaulting Underwriter for purposes of Section 10.</w:t>
      </w:r>
    </w:p>
    <w:p>
      <w:pPr>
        <w:spacing w:after="0" w:line="189" w:lineRule="exact"/>
        <w:rPr>
          <w:sz w:val="20"/>
          <w:szCs w:val="20"/>
          <w:color w:val="auto"/>
        </w:rPr>
      </w:pPr>
    </w:p>
    <w:p>
      <w:pPr>
        <w:ind w:right="140" w:firstLine="464"/>
        <w:spacing w:after="0" w:line="279" w:lineRule="auto"/>
        <w:tabs>
          <w:tab w:leader="none" w:pos="726"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71" w:lineRule="exact"/>
        <w:rPr>
          <w:rFonts w:ascii="Arial" w:cs="Arial" w:eastAsia="Arial" w:hAnsi="Arial"/>
          <w:sz w:val="17"/>
          <w:szCs w:val="17"/>
          <w:color w:val="auto"/>
        </w:rPr>
      </w:pPr>
    </w:p>
    <w:p>
      <w:pPr>
        <w:ind w:right="260" w:firstLine="464"/>
        <w:spacing w:after="0" w:line="259" w:lineRule="auto"/>
        <w:tabs>
          <w:tab w:leader="none" w:pos="72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186" w:lineRule="exact"/>
        <w:rPr>
          <w:rFonts w:ascii="Arial" w:cs="Arial" w:eastAsia="Arial" w:hAnsi="Arial"/>
          <w:sz w:val="18"/>
          <w:szCs w:val="18"/>
          <w:color w:val="auto"/>
        </w:rPr>
      </w:pPr>
    </w:p>
    <w:p>
      <w:pPr>
        <w:ind w:right="80" w:firstLine="464"/>
        <w:spacing w:after="0" w:line="286" w:lineRule="auto"/>
        <w:tabs>
          <w:tab w:leader="none" w:pos="726"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00" w:firstLine="464"/>
        <w:spacing w:after="0" w:line="277" w:lineRule="auto"/>
        <w:tabs>
          <w:tab w:leader="none" w:pos="701"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34" w:name="page135"/>
    <w:bookmarkEnd w:id="134"/>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telecommunication. Notices to the Underwriters shall be given to the Representatives c/o J.P. Morgan Securities LLC, 383 Madison Avenue, New York, New York 10179 (fax: (212) 622-8358); Attention: Equity Syndicate Desk and Credit Suisse Securities (USA) LLC, Eleven Madison Avenue, New York, New York 10010, Attention: LCD-IBD. Notices to the Company shall be given to it at Coherus BioSciences, Inc., 201 Redwood Shores Parkway, Suite 200, Redwood City, California 94065 (fax: (650) 649 3535); Attention: Chief Executive Officer, with a copy to (which copy shall not constitute notice): Latham &amp; Watkins LLP, 140 Scott Drive, Menlo Park, California 94025 (fax: (650) 463-2600); Attention Alan C. Mendelson.</w:t>
      </w:r>
    </w:p>
    <w:p>
      <w:pPr>
        <w:spacing w:after="0" w:line="173" w:lineRule="exact"/>
        <w:rPr>
          <w:sz w:val="20"/>
          <w:szCs w:val="20"/>
          <w:color w:val="auto"/>
        </w:rPr>
      </w:pPr>
    </w:p>
    <w:p>
      <w:pPr>
        <w:ind w:right="600" w:firstLine="464"/>
        <w:spacing w:after="0" w:line="308" w:lineRule="auto"/>
        <w:tabs>
          <w:tab w:leader="none" w:pos="711"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Governing Law</w:t>
      </w:r>
      <w:r>
        <w:rPr>
          <w:rFonts w:ascii="Arial" w:cs="Arial" w:eastAsia="Arial" w:hAnsi="Arial"/>
          <w:sz w:val="17"/>
          <w:szCs w:val="17"/>
          <w:color w:val="auto"/>
        </w:rPr>
        <w:t>. 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right="1340" w:firstLine="464"/>
        <w:spacing w:after="0" w:line="308" w:lineRule="auto"/>
        <w:tabs>
          <w:tab w:leader="none" w:pos="701"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right="300" w:firstLine="464"/>
        <w:spacing w:after="0" w:line="277" w:lineRule="auto"/>
        <w:tabs>
          <w:tab w:leader="none" w:pos="711"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Amendments or Waivers</w:t>
      </w:r>
      <w:r>
        <w:rPr>
          <w:rFonts w:ascii="Arial" w:cs="Arial" w:eastAsia="Arial" w:hAnsi="Arial"/>
          <w:sz w:val="18"/>
          <w:szCs w:val="18"/>
          <w:color w:val="auto"/>
        </w:rPr>
        <w:t>. 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580" w:firstLine="464"/>
        <w:spacing w:after="0" w:line="277" w:lineRule="auto"/>
        <w:tabs>
          <w:tab w:leader="none" w:pos="701"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rFonts w:ascii="Arial" w:cs="Arial" w:eastAsia="Arial" w:hAnsi="Arial"/>
          <w:sz w:val="18"/>
          <w:szCs w:val="18"/>
          <w:color w:val="auto"/>
        </w:rPr>
      </w:pPr>
    </w:p>
    <w:p>
      <w:pPr>
        <w:ind w:right="340" w:firstLine="464"/>
        <w:spacing w:after="0" w:line="259" w:lineRule="auto"/>
        <w:tabs>
          <w:tab w:leader="none" w:pos="681"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 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4" w:right="299" w:bottom="1440" w:gutter="0" w:footer="0" w:header="0"/>
        </w:sectPr>
      </w:pPr>
    </w:p>
    <w:bookmarkStart w:id="135" w:name="page136"/>
    <w:bookmarkEnd w:id="13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COHERUS BIOSCIENCES, INC.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274" w:right="4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Schedule 1</w:t>
            </w:r>
          </w:p>
        </w:tc>
        <w:tc>
          <w:tcPr>
            <w:tcW w:w="20" w:type="dxa"/>
            <w:vAlign w:val="bottom"/>
          </w:tcPr>
          <w:p>
            <w:pPr>
              <w:spacing w:after="0"/>
              <w:rPr>
                <w:sz w:val="20"/>
                <w:szCs w:val="20"/>
                <w:color w:val="auto"/>
              </w:rPr>
            </w:pPr>
          </w:p>
        </w:tc>
      </w:tr>
      <w:tr>
        <w:trPr>
          <w:trHeight w:val="459"/>
        </w:trPr>
        <w:tc>
          <w:tcPr>
            <w:tcW w:w="5260" w:type="dxa"/>
            <w:vAlign w:val="bottom"/>
            <w:gridSpan w:val="3"/>
          </w:tcPr>
          <w:p>
            <w:pPr>
              <w:spacing w:after="0"/>
              <w:rPr>
                <w:sz w:val="20"/>
                <w:szCs w:val="20"/>
                <w:color w:val="auto"/>
              </w:rPr>
            </w:pPr>
            <w:r>
              <w:rPr>
                <w:rFonts w:ascii="Arial" w:cs="Arial" w:eastAsia="Arial" w:hAnsi="Arial"/>
                <w:sz w:val="18"/>
                <w:szCs w:val="18"/>
                <w:color w:val="auto"/>
              </w:rPr>
              <w:t>Underwriter</w:t>
            </w:r>
          </w:p>
        </w:tc>
        <w:tc>
          <w:tcPr>
            <w:tcW w:w="26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w w:val="87"/>
              </w:rPr>
              <w:t>Number of Shares</w:t>
            </w:r>
          </w:p>
        </w:tc>
        <w:tc>
          <w:tcPr>
            <w:tcW w:w="2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26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26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97"/>
        </w:trPr>
        <w:tc>
          <w:tcPr>
            <w:tcW w:w="5260" w:type="dxa"/>
            <w:vAlign w:val="bottom"/>
            <w:gridSpan w:val="3"/>
          </w:tcPr>
          <w:p>
            <w:pPr>
              <w:spacing w:after="0"/>
              <w:rPr>
                <w:sz w:val="20"/>
                <w:szCs w:val="20"/>
                <w:color w:val="auto"/>
              </w:rPr>
            </w:pPr>
            <w:r>
              <w:rPr>
                <w:rFonts w:ascii="Arial" w:cs="Arial" w:eastAsia="Arial" w:hAnsi="Arial"/>
                <w:sz w:val="18"/>
                <w:szCs w:val="18"/>
                <w:color w:val="auto"/>
              </w:rPr>
              <w:t>Credit Suisse Securities (USA) LLC</w:t>
            </w:r>
          </w:p>
        </w:tc>
        <w:tc>
          <w:tcPr>
            <w:tcW w:w="26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04"/>
        </w:trPr>
        <w:tc>
          <w:tcPr>
            <w:tcW w:w="5260" w:type="dxa"/>
            <w:vAlign w:val="bottom"/>
            <w:gridSpan w:val="3"/>
          </w:tcPr>
          <w:p>
            <w:pPr>
              <w:spacing w:after="0"/>
              <w:rPr>
                <w:sz w:val="20"/>
                <w:szCs w:val="20"/>
                <w:color w:val="auto"/>
              </w:rPr>
            </w:pPr>
            <w:r>
              <w:rPr>
                <w:rFonts w:ascii="Arial" w:cs="Arial" w:eastAsia="Arial" w:hAnsi="Arial"/>
                <w:sz w:val="18"/>
                <w:szCs w:val="18"/>
                <w:color w:val="auto"/>
              </w:rPr>
              <w:t>Cowen and Company, LLC</w:t>
            </w:r>
          </w:p>
        </w:tc>
        <w:tc>
          <w:tcPr>
            <w:tcW w:w="26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57"/>
        </w:trPr>
        <w:tc>
          <w:tcPr>
            <w:tcW w:w="8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7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9"/>
              </w:rPr>
              <w:t>Total</w:t>
            </w:r>
          </w:p>
        </w:tc>
        <w:tc>
          <w:tcPr>
            <w:tcW w:w="26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Pricing Disclosure Package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Free Writing Prospectus: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Pricing Information Provided Orally by Underwriters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 (plus [—] Option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Underwriting discounts and commissions: $[—]]</w:t>
      </w:r>
    </w:p>
    <w:p>
      <w:pPr>
        <w:sectPr>
          <w:pgSz w:w="11900" w:h="16838" w:orient="portrait"/>
          <w:cols w:equalWidth="0" w:num="1">
            <w:col w:w="11420"/>
          </w:cols>
          <w:pgMar w:left="240" w:top="274"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960"/>
          </w:cols>
          <w:pgMar w:left="700" w:top="27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Pricing Term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960"/>
          </w:cols>
          <w:pgMar w:left="700" w:top="274"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Executive Officers, Directors and Certain Stockholders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Dennis M. Lanfear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Jean-Frédéric Viret,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K. Finck,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C. Herman,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K. Watler,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I. Healy, M.D.,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 Bryan Lawlis,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Christos Richards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 J. Satvat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J. Troendle,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Mats Wahlström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T. Szela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MX II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Medpace Investors,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KKR Biosimilar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Sofinnova Venture Partners VII,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C. Herman, Ph.D. and Margaret R. Herman, Trustees of the Herman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Lanfear, as Trustee of the Lanfear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Lanfear Capital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KMG Capital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 Capital, LLC</w:t>
      </w:r>
    </w:p>
    <w:p>
      <w:pPr>
        <w:sectPr>
          <w:pgSz w:w="11900" w:h="16838" w:orient="portrait"/>
          <w:cols w:equalWidth="0" w:num="1">
            <w:col w:w="10960"/>
          </w:cols>
          <w:pgMar w:left="700" w:top="274"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10795</wp:posOffset>
            </wp:positionV>
            <wp:extent cx="3429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Coherus BioSciences, Inc. — Public Offering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undersigned understands that you, as Representatives of the several Underwriters, propose to enter into an Underwriting Agreement (the “Underwriting Agreement”) with Coherus BioSciences, Inc., a Delaware corporation (the “Company”), providing for the public offering (the “Public Offering”) by the several Underwriters named in Schedule 1 to the Underwriting Agreement (the “Underwriters”), of shares (the “Securities”) of the common stock, $0.0001 par value per share, of the Company (the “Common Stock”). Capitalized terms used herein and not otherwise defined shall have the meanings set forth in the Underwriting Agreement.</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and Credit Suisse Securities (USA) LLC on behalf of the Underwriters, the undersigned will not, subject to the exceptions set forth in this Letter Agreement, during the period from the date hereof ending [90][60] days after the date of the prospectus relating to the Public Offering (the “Restricted Period”),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2" w:name="page143"/>
    <w:bookmarkEnd w:id="14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the “Undersigned’s Shares”),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in each case other than (A) any Securities to be sold by the undersigned pursuant to the Underwriting Agreement, (B) transfers of the Undersigned’s Shares as a bona fide gift or gifts, (C) transfers or dispositions of the Undersigned’s Shares to any trust for the direct or indirect benefit of the undersigned or the immediate family of the undersigned, (D) transfers or dispositions of the Undersigned’s Shares to any corporation, partnership, limited liability company or other entity, all of the beneficial ownership interests of which are held by the undersigned or the immediate family of the undersigned, (E) transfers or dispositions of the Undersigned’s Shares by will, other testamentary document or intestate succession to the legal representative, heir, beneficiary or a member of the immediate family of the undersigned, (F) transfers of the Undersigned’s Shares to partners, members or stockholders of the undersigned, or to another partnership, limited liability company, corporation or other business entity that controls, is controlled by or is under common control with the undersigned and (G) transfers that occur by operation of law pursuant to a qualified domestic order or in connection with a divorce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transfer or distribution pursuant to clause (B), (C), (D), (E), (F) or (G), each transferee, donee or distributee shall execute and deliver to the Representative a lock-up letter in the form of this paragraph;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any transfer, disposition or distribution pursuant to clause (B), (C), (D), (E), (F) or (G), no filing by any party (donor, donee, transferor or transferee)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and any such transfer or distribution shall not involve a disposition for value. For purposes of this Letter Agreement, “immediate family” shall mean any relationship by blood, marriage or adoption, not more remote than first cousin.</w:t>
      </w:r>
    </w:p>
    <w:p>
      <w:pPr>
        <w:spacing w:after="0" w:line="18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Furthermore, notwithstanding the restrictions imposed by this Letter Agreement, the undersigned may, without the prior written consent of J.P. Morgan Securities LLC and Credit Suisse Securities (USA) LLC, (i) exercise an option or warrant (including a net or cashless exercise of an option or warrant) to purchase shares of Common Stock or preferred stock, par value $0.0001, of the Company (the “Preferred Stock”), and transfer shares of Common Stock to the Company to cover tax withholding obligations of the undersigned in connection with any such option exercise, provided that the underlying shares of Common Stock or Preferred Stock shall continue to be subject to the restrictions on transfer set forth in this Letter Agreement, (ii) establish a trading plan pursuant to Rule 10b5-1 under the Exchange Act for the transfer of Common Stock, provided that such plan does not provide for any transfers of Common Stock during the Restricted Period, and (iii) transfer or dispose of shares of Common Stock acquired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43" w:name="page144"/>
    <w:bookmarkEnd w:id="14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open market following the Public Offering, provided that, with respect to each of (i) – (iii) above, no filing under the Exchange Act or other public announcement shall be required or shall be made voluntarily in connection with such transfer or disposition during the Restricted Period (other than in respect of (a) a required filing under the Exchange Act made in connection with the exercise of warrants that will expire or automatically exercise by their terms in connection with the Public Offering and (b) a required filing under the Exchange Act in connection with the exercise of an option to purchase Common Stock following such individual’s termination of employment with the Company that would otherwise expire during the Restricted Period, provided that reasonable notice shall be provided to J.P. Morgan Securities LLC and Credit Suisse Securities (USA) LLC prior to any such filing, and provided further that, for the avoidance of doubt, for each of (a) and (b) the underlying shares of Common Stock shall continue to be subject to the restrictions on transfer set forth in this Letter Agreement).</w:t>
      </w:r>
    </w:p>
    <w:p>
      <w:pPr>
        <w:spacing w:after="0" w:line="19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2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the event that any holder of the Company’s securities that is an officer or director or a holder that beneficially owns, or a member of a group that beneficially owns, more than 5% of the Common Stock (other than the Company or the undersigned) is permitted by J.P. Morgan Securities LLC and Credit Suisse Securities (USA) LLC to sell or otherwise transfer or dispose of shares of Common Stock for value other than as permitted by this or a substantially similar Letter Agreement entered into by such holder, the same percentage of shares of Common Stock held by the undersigned (the “Pro-rata Release”) shall be immediately and fully released on the same terms from any remaining restrictions set forth herein; provided, however, that such Pro-rata Release shall not be applied in the event of (i) permission granted to any equity holder by J.P. Morgan Securities LLC and Credit Suisse Securities (USA) LLC to sell or otherwise transfer or dispose of shares of Common Stock for value in an amount less than or equal to $2,000,000 in aggregate value of Common Stock in respect of such party, or (ii) any underwritten public offering of Common Stock, whether or not such offering is wholly or partially a secondary offering of Common Stock during the Restricted Period.]</w:t>
      </w:r>
    </w:p>
    <w:p>
      <w:pPr>
        <w:spacing w:after="0" w:line="18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undersigned understands that, if either J.P. Morgan Securities LLC and Credit Suisse Securities (USA) LLC, on the one hand, or the Company, on the other hand, informs the other, prior to the execution of the Underwriting Agreement, that it has determined not to proceed with the Public Offering, if the Underwriting Agreement does not become effective by July 31, 2015, or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44" w:name="page145"/>
    <w:bookmarkEnd w:id="14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14605</wp:posOffset>
            </wp:positionV>
            <wp:extent cx="2263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274" w:right="4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Exhbit 5.1</w:t>
      </w:r>
    </w:p>
    <w:p>
      <w:pPr>
        <w:spacing w:after="0" w:line="252" w:lineRule="exact"/>
        <w:rPr>
          <w:sz w:val="20"/>
          <w:szCs w:val="20"/>
          <w:color w:val="auto"/>
        </w:rPr>
      </w:pPr>
    </w:p>
    <w:p>
      <w:pPr>
        <w:ind w:left="7660"/>
        <w:spacing w:after="0"/>
        <w:rPr>
          <w:sz w:val="20"/>
          <w:szCs w:val="20"/>
          <w:color w:val="auto"/>
        </w:rPr>
      </w:pPr>
      <w:r>
        <w:rPr>
          <w:rFonts w:ascii="Arial" w:cs="Arial" w:eastAsia="Arial" w:hAnsi="Arial"/>
          <w:sz w:val="13"/>
          <w:szCs w:val="13"/>
          <w:color w:val="auto"/>
        </w:rPr>
        <w:t>140 Scott Drive</w:t>
      </w:r>
    </w:p>
    <w:p>
      <w:pPr>
        <w:ind w:left="7660"/>
        <w:spacing w:after="0" w:line="216" w:lineRule="auto"/>
        <w:rPr>
          <w:sz w:val="20"/>
          <w:szCs w:val="20"/>
          <w:color w:val="auto"/>
        </w:rPr>
      </w:pPr>
      <w:r>
        <w:rPr>
          <w:rFonts w:ascii="Arial" w:cs="Arial" w:eastAsia="Arial" w:hAnsi="Arial"/>
          <w:sz w:val="13"/>
          <w:szCs w:val="13"/>
          <w:color w:val="auto"/>
        </w:rPr>
        <w:t>Menlo Park, California 94025</w:t>
      </w:r>
    </w:p>
    <w:p>
      <w:pPr>
        <w:ind w:left="7660"/>
        <w:spacing w:after="0" w:line="217" w:lineRule="auto"/>
        <w:rPr>
          <w:sz w:val="20"/>
          <w:szCs w:val="20"/>
          <w:color w:val="auto"/>
        </w:rPr>
      </w:pPr>
      <w:r>
        <w:rPr>
          <w:rFonts w:ascii="Arial" w:cs="Arial" w:eastAsia="Arial" w:hAnsi="Arial"/>
          <w:sz w:val="13"/>
          <w:szCs w:val="13"/>
          <w:color w:val="auto"/>
        </w:rPr>
        <w:t>Tel: +1.650.328.4600 Fax: +1.650.463.2600</w:t>
      </w:r>
    </w:p>
    <w:p>
      <w:pPr>
        <w:ind w:left="7660"/>
        <w:spacing w:after="0"/>
        <w:rPr>
          <w:sz w:val="20"/>
          <w:szCs w:val="20"/>
          <w:color w:val="auto"/>
        </w:rPr>
      </w:pPr>
      <w:r>
        <w:rPr>
          <w:rFonts w:ascii="Arial" w:cs="Arial" w:eastAsia="Arial" w:hAnsi="Arial"/>
          <w:sz w:val="13"/>
          <w:szCs w:val="13"/>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101215" cy="22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01215" cy="222885"/>
                    </a:xfrm>
                    <a:prstGeom prst="rect">
                      <a:avLst/>
                    </a:prstGeom>
                    <a:noFill/>
                  </pic:spPr>
                </pic:pic>
              </a:graphicData>
            </a:graphic>
          </wp:anchor>
        </w:drawing>
      </w:r>
    </w:p>
    <w:p>
      <w:pPr>
        <w:spacing w:after="0" w:line="77" w:lineRule="exact"/>
        <w:rPr>
          <w:sz w:val="20"/>
          <w:szCs w:val="20"/>
          <w:color w:val="auto"/>
        </w:rPr>
      </w:pPr>
    </w:p>
    <w:tbl>
      <w:tblPr>
        <w:tblLayout w:type="fixed"/>
        <w:tblInd w:w="360" w:type="dxa"/>
        <w:tblCellMar>
          <w:top w:w="0" w:type="dxa"/>
          <w:left w:w="0" w:type="dxa"/>
          <w:bottom w:w="0" w:type="dxa"/>
          <w:right w:w="0" w:type="dxa"/>
        </w:tblCellMar>
      </w:tblPr>
      <w:tr>
        <w:trPr>
          <w:trHeight w:val="160"/>
        </w:trPr>
        <w:tc>
          <w:tcPr>
            <w:tcW w:w="1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20" w:type="dxa"/>
            <w:vAlign w:val="bottom"/>
            <w:gridSpan w:val="2"/>
          </w:tcPr>
          <w:p>
            <w:pPr>
              <w:ind w:left="660"/>
              <w:spacing w:after="0"/>
              <w:rPr>
                <w:sz w:val="20"/>
                <w:szCs w:val="20"/>
                <w:color w:val="auto"/>
              </w:rPr>
            </w:pPr>
            <w:r>
              <w:rPr>
                <w:rFonts w:ascii="Arial" w:cs="Arial" w:eastAsia="Arial" w:hAnsi="Arial"/>
                <w:sz w:val="13"/>
                <w:szCs w:val="13"/>
                <w:color w:val="auto"/>
              </w:rPr>
              <w:t>FIRM/AFFILIATE OFFICES</w:t>
            </w:r>
          </w:p>
        </w:tc>
      </w:tr>
      <w:tr>
        <w:trPr>
          <w:trHeight w:val="227"/>
        </w:trPr>
        <w:tc>
          <w:tcPr>
            <w:tcW w:w="1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Abu Dhabi</w:t>
            </w:r>
          </w:p>
        </w:tc>
        <w:tc>
          <w:tcPr>
            <w:tcW w:w="1120" w:type="dxa"/>
            <w:vAlign w:val="bottom"/>
          </w:tcPr>
          <w:p>
            <w:pPr>
              <w:ind w:left="80"/>
              <w:spacing w:after="0"/>
              <w:rPr>
                <w:sz w:val="20"/>
                <w:szCs w:val="20"/>
                <w:color w:val="auto"/>
              </w:rPr>
            </w:pPr>
            <w:r>
              <w:rPr>
                <w:rFonts w:ascii="Arial" w:cs="Arial" w:eastAsia="Arial" w:hAnsi="Arial"/>
                <w:sz w:val="14"/>
                <w:szCs w:val="14"/>
                <w:color w:val="auto"/>
              </w:rPr>
              <w:t>Milan</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Barcelona</w:t>
            </w:r>
          </w:p>
        </w:tc>
        <w:tc>
          <w:tcPr>
            <w:tcW w:w="1120" w:type="dxa"/>
            <w:vAlign w:val="bottom"/>
          </w:tcPr>
          <w:p>
            <w:pPr>
              <w:ind w:left="80"/>
              <w:spacing w:after="0"/>
              <w:rPr>
                <w:sz w:val="20"/>
                <w:szCs w:val="20"/>
                <w:color w:val="auto"/>
              </w:rPr>
            </w:pPr>
            <w:r>
              <w:rPr>
                <w:rFonts w:ascii="Arial" w:cs="Arial" w:eastAsia="Arial" w:hAnsi="Arial"/>
                <w:sz w:val="14"/>
                <w:szCs w:val="14"/>
                <w:color w:val="auto"/>
              </w:rPr>
              <w:t>Moscow</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Beijing</w:t>
            </w:r>
          </w:p>
        </w:tc>
        <w:tc>
          <w:tcPr>
            <w:tcW w:w="1120" w:type="dxa"/>
            <w:vAlign w:val="bottom"/>
          </w:tcPr>
          <w:p>
            <w:pPr>
              <w:ind w:left="80"/>
              <w:spacing w:after="0"/>
              <w:rPr>
                <w:sz w:val="20"/>
                <w:szCs w:val="20"/>
                <w:color w:val="auto"/>
              </w:rPr>
            </w:pPr>
            <w:r>
              <w:rPr>
                <w:rFonts w:ascii="Arial" w:cs="Arial" w:eastAsia="Arial" w:hAnsi="Arial"/>
                <w:sz w:val="14"/>
                <w:szCs w:val="14"/>
                <w:color w:val="auto"/>
              </w:rPr>
              <w:t>Munich</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Boston</w:t>
            </w:r>
          </w:p>
        </w:tc>
        <w:tc>
          <w:tcPr>
            <w:tcW w:w="1120" w:type="dxa"/>
            <w:vAlign w:val="bottom"/>
          </w:tcPr>
          <w:p>
            <w:pPr>
              <w:ind w:left="80"/>
              <w:spacing w:after="0"/>
              <w:rPr>
                <w:sz w:val="20"/>
                <w:szCs w:val="20"/>
                <w:color w:val="auto"/>
              </w:rPr>
            </w:pPr>
            <w:r>
              <w:rPr>
                <w:rFonts w:ascii="Arial" w:cs="Arial" w:eastAsia="Arial" w:hAnsi="Arial"/>
                <w:sz w:val="14"/>
                <w:szCs w:val="14"/>
                <w:color w:val="auto"/>
              </w:rPr>
              <w:t>New Jersey</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Brussels</w:t>
            </w:r>
          </w:p>
        </w:tc>
        <w:tc>
          <w:tcPr>
            <w:tcW w:w="1120" w:type="dxa"/>
            <w:vAlign w:val="bottom"/>
          </w:tcPr>
          <w:p>
            <w:pPr>
              <w:ind w:left="80"/>
              <w:spacing w:after="0"/>
              <w:rPr>
                <w:sz w:val="20"/>
                <w:szCs w:val="20"/>
                <w:color w:val="auto"/>
              </w:rPr>
            </w:pPr>
            <w:r>
              <w:rPr>
                <w:rFonts w:ascii="Arial" w:cs="Arial" w:eastAsia="Arial" w:hAnsi="Arial"/>
                <w:sz w:val="14"/>
                <w:szCs w:val="14"/>
                <w:color w:val="auto"/>
              </w:rPr>
              <w:t>New York</w:t>
            </w:r>
          </w:p>
        </w:tc>
      </w:tr>
      <w:tr>
        <w:trPr>
          <w:trHeight w:val="203"/>
        </w:trPr>
        <w:tc>
          <w:tcPr>
            <w:tcW w:w="1120" w:type="dxa"/>
            <w:vAlign w:val="bottom"/>
          </w:tcPr>
          <w:p>
            <w:pPr>
              <w:spacing w:after="0"/>
              <w:rPr>
                <w:sz w:val="20"/>
                <w:szCs w:val="20"/>
                <w:color w:val="auto"/>
              </w:rPr>
            </w:pPr>
            <w:r>
              <w:rPr>
                <w:rFonts w:ascii="Arial" w:cs="Arial" w:eastAsia="Arial" w:hAnsi="Arial"/>
                <w:sz w:val="17"/>
                <w:szCs w:val="17"/>
                <w:color w:val="auto"/>
                <w:w w:val="93"/>
              </w:rPr>
              <w:t>March 30, 2015</w:t>
            </w:r>
          </w:p>
        </w:tc>
        <w:tc>
          <w:tcPr>
            <w:tcW w:w="2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Century City</w:t>
            </w:r>
          </w:p>
        </w:tc>
        <w:tc>
          <w:tcPr>
            <w:tcW w:w="1120" w:type="dxa"/>
            <w:vAlign w:val="bottom"/>
          </w:tcPr>
          <w:p>
            <w:pPr>
              <w:ind w:left="80"/>
              <w:spacing w:after="0"/>
              <w:rPr>
                <w:sz w:val="20"/>
                <w:szCs w:val="20"/>
                <w:color w:val="auto"/>
              </w:rPr>
            </w:pPr>
            <w:r>
              <w:rPr>
                <w:rFonts w:ascii="Arial" w:cs="Arial" w:eastAsia="Arial" w:hAnsi="Arial"/>
                <w:sz w:val="14"/>
                <w:szCs w:val="14"/>
                <w:color w:val="auto"/>
              </w:rPr>
              <w:t>Orange County</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Chicago</w:t>
            </w:r>
          </w:p>
        </w:tc>
        <w:tc>
          <w:tcPr>
            <w:tcW w:w="1120" w:type="dxa"/>
            <w:vAlign w:val="bottom"/>
          </w:tcPr>
          <w:p>
            <w:pPr>
              <w:ind w:left="80"/>
              <w:spacing w:after="0"/>
              <w:rPr>
                <w:sz w:val="20"/>
                <w:szCs w:val="20"/>
                <w:color w:val="auto"/>
              </w:rPr>
            </w:pPr>
            <w:r>
              <w:rPr>
                <w:rFonts w:ascii="Arial" w:cs="Arial" w:eastAsia="Arial" w:hAnsi="Arial"/>
                <w:sz w:val="14"/>
                <w:szCs w:val="14"/>
                <w:color w:val="auto"/>
              </w:rPr>
              <w:t>Paris</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Doha</w:t>
            </w:r>
          </w:p>
        </w:tc>
        <w:tc>
          <w:tcPr>
            <w:tcW w:w="1120" w:type="dxa"/>
            <w:vAlign w:val="bottom"/>
          </w:tcPr>
          <w:p>
            <w:pPr>
              <w:ind w:left="80"/>
              <w:spacing w:after="0"/>
              <w:rPr>
                <w:sz w:val="20"/>
                <w:szCs w:val="20"/>
                <w:color w:val="auto"/>
              </w:rPr>
            </w:pPr>
            <w:r>
              <w:rPr>
                <w:rFonts w:ascii="Arial" w:cs="Arial" w:eastAsia="Arial" w:hAnsi="Arial"/>
                <w:sz w:val="14"/>
                <w:szCs w:val="14"/>
                <w:color w:val="auto"/>
              </w:rPr>
              <w:t>Riyadh</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Dubai</w:t>
            </w:r>
          </w:p>
        </w:tc>
        <w:tc>
          <w:tcPr>
            <w:tcW w:w="1120" w:type="dxa"/>
            <w:vAlign w:val="bottom"/>
          </w:tcPr>
          <w:p>
            <w:pPr>
              <w:ind w:left="80"/>
              <w:spacing w:after="0"/>
              <w:rPr>
                <w:sz w:val="20"/>
                <w:szCs w:val="20"/>
                <w:color w:val="auto"/>
              </w:rPr>
            </w:pPr>
            <w:r>
              <w:rPr>
                <w:rFonts w:ascii="Arial" w:cs="Arial" w:eastAsia="Arial" w:hAnsi="Arial"/>
                <w:sz w:val="14"/>
                <w:szCs w:val="14"/>
                <w:color w:val="auto"/>
              </w:rPr>
              <w:t>Rome</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Düsseldorf</w:t>
            </w:r>
          </w:p>
        </w:tc>
        <w:tc>
          <w:tcPr>
            <w:tcW w:w="1120" w:type="dxa"/>
            <w:vAlign w:val="bottom"/>
          </w:tcPr>
          <w:p>
            <w:pPr>
              <w:ind w:left="80"/>
              <w:spacing w:after="0"/>
              <w:rPr>
                <w:sz w:val="20"/>
                <w:szCs w:val="20"/>
                <w:color w:val="auto"/>
              </w:rPr>
            </w:pPr>
            <w:r>
              <w:rPr>
                <w:rFonts w:ascii="Arial" w:cs="Arial" w:eastAsia="Arial" w:hAnsi="Arial"/>
                <w:sz w:val="14"/>
                <w:szCs w:val="14"/>
                <w:color w:val="auto"/>
              </w:rPr>
              <w:t>San Diego</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Frankfurt</w:t>
            </w:r>
          </w:p>
        </w:tc>
        <w:tc>
          <w:tcPr>
            <w:tcW w:w="1120" w:type="dxa"/>
            <w:vAlign w:val="bottom"/>
          </w:tcPr>
          <w:p>
            <w:pPr>
              <w:ind w:left="80"/>
              <w:spacing w:after="0"/>
              <w:rPr>
                <w:sz w:val="20"/>
                <w:szCs w:val="20"/>
                <w:color w:val="auto"/>
              </w:rPr>
            </w:pPr>
            <w:r>
              <w:rPr>
                <w:rFonts w:ascii="Arial" w:cs="Arial" w:eastAsia="Arial" w:hAnsi="Arial"/>
                <w:sz w:val="14"/>
                <w:szCs w:val="14"/>
                <w:color w:val="auto"/>
              </w:rPr>
              <w:t>San Francisco</w:t>
            </w:r>
          </w:p>
        </w:tc>
      </w:tr>
      <w:tr>
        <w:trPr>
          <w:trHeight w:val="16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Hamburg</w:t>
            </w:r>
          </w:p>
        </w:tc>
        <w:tc>
          <w:tcPr>
            <w:tcW w:w="1120" w:type="dxa"/>
            <w:vAlign w:val="bottom"/>
          </w:tcPr>
          <w:p>
            <w:pPr>
              <w:ind w:left="80"/>
              <w:spacing w:after="0"/>
              <w:rPr>
                <w:sz w:val="20"/>
                <w:szCs w:val="20"/>
                <w:color w:val="auto"/>
              </w:rPr>
            </w:pPr>
            <w:r>
              <w:rPr>
                <w:rFonts w:ascii="Arial" w:cs="Arial" w:eastAsia="Arial" w:hAnsi="Arial"/>
                <w:sz w:val="14"/>
                <w:szCs w:val="14"/>
                <w:color w:val="auto"/>
              </w:rPr>
              <w:t>Shanghai</w:t>
            </w:r>
          </w:p>
        </w:tc>
      </w:tr>
      <w:tr>
        <w:trPr>
          <w:trHeight w:val="203"/>
        </w:trPr>
        <w:tc>
          <w:tcPr>
            <w:tcW w:w="6640" w:type="dxa"/>
            <w:vAlign w:val="bottom"/>
            <w:gridSpan w:val="5"/>
          </w:tcPr>
          <w:p>
            <w:pPr>
              <w:spacing w:after="0"/>
              <w:rPr>
                <w:sz w:val="20"/>
                <w:szCs w:val="20"/>
                <w:color w:val="auto"/>
              </w:rPr>
            </w:pPr>
            <w:r>
              <w:rPr>
                <w:rFonts w:ascii="Arial" w:cs="Arial" w:eastAsia="Arial" w:hAnsi="Arial"/>
                <w:sz w:val="17"/>
                <w:szCs w:val="17"/>
                <w:color w:val="auto"/>
              </w:rPr>
              <w:t>Coherus BioSciences, Inc.,</w:t>
            </w:r>
          </w:p>
        </w:tc>
        <w:tc>
          <w:tcPr>
            <w:tcW w:w="1500" w:type="dxa"/>
            <w:vAlign w:val="bottom"/>
          </w:tcPr>
          <w:p>
            <w:pPr>
              <w:ind w:left="660"/>
              <w:spacing w:after="0"/>
              <w:rPr>
                <w:sz w:val="20"/>
                <w:szCs w:val="20"/>
                <w:color w:val="auto"/>
              </w:rPr>
            </w:pPr>
            <w:r>
              <w:rPr>
                <w:rFonts w:ascii="Arial" w:cs="Arial" w:eastAsia="Arial" w:hAnsi="Arial"/>
                <w:sz w:val="14"/>
                <w:szCs w:val="14"/>
                <w:color w:val="auto"/>
              </w:rPr>
              <w:t>Hong Kong</w:t>
            </w:r>
          </w:p>
        </w:tc>
        <w:tc>
          <w:tcPr>
            <w:tcW w:w="1120" w:type="dxa"/>
            <w:vAlign w:val="bottom"/>
          </w:tcPr>
          <w:p>
            <w:pPr>
              <w:ind w:left="80"/>
              <w:spacing w:after="0"/>
              <w:rPr>
                <w:sz w:val="20"/>
                <w:szCs w:val="20"/>
                <w:color w:val="auto"/>
              </w:rPr>
            </w:pPr>
            <w:r>
              <w:rPr>
                <w:rFonts w:ascii="Arial" w:cs="Arial" w:eastAsia="Arial" w:hAnsi="Arial"/>
                <w:sz w:val="14"/>
                <w:szCs w:val="14"/>
                <w:color w:val="auto"/>
              </w:rPr>
              <w:t>Silicon Valley</w:t>
            </w:r>
          </w:p>
        </w:tc>
      </w:tr>
      <w:tr>
        <w:trPr>
          <w:trHeight w:val="203"/>
        </w:trPr>
        <w:tc>
          <w:tcPr>
            <w:tcW w:w="6640" w:type="dxa"/>
            <w:vAlign w:val="bottom"/>
            <w:gridSpan w:val="5"/>
          </w:tcPr>
          <w:p>
            <w:pPr>
              <w:spacing w:after="0"/>
              <w:rPr>
                <w:sz w:val="20"/>
                <w:szCs w:val="20"/>
                <w:color w:val="auto"/>
              </w:rPr>
            </w:pPr>
            <w:r>
              <w:rPr>
                <w:rFonts w:ascii="Arial" w:cs="Arial" w:eastAsia="Arial" w:hAnsi="Arial"/>
                <w:sz w:val="17"/>
                <w:szCs w:val="17"/>
                <w:color w:val="auto"/>
              </w:rPr>
              <w:t>201 Redwood Shores Parkway</w:t>
            </w:r>
          </w:p>
        </w:tc>
        <w:tc>
          <w:tcPr>
            <w:tcW w:w="1500" w:type="dxa"/>
            <w:vAlign w:val="bottom"/>
          </w:tcPr>
          <w:p>
            <w:pPr>
              <w:ind w:left="660"/>
              <w:spacing w:after="0"/>
              <w:rPr>
                <w:sz w:val="20"/>
                <w:szCs w:val="20"/>
                <w:color w:val="auto"/>
              </w:rPr>
            </w:pPr>
            <w:r>
              <w:rPr>
                <w:rFonts w:ascii="Arial" w:cs="Arial" w:eastAsia="Arial" w:hAnsi="Arial"/>
                <w:sz w:val="14"/>
                <w:szCs w:val="14"/>
                <w:color w:val="auto"/>
              </w:rPr>
              <w:t>Houston</w:t>
            </w:r>
          </w:p>
        </w:tc>
        <w:tc>
          <w:tcPr>
            <w:tcW w:w="1120" w:type="dxa"/>
            <w:vAlign w:val="bottom"/>
          </w:tcPr>
          <w:p>
            <w:pPr>
              <w:ind w:left="80"/>
              <w:spacing w:after="0"/>
              <w:rPr>
                <w:sz w:val="20"/>
                <w:szCs w:val="20"/>
                <w:color w:val="auto"/>
              </w:rPr>
            </w:pPr>
            <w:r>
              <w:rPr>
                <w:rFonts w:ascii="Arial" w:cs="Arial" w:eastAsia="Arial" w:hAnsi="Arial"/>
                <w:sz w:val="14"/>
                <w:szCs w:val="14"/>
                <w:color w:val="auto"/>
              </w:rPr>
              <w:t>Singapore</w:t>
            </w:r>
          </w:p>
        </w:tc>
      </w:tr>
      <w:tr>
        <w:trPr>
          <w:trHeight w:val="203"/>
        </w:trPr>
        <w:tc>
          <w:tcPr>
            <w:tcW w:w="1120" w:type="dxa"/>
            <w:vAlign w:val="bottom"/>
          </w:tcPr>
          <w:p>
            <w:pPr>
              <w:spacing w:after="0"/>
              <w:rPr>
                <w:sz w:val="20"/>
                <w:szCs w:val="20"/>
                <w:color w:val="auto"/>
              </w:rPr>
            </w:pPr>
            <w:r>
              <w:rPr>
                <w:rFonts w:ascii="Arial" w:cs="Arial" w:eastAsia="Arial" w:hAnsi="Arial"/>
                <w:sz w:val="17"/>
                <w:szCs w:val="17"/>
                <w:color w:val="auto"/>
              </w:rPr>
              <w:t>Suite 200</w:t>
            </w:r>
          </w:p>
        </w:tc>
        <w:tc>
          <w:tcPr>
            <w:tcW w:w="2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London</w:t>
            </w:r>
          </w:p>
        </w:tc>
        <w:tc>
          <w:tcPr>
            <w:tcW w:w="1120" w:type="dxa"/>
            <w:vAlign w:val="bottom"/>
          </w:tcPr>
          <w:p>
            <w:pPr>
              <w:ind w:left="80"/>
              <w:spacing w:after="0"/>
              <w:rPr>
                <w:sz w:val="20"/>
                <w:szCs w:val="20"/>
                <w:color w:val="auto"/>
              </w:rPr>
            </w:pPr>
            <w:r>
              <w:rPr>
                <w:rFonts w:ascii="Arial" w:cs="Arial" w:eastAsia="Arial" w:hAnsi="Arial"/>
                <w:sz w:val="14"/>
                <w:szCs w:val="14"/>
                <w:color w:val="auto"/>
              </w:rPr>
              <w:t>Tokyo</w:t>
            </w:r>
          </w:p>
        </w:tc>
      </w:tr>
      <w:tr>
        <w:trPr>
          <w:trHeight w:val="203"/>
        </w:trPr>
        <w:tc>
          <w:tcPr>
            <w:tcW w:w="6640" w:type="dxa"/>
            <w:vAlign w:val="bottom"/>
            <w:gridSpan w:val="5"/>
          </w:tcPr>
          <w:p>
            <w:pPr>
              <w:spacing w:after="0"/>
              <w:rPr>
                <w:sz w:val="20"/>
                <w:szCs w:val="20"/>
                <w:color w:val="auto"/>
              </w:rPr>
            </w:pPr>
            <w:r>
              <w:rPr>
                <w:rFonts w:ascii="Arial" w:cs="Arial" w:eastAsia="Arial" w:hAnsi="Arial"/>
                <w:sz w:val="17"/>
                <w:szCs w:val="17"/>
                <w:color w:val="auto"/>
              </w:rPr>
              <w:t>Redwood City, CA 94065</w:t>
            </w:r>
          </w:p>
        </w:tc>
        <w:tc>
          <w:tcPr>
            <w:tcW w:w="1500" w:type="dxa"/>
            <w:vAlign w:val="bottom"/>
          </w:tcPr>
          <w:p>
            <w:pPr>
              <w:ind w:left="660"/>
              <w:spacing w:after="0"/>
              <w:rPr>
                <w:sz w:val="20"/>
                <w:szCs w:val="20"/>
                <w:color w:val="auto"/>
              </w:rPr>
            </w:pPr>
            <w:r>
              <w:rPr>
                <w:rFonts w:ascii="Arial" w:cs="Arial" w:eastAsia="Arial" w:hAnsi="Arial"/>
                <w:sz w:val="14"/>
                <w:szCs w:val="14"/>
                <w:color w:val="auto"/>
              </w:rPr>
              <w:t>Los Angeles</w:t>
            </w:r>
          </w:p>
        </w:tc>
        <w:tc>
          <w:tcPr>
            <w:tcW w:w="1120" w:type="dxa"/>
            <w:vAlign w:val="bottom"/>
          </w:tcPr>
          <w:p>
            <w:pPr>
              <w:ind w:left="80"/>
              <w:spacing w:after="0"/>
              <w:rPr>
                <w:sz w:val="20"/>
                <w:szCs w:val="20"/>
                <w:color w:val="auto"/>
              </w:rPr>
            </w:pPr>
            <w:r>
              <w:rPr>
                <w:rFonts w:ascii="Arial" w:cs="Arial" w:eastAsia="Arial" w:hAnsi="Arial"/>
                <w:sz w:val="14"/>
                <w:szCs w:val="14"/>
                <w:color w:val="auto"/>
                <w:w w:val="92"/>
              </w:rPr>
              <w:t>Washington, D.C.</w:t>
            </w:r>
          </w:p>
        </w:tc>
      </w:tr>
      <w:tr>
        <w:trPr>
          <w:trHeight w:val="182"/>
        </w:trPr>
        <w:tc>
          <w:tcPr>
            <w:tcW w:w="1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tcPr>
          <w:p>
            <w:pPr>
              <w:ind w:left="660"/>
              <w:spacing w:after="0"/>
              <w:rPr>
                <w:sz w:val="20"/>
                <w:szCs w:val="20"/>
                <w:color w:val="auto"/>
              </w:rPr>
            </w:pPr>
            <w:r>
              <w:rPr>
                <w:rFonts w:ascii="Arial" w:cs="Arial" w:eastAsia="Arial" w:hAnsi="Arial"/>
                <w:sz w:val="14"/>
                <w:szCs w:val="14"/>
                <w:color w:val="auto"/>
              </w:rPr>
              <w:t>Madrid</w:t>
            </w:r>
          </w:p>
        </w:tc>
        <w:tc>
          <w:tcPr>
            <w:tcW w:w="1120" w:type="dxa"/>
            <w:vAlign w:val="bottom"/>
          </w:tcPr>
          <w:p>
            <w:pPr>
              <w:spacing w:after="0"/>
              <w:rPr>
                <w:sz w:val="15"/>
                <w:szCs w:val="15"/>
                <w:color w:val="auto"/>
              </w:rPr>
            </w:pPr>
          </w:p>
        </w:tc>
      </w:tr>
      <w:tr>
        <w:trPr>
          <w:trHeight w:val="417"/>
        </w:trPr>
        <w:tc>
          <w:tcPr>
            <w:tcW w:w="1120" w:type="dxa"/>
            <w:vAlign w:val="bottom"/>
          </w:tcPr>
          <w:p>
            <w:pPr>
              <w:ind w:left="560"/>
              <w:spacing w:after="0"/>
              <w:rPr>
                <w:sz w:val="20"/>
                <w:szCs w:val="20"/>
                <w:color w:val="auto"/>
              </w:rPr>
            </w:pPr>
            <w:r>
              <w:rPr>
                <w:rFonts w:ascii="Arial" w:cs="Arial" w:eastAsia="Arial" w:hAnsi="Arial"/>
                <w:sz w:val="18"/>
                <w:szCs w:val="18"/>
                <w:color w:val="auto"/>
              </w:rPr>
              <w:t>Re:</w:t>
            </w:r>
          </w:p>
        </w:tc>
        <w:tc>
          <w:tcPr>
            <w:tcW w:w="5520" w:type="dxa"/>
            <w:vAlign w:val="bottom"/>
            <w:gridSpan w:val="4"/>
          </w:tcPr>
          <w:p>
            <w:pPr>
              <w:spacing w:after="0"/>
              <w:rPr>
                <w:sz w:val="20"/>
                <w:szCs w:val="20"/>
                <w:color w:val="auto"/>
              </w:rPr>
            </w:pPr>
            <w:r>
              <w:rPr>
                <w:rFonts w:ascii="Arial" w:cs="Arial" w:eastAsia="Arial" w:hAnsi="Arial"/>
                <w:sz w:val="18"/>
                <w:szCs w:val="18"/>
                <w:color w:val="auto"/>
              </w:rPr>
              <w:t>Form S-1 Registration Statement File No. 333-202936</w:t>
            </w: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8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1"/>
              </w:rPr>
              <w:t xml:space="preserve">Public Offering of up to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115,000,000 of Shares of Common Stock</w:t>
            </w:r>
          </w:p>
        </w:tc>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of Coherus BioSciences, Inc.</w:t>
            </w:r>
          </w:p>
        </w:tc>
        <w:tc>
          <w:tcPr>
            <w:tcW w:w="3420" w:type="dxa"/>
            <w:vAlign w:val="bottom"/>
            <w:gridSpan w:val="3"/>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have acted as special counsel to Coherus BioSciences,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proposed issuance of up to $115,000,000 of shares of common stock, $0.0001 par value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included in a registration statement on Form S–1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March 23, 2015 (Registration No. 333–202936)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This opinion is being furnished in connection with the requirements of</w:t>
      </w:r>
    </w:p>
    <w:p>
      <w:pPr>
        <w:spacing w:after="0" w:line="2"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Item 601(b)(5) of Regulation S-K under the Act, and no opinion is expressed herein as to any matter pertaining to the contents of the Registration Statement or related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other than as expressly stated herein with respect to the issuance of the Shares.</w:t>
      </w:r>
    </w:p>
    <w:p>
      <w:pPr>
        <w:spacing w:after="0" w:line="1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w:t>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March 30,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7510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75105" cy="18859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Registration Statement,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280"/>
          </w:cols>
          <w:pgMar w:left="240" w:top="274" w:right="37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consent to the reference to our firm under the caption “Experts” in Amendment No. 1 to the Registration Statement (Form S-1 No. 333-202936) and related Prospectus of Coherus BioSciences, Inc. for the registration of $115,000,000 of shares of its common stock and to the incorporation by reference therein of our report dated March 23, 2015, with respect to the consolidated financial statements of Coherus BioSciences, Inc. included in its Annual Report (Form 10-K) for the year ended December 31, 2014,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decimal"/>
      <w:start w:val="1"/>
    </w:lvl>
  </w:abstractNum>
  <w:abstractNum w:abstractNumId="1">
    <w:nsid w:val="1F48EAA1"/>
    <w:multiLevelType w:val="hybridMultilevel"/>
    <w:lvl w:ilvl="0">
      <w:lvlJc w:val="left"/>
      <w:lvlText w:val="(%1)"/>
      <w:numFmt w:val="decimal"/>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1)"/>
      <w:numFmt w:val="decimal"/>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1)"/>
      <w:numFmt w:val="decimal"/>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1."/>
      <w:numFmt w:val="decimal"/>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decimal"/>
      <w:start w:val="12"/>
    </w:lvl>
  </w:abstractNum>
  <w:abstractNum w:abstractNumId="55">
    <w:nsid w:val="60EF0119"/>
    <w:multiLevelType w:val="hybridMultilevel"/>
    <w:lvl w:ilvl="0">
      <w:lvlJc w:val="left"/>
      <w:lvlText w:val="(%1)"/>
      <w:numFmt w:val="decimal"/>
      <w:start w:val="16"/>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1)"/>
      <w:numFmt w:val="lowerRoman"/>
      <w:start w:val="1"/>
    </w:lvl>
    <w:lvl w:ilvl="1">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1."/>
      <w:numFmt w:val="decimal"/>
      <w:start w:val="1"/>
    </w:lvl>
  </w:abstractNum>
  <w:abstractNum w:abstractNumId="68">
    <w:nsid w:val="7D5E18F8"/>
    <w:multiLevelType w:val="hybridMultilevel"/>
    <w:lvl w:ilvl="0">
      <w:lvlJc w:val="left"/>
      <w:lvlText w:val="%1."/>
      <w:numFmt w:val="decimal"/>
      <w:start w:val="8"/>
    </w:lvl>
  </w:abstractNum>
  <w:abstractNum w:abstractNumId="69">
    <w:nsid w:val="5F3534A4"/>
    <w:multiLevelType w:val="hybridMultilevel"/>
    <w:lvl w:ilvl="0">
      <w:lvlJc w:val="left"/>
      <w:lvlText w:val="(%1)"/>
      <w:numFmt w:val="decimal"/>
      <w:start w:val="10"/>
    </w:lvl>
  </w:abstractNum>
  <w:abstractNum w:abstractNumId="70">
    <w:nsid w:val="73A1821B"/>
    <w:multiLevelType w:val="hybridMultilevel"/>
    <w:lvl w:ilvl="0">
      <w:lvlJc w:val="left"/>
      <w:lvlText w:val="(%1)"/>
      <w:numFmt w:val="lowerLetter"/>
      <w:start w:val="1"/>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1."/>
      <w:numFmt w:val="decimal"/>
      <w:start w:val="2"/>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emdash ]"/>
      <w:numFmt w:val="bullet"/>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1."/>
      <w:numFmt w:val="decimal"/>
      <w:start w:val="2"/>
    </w:lvl>
  </w:abstractNum>
  <w:abstractNum w:abstractNumId="78">
    <w:nsid w:val="53299938"/>
    <w:multiLevelType w:val="hybridMultilevel"/>
    <w:lvl w:ilvl="0">
      <w:lvlJc w:val="left"/>
      <w:lvlText w:val="(%1)"/>
      <w:numFmt w:val="lowerLetter"/>
      <w:start w:val="2"/>
    </w:lvl>
  </w:abstractNum>
  <w:abstractNum w:abstractNumId="79">
    <w:nsid w:val="1FBFE8E0"/>
    <w:multiLevelType w:val="hybridMultilevel"/>
    <w:lvl w:ilvl="0">
      <w:lvlJc w:val="left"/>
      <w:lvlText w:val="(%1)"/>
      <w:numFmt w:val="lowerLetter"/>
      <w:start w:val="4"/>
    </w:lvl>
  </w:abstractNum>
  <w:abstractNum w:abstractNumId="80">
    <w:nsid w:val="5092CA79"/>
    <w:multiLevelType w:val="hybridMultilevel"/>
    <w:lvl w:ilvl="0">
      <w:lvlJc w:val="left"/>
      <w:lvlText w:val="%1."/>
      <w:numFmt w:val="decimal"/>
      <w:start w:val="3"/>
    </w:lvl>
    <w:lvl w:ilvl="1">
      <w:lvlJc w:val="left"/>
      <w:lvlText w:val="(%2)"/>
      <w:numFmt w:val="lowerLetter"/>
      <w:start w:val="1"/>
    </w:lvl>
  </w:abstractNum>
  <w:abstractNum w:abstractNumId="81">
    <w:nsid w:val="1D545C4D"/>
    <w:multiLevelType w:val="hybridMultilevel"/>
    <w:lvl w:ilvl="0">
      <w:lvlJc w:val="left"/>
      <w:lvlText w:val="(%1)"/>
      <w:numFmt w:val="lowerLetter"/>
      <w:start w:val="4"/>
    </w:lvl>
  </w:abstractNum>
  <w:abstractNum w:abstractNumId="82">
    <w:nsid w:val="59ADEA3D"/>
    <w:multiLevelType w:val="hybridMultilevel"/>
    <w:lvl w:ilvl="0">
      <w:lvlJc w:val="left"/>
      <w:lvlText w:val="(%1)"/>
      <w:numFmt w:val="lowerLetter"/>
      <w:start w:val="7"/>
    </w:lvl>
  </w:abstractNum>
  <w:abstractNum w:abstractNumId="83">
    <w:nsid w:val="288F1A34"/>
    <w:multiLevelType w:val="hybridMultilevel"/>
    <w:lvl w:ilvl="0">
      <w:lvlJc w:val="left"/>
      <w:lvlText w:val="(%1)"/>
      <w:numFmt w:val="lowerLetter"/>
      <w:start w:val="10"/>
    </w:lvl>
  </w:abstractNum>
  <w:abstractNum w:abstractNumId="84">
    <w:nsid w:val="2A155DBC"/>
    <w:multiLevelType w:val="hybridMultilevel"/>
    <w:lvl w:ilvl="0">
      <w:lvlJc w:val="left"/>
      <w:lvlText w:val="%1"/>
      <w:numFmt w:val="lowerLetter"/>
      <w:start w:val="1"/>
    </w:lvl>
    <w:lvl w:ilvl="1">
      <w:lvlJc w:val="left"/>
      <w:lvlText w:val="(%2)"/>
      <w:numFmt w:val="lowerLetter"/>
      <w:start w:val="12"/>
    </w:lvl>
  </w:abstractNum>
  <w:abstractNum w:abstractNumId="85">
    <w:nsid w:val="1D9F6E5F"/>
    <w:multiLevelType w:val="hybridMultilevel"/>
    <w:lvl w:ilvl="0">
      <w:lvlJc w:val="left"/>
      <w:lvlText w:val="(%1)"/>
      <w:numFmt w:val="lowerLetter"/>
      <w:start w:val="35"/>
    </w:lvl>
    <w:lvl w:ilvl="1">
      <w:lvlJc w:val="left"/>
      <w:lvlText w:val="(%2)"/>
      <w:numFmt w:val="lowerLetter"/>
      <w:start w:val="13"/>
    </w:lvl>
  </w:abstractNum>
  <w:abstractNum w:abstractNumId="86">
    <w:nsid w:val="97E1B4E"/>
    <w:multiLevelType w:val="hybridMultilevel"/>
    <w:lvl w:ilvl="0">
      <w:lvlJc w:val="left"/>
      <w:lvlText w:val="(%1)"/>
      <w:numFmt w:val="lowerLetter"/>
      <w:start w:val="61"/>
    </w:lvl>
    <w:lvl w:ilvl="1">
      <w:lvlJc w:val="left"/>
      <w:lvlText w:val="(%2)"/>
      <w:numFmt w:val="lowerLetter"/>
      <w:start w:val="18"/>
    </w:lvl>
  </w:abstractNum>
  <w:abstractNum w:abstractNumId="87">
    <w:nsid w:val="51088277"/>
    <w:multiLevelType w:val="hybridMultilevel"/>
    <w:lvl w:ilvl="0">
      <w:lvlJc w:val="left"/>
      <w:lvlText w:val="(%1)"/>
      <w:numFmt w:val="lowerLetter"/>
      <w:start w:val="21"/>
    </w:lvl>
  </w:abstractNum>
  <w:abstractNum w:abstractNumId="88">
    <w:nsid w:val="1CA0C5FA"/>
    <w:multiLevelType w:val="hybridMultilevel"/>
    <w:lvl w:ilvl="0">
      <w:lvlJc w:val="left"/>
      <w:lvlText w:val="(%1)"/>
      <w:numFmt w:val="lowerRoman"/>
      <w:start w:val="10"/>
    </w:lvl>
  </w:abstractNum>
  <w:abstractNum w:abstractNumId="89">
    <w:nsid w:val="53584BCB"/>
    <w:multiLevelType w:val="hybridMultilevel"/>
    <w:lvl w:ilvl="0">
      <w:lvlJc w:val="left"/>
      <w:lvlText w:val="(%1)"/>
      <w:numFmt w:val="lowerLetter"/>
      <w:start w:val="25"/>
    </w:lvl>
  </w:abstractNum>
  <w:abstractNum w:abstractNumId="90">
    <w:nsid w:val="415E286C"/>
    <w:multiLevelType w:val="hybridMultilevel"/>
    <w:lvl w:ilvl="0">
      <w:lvlJc w:val="left"/>
      <w:lvlText w:val="(%1)"/>
      <w:numFmt w:val="lowerLetter"/>
      <w:start w:val="27"/>
    </w:lvl>
  </w:abstractNum>
  <w:abstractNum w:abstractNumId="91">
    <w:nsid w:val="7C58FD05"/>
    <w:multiLevelType w:val="hybridMultilevel"/>
    <w:lvl w:ilvl="0">
      <w:lvlJc w:val="left"/>
      <w:lvlText w:val="%1"/>
      <w:numFmt w:val="lowerLetter"/>
      <w:start w:val="1"/>
    </w:lvl>
    <w:lvl w:ilvl="1">
      <w:lvlJc w:val="left"/>
      <w:lvlText w:val="(%2)"/>
      <w:numFmt w:val="lowerLetter"/>
      <w:start w:val="29"/>
    </w:lvl>
  </w:abstractNum>
  <w:abstractNum w:abstractNumId="92">
    <w:nsid w:val="23D86AAC"/>
    <w:multiLevelType w:val="hybridMultilevel"/>
    <w:lvl w:ilvl="0">
      <w:lvlJc w:val="left"/>
      <w:lvlText w:val="(%1)"/>
      <w:numFmt w:val="lowerLetter"/>
      <w:start w:val="2"/>
    </w:lvl>
    <w:lvl w:ilvl="1">
      <w:lvlJc w:val="left"/>
      <w:lvlText w:val="%2"/>
      <w:numFmt w:val="lowerLetter"/>
      <w:start w:val="1"/>
    </w:lvl>
  </w:abstractNum>
  <w:abstractNum w:abstractNumId="93">
    <w:nsid w:val="45E6D486"/>
    <w:multiLevelType w:val="hybridMultilevel"/>
    <w:lvl w:ilvl="0">
      <w:lvlJc w:val="left"/>
      <w:lvlText w:val="(%1)"/>
      <w:numFmt w:val="lowerLetter"/>
      <w:start w:val="35"/>
    </w:lvl>
    <w:lvl w:ilvl="1">
      <w:lvlJc w:val="left"/>
      <w:lvlText w:val="%2"/>
      <w:numFmt w:val="lowerLetter"/>
      <w:start w:val="1"/>
    </w:lvl>
  </w:abstractNum>
  <w:abstractNum w:abstractNumId="94">
    <w:nsid w:val="5C10FE21"/>
    <w:multiLevelType w:val="hybridMultilevel"/>
    <w:lvl w:ilvl="0">
      <w:lvlJc w:val="left"/>
      <w:lvlText w:val="(%1)"/>
      <w:numFmt w:val="lowerLetter"/>
      <w:start w:val="61"/>
    </w:lvl>
    <w:lvl w:ilvl="1">
      <w:lvlJc w:val="left"/>
      <w:lvlText w:val="(%2)"/>
      <w:numFmt w:val="lowerLetter"/>
      <w:start w:val="30"/>
    </w:lvl>
  </w:abstractNum>
  <w:abstractNum w:abstractNumId="95">
    <w:nsid w:val="E7FFA2B"/>
    <w:multiLevelType w:val="hybridMultilevel"/>
    <w:lvl w:ilvl="0">
      <w:lvlJc w:val="left"/>
      <w:lvlText w:val="%1"/>
      <w:numFmt w:val="lowerLetter"/>
      <w:start w:val="1"/>
    </w:lvl>
    <w:lvl w:ilvl="1">
      <w:lvlJc w:val="left"/>
      <w:lvlText w:val="(%2)"/>
      <w:numFmt w:val="lowerLetter"/>
      <w:start w:val="31"/>
    </w:lvl>
  </w:abstractNum>
  <w:abstractNum w:abstractNumId="96">
    <w:nsid w:val="3C5991AA"/>
    <w:multiLevelType w:val="hybridMultilevel"/>
    <w:lvl w:ilvl="0">
      <w:lvlJc w:val="left"/>
      <w:lvlText w:val="(%1)"/>
      <w:numFmt w:val="lowerLetter"/>
      <w:start w:val="35"/>
    </w:lvl>
    <w:lvl w:ilvl="1">
      <w:lvlJc w:val="left"/>
      <w:lvlText w:val="%2"/>
      <w:numFmt w:val="lowerLetter"/>
      <w:start w:val="1"/>
    </w:lvl>
  </w:abstractNum>
  <w:abstractNum w:abstractNumId="97">
    <w:nsid w:val="4BD8591A"/>
    <w:multiLevelType w:val="hybridMultilevel"/>
    <w:lvl w:ilvl="0">
      <w:lvlJc w:val="left"/>
      <w:lvlText w:val="(%1)"/>
      <w:numFmt w:val="lowerLetter"/>
      <w:start w:val="32"/>
    </w:lvl>
  </w:abstractNum>
  <w:abstractNum w:abstractNumId="98">
    <w:nsid w:val="78DF6A55"/>
    <w:multiLevelType w:val="hybridMultilevel"/>
    <w:lvl w:ilvl="0">
      <w:lvlJc w:val="left"/>
      <w:lvlText w:val="%1"/>
      <w:numFmt w:val="lowerLetter"/>
      <w:start w:val="1"/>
    </w:lvl>
    <w:lvl w:ilvl="1">
      <w:lvlJc w:val="left"/>
      <w:lvlText w:val="(%2)"/>
      <w:numFmt w:val="lowerLetter"/>
      <w:start w:val="35"/>
    </w:lvl>
  </w:abstractNum>
  <w:abstractNum w:abstractNumId="99">
    <w:nsid w:val="39B7AAA2"/>
    <w:multiLevelType w:val="hybridMultilevel"/>
    <w:lvl w:ilvl="0">
      <w:lvlJc w:val="left"/>
      <w:lvlText w:val="(%1)"/>
      <w:numFmt w:val="lowerLetter"/>
      <w:start w:val="9"/>
    </w:lvl>
    <w:lvl w:ilvl="1">
      <w:lvlJc w:val="left"/>
      <w:lvlText w:val="(%2)"/>
      <w:numFmt w:val="lowerLetter"/>
      <w:start w:val="36"/>
    </w:lvl>
  </w:abstractNum>
  <w:abstractNum w:abstractNumId="100">
    <w:nsid w:val="2B0D8DBE"/>
    <w:multiLevelType w:val="hybridMultilevel"/>
    <w:lvl w:ilvl="0">
      <w:lvlJc w:val="left"/>
      <w:lvlText w:val="(%1)"/>
      <w:numFmt w:val="lowerLetter"/>
      <w:start w:val="35"/>
    </w:lvl>
    <w:lvl w:ilvl="1">
      <w:lvlJc w:val="left"/>
      <w:lvlText w:val="%2"/>
      <w:numFmt w:val="lowerLetter"/>
      <w:start w:val="1"/>
    </w:lvl>
  </w:abstractNum>
  <w:abstractNum w:abstractNumId="101">
    <w:nsid w:val="6C80EC70"/>
    <w:multiLevelType w:val="hybridMultilevel"/>
    <w:lvl w:ilvl="0">
      <w:lvlJc w:val="left"/>
      <w:lvlText w:val="(%1)"/>
      <w:numFmt w:val="lowerLetter"/>
      <w:start w:val="61"/>
    </w:lvl>
    <w:lvl w:ilvl="1">
      <w:lvlJc w:val="left"/>
      <w:lvlText w:val="(%2)"/>
      <w:numFmt w:val="lowerLetter"/>
      <w:start w:val="37"/>
    </w:lvl>
  </w:abstractNum>
  <w:abstractNum w:abstractNumId="102">
    <w:nsid w:val="379E21B5"/>
    <w:multiLevelType w:val="hybridMultilevel"/>
    <w:lvl w:ilvl="0">
      <w:lvlJc w:val="left"/>
      <w:lvlText w:val="(%1)"/>
      <w:numFmt w:val="lowerLetter"/>
      <w:start w:val="38"/>
    </w:lvl>
  </w:abstractNum>
  <w:abstractNum w:abstractNumId="103">
    <w:nsid w:val="69E373"/>
    <w:multiLevelType w:val="hybridMultilevel"/>
    <w:lvl w:ilvl="0">
      <w:lvlJc w:val="left"/>
      <w:lvlText w:val="(%1)"/>
      <w:numFmt w:val="lowerLetter"/>
      <w:start w:val="42"/>
    </w:lvl>
  </w:abstractNum>
  <w:abstractNum w:abstractNumId="104">
    <w:nsid w:val="2C27173B"/>
    <w:multiLevelType w:val="hybridMultilevel"/>
    <w:lvl w:ilvl="0">
      <w:lvlJc w:val="left"/>
      <w:lvlText w:val="%1"/>
      <w:numFmt w:val="decimal"/>
      <w:start w:val="1"/>
    </w:lvl>
    <w:lvl w:ilvl="1">
      <w:lvlJc w:val="left"/>
      <w:lvlText w:val="(%2)"/>
      <w:numFmt w:val="lowerLetter"/>
      <w:start w:val="49"/>
    </w:lvl>
  </w:abstractNum>
  <w:abstractNum w:abstractNumId="105">
    <w:nsid w:val="4C9B0904"/>
    <w:multiLevelType w:val="hybridMultilevel"/>
    <w:lvl w:ilvl="0">
      <w:lvlJc w:val="left"/>
      <w:lvlText w:val="%1."/>
      <w:numFmt w:val="decimal"/>
      <w:start w:val="4"/>
    </w:lvl>
    <w:lvl w:ilvl="1">
      <w:lvlJc w:val="left"/>
      <w:lvlText w:val="(%2)"/>
      <w:numFmt w:val="lowerLetter"/>
      <w:start w:val="1"/>
    </w:lvl>
  </w:abstractNum>
  <w:abstractNum w:abstractNumId="106">
    <w:nsid w:val="6AA7B75C"/>
    <w:multiLevelType w:val="hybridMultilevel"/>
    <w:lvl w:ilvl="0">
      <w:lvlJc w:val="left"/>
      <w:lvlText w:val="(%1)"/>
      <w:numFmt w:val="lowerLetter"/>
      <w:start w:val="2"/>
    </w:lvl>
  </w:abstractNum>
  <w:abstractNum w:abstractNumId="107">
    <w:nsid w:val="1DF029D3"/>
    <w:multiLevelType w:val="hybridMultilevel"/>
    <w:lvl w:ilvl="0">
      <w:lvlJc w:val="left"/>
      <w:lvlText w:val="(%1)"/>
      <w:numFmt w:val="lowerLetter"/>
      <w:start w:val="5"/>
    </w:lvl>
  </w:abstractNum>
  <w:abstractNum w:abstractNumId="108">
    <w:nsid w:val="5675FF36"/>
    <w:multiLevelType w:val="hybridMultilevel"/>
    <w:lvl w:ilvl="0">
      <w:lvlJc w:val="left"/>
      <w:lvlText w:val="(%1)"/>
      <w:numFmt w:val="lowerLetter"/>
      <w:start w:val="61"/>
    </w:lvl>
    <w:lvl w:ilvl="1">
      <w:lvlJc w:val="left"/>
      <w:lvlText w:val="(%2)"/>
      <w:numFmt w:val="lowerLetter"/>
      <w:start w:val="7"/>
    </w:lvl>
  </w:abstractNum>
  <w:abstractNum w:abstractNumId="109">
    <w:nsid w:val="3DD15094"/>
    <w:multiLevelType w:val="hybridMultilevel"/>
    <w:lvl w:ilvl="0">
      <w:lvlJc w:val="left"/>
      <w:lvlText w:val="(%1)"/>
      <w:numFmt w:val="lowerLetter"/>
      <w:start w:val="35"/>
    </w:lvl>
    <w:lvl w:ilvl="1">
      <w:lvlJc w:val="left"/>
      <w:lvlText w:val="%2"/>
      <w:numFmt w:val="lowerLetter"/>
      <w:start w:val="1"/>
    </w:lvl>
  </w:abstractNum>
  <w:abstractNum w:abstractNumId="110">
    <w:nsid w:val="3DB012B3"/>
    <w:multiLevelType w:val="hybridMultilevel"/>
    <w:lvl w:ilvl="0">
      <w:lvlJc w:val="left"/>
      <w:lvlText w:val="%1"/>
      <w:numFmt w:val="decimal"/>
      <w:start w:val="1"/>
    </w:lvl>
    <w:lvl w:ilvl="1">
      <w:lvlJc w:val="left"/>
      <w:lvlText w:val="(%2)"/>
      <w:numFmt w:val="lowerLetter"/>
      <w:start w:val="9"/>
    </w:lvl>
  </w:abstractNum>
  <w:abstractNum w:abstractNumId="111">
    <w:nsid w:val="2708C9AF"/>
    <w:multiLevelType w:val="hybridMultilevel"/>
    <w:lvl w:ilvl="0">
      <w:lvlJc w:val="left"/>
      <w:lvlText w:val="%1."/>
      <w:numFmt w:val="decimal"/>
      <w:start w:val="5"/>
    </w:lvl>
    <w:lvl w:ilvl="1">
      <w:lvlJc w:val="left"/>
      <w:lvlText w:val="(%2)"/>
      <w:numFmt w:val="lowerLetter"/>
      <w:start w:val="1"/>
    </w:lvl>
  </w:abstractNum>
  <w:abstractNum w:abstractNumId="112">
    <w:nsid w:val="5B25ACE2"/>
    <w:multiLevelType w:val="hybridMultilevel"/>
    <w:lvl w:ilvl="0">
      <w:lvlJc w:val="left"/>
      <w:lvlText w:val="(%1)"/>
      <w:numFmt w:val="lowerLetter"/>
      <w:start w:val="61"/>
    </w:lvl>
    <w:lvl w:ilvl="1">
      <w:lvlJc w:val="left"/>
      <w:lvlText w:val="(%2)"/>
      <w:numFmt w:val="lowerLetter"/>
      <w:start w:val="2"/>
    </w:lvl>
  </w:abstractNum>
  <w:abstractNum w:abstractNumId="113">
    <w:nsid w:val="175DFCF0"/>
    <w:multiLevelType w:val="hybridMultilevel"/>
    <w:lvl w:ilvl="0">
      <w:lvlJc w:val="left"/>
      <w:lvlText w:val="%1."/>
      <w:numFmt w:val="decimal"/>
      <w:start w:val="6"/>
    </w:lvl>
    <w:lvl w:ilvl="1">
      <w:lvlJc w:val="left"/>
      <w:lvlText w:val="(%2)"/>
      <w:numFmt w:val="lowerLetter"/>
      <w:start w:val="1"/>
    </w:lvl>
  </w:abstractNum>
  <w:abstractNum w:abstractNumId="114">
    <w:nsid w:val="4F97E3E4"/>
    <w:multiLevelType w:val="hybridMultilevel"/>
    <w:lvl w:ilvl="0">
      <w:lvlJc w:val="left"/>
      <w:lvlText w:val="%1"/>
      <w:numFmt w:val="lowerLetter"/>
      <w:start w:val="1"/>
    </w:lvl>
    <w:lvl w:ilvl="1">
      <w:lvlJc w:val="left"/>
      <w:lvlText w:val="(%2)"/>
      <w:numFmt w:val="lowerLetter"/>
      <w:start w:val="3"/>
    </w:lvl>
  </w:abstractNum>
  <w:abstractNum w:abstractNumId="115">
    <w:nsid w:val="53B0A9E"/>
    <w:multiLevelType w:val="hybridMultilevel"/>
    <w:lvl w:ilvl="0">
      <w:lvlJc w:val="left"/>
      <w:lvlText w:val="(%1)"/>
      <w:numFmt w:val="lowerLetter"/>
      <w:start w:val="35"/>
    </w:lvl>
    <w:lvl w:ilvl="1">
      <w:lvlJc w:val="left"/>
      <w:lvlText w:val="(%2)"/>
      <w:numFmt w:val="lowerLetter"/>
      <w:start w:val="6"/>
    </w:lvl>
  </w:abstractNum>
  <w:abstractNum w:abstractNumId="116">
    <w:nsid w:val="34FD6B4F"/>
    <w:multiLevelType w:val="hybridMultilevel"/>
    <w:lvl w:ilvl="0">
      <w:lvlJc w:val="left"/>
      <w:lvlText w:val="(%1)"/>
      <w:numFmt w:val="lowerLetter"/>
      <w:start w:val="7"/>
    </w:lvl>
  </w:abstractNum>
  <w:abstractNum w:abstractNumId="117">
    <w:nsid w:val="5915FF32"/>
    <w:multiLevelType w:val="hybridMultilevel"/>
    <w:lvl w:ilvl="0">
      <w:lvlJc w:val="left"/>
      <w:lvlText w:val="%1."/>
      <w:numFmt w:val="decimal"/>
      <w:start w:val="7"/>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Letter"/>
      <w:start w:val="3"/>
    </w:lvl>
  </w:abstractNum>
  <w:abstractNum w:abstractNumId="120">
    <w:nsid w:val="2C6E4AFD"/>
    <w:multiLevelType w:val="hybridMultilevel"/>
    <w:lvl w:ilvl="0">
      <w:lvlJc w:val="left"/>
      <w:lvlText w:val="%1"/>
      <w:numFmt w:val="lowerLetter"/>
      <w:start w:val="1"/>
    </w:lvl>
    <w:lvl w:ilvl="1">
      <w:lvlJc w:val="left"/>
      <w:lvlText w:val="(%2)"/>
      <w:numFmt w:val="lowerLetter"/>
      <w:start w:val="4"/>
    </w:lvl>
  </w:abstractNum>
  <w:abstractNum w:abstractNumId="121">
    <w:nsid w:val="17A1B582"/>
    <w:multiLevelType w:val="hybridMultilevel"/>
    <w:lvl w:ilvl="0">
      <w:lvlJc w:val="left"/>
      <w:lvlText w:val="(%1)"/>
      <w:numFmt w:val="lowerLetter"/>
      <w:start w:val="4"/>
    </w:lvl>
    <w:lvl w:ilvl="1">
      <w:lvlJc w:val="left"/>
      <w:lvlText w:val="%2"/>
      <w:numFmt w:val="lowerLetter"/>
      <w:start w:val="1"/>
    </w:lvl>
  </w:abstractNum>
  <w:abstractNum w:abstractNumId="122">
    <w:nsid w:val="4DF72E4E"/>
    <w:multiLevelType w:val="hybridMultilevel"/>
    <w:lvl w:ilvl="0">
      <w:lvlJc w:val="left"/>
      <w:lvlText w:val="(%1)"/>
      <w:numFmt w:val="lowerLetter"/>
      <w:start w:val="4"/>
    </w:lvl>
    <w:lvl w:ilvl="1">
      <w:lvlJc w:val="left"/>
      <w:lvlText w:val="(%2)"/>
      <w:numFmt w:val="lowerLetter"/>
      <w:start w:val="6"/>
    </w:lvl>
  </w:abstractNum>
  <w:abstractNum w:abstractNumId="123">
    <w:nsid w:val="5046B5A9"/>
    <w:multiLevelType w:val="hybridMultilevel"/>
    <w:lvl w:ilvl="0">
      <w:lvlJc w:val="left"/>
      <w:lvlText w:val="%1."/>
      <w:numFmt w:val="decimal"/>
      <w:start w:val="8"/>
    </w:lvl>
  </w:abstractNum>
  <w:abstractNum w:abstractNumId="124">
    <w:nsid w:val="5D888A08"/>
    <w:multiLevelType w:val="hybridMultilevel"/>
    <w:lvl w:ilvl="0">
      <w:lvlJc w:val="left"/>
      <w:lvlText w:val="(%1)"/>
      <w:numFmt w:val="lowerLetter"/>
      <w:start w:val="1"/>
    </w:lvl>
  </w:abstractNum>
  <w:abstractNum w:abstractNumId="125">
    <w:nsid w:val="2A082C70"/>
    <w:multiLevelType w:val="hybridMultilevel"/>
    <w:lvl w:ilvl="0">
      <w:lvlJc w:val="left"/>
      <w:lvlText w:val="(%1)"/>
      <w:numFmt w:val="lowerLetter"/>
      <w:start w:val="2"/>
    </w:lvl>
  </w:abstractNum>
  <w:abstractNum w:abstractNumId="126">
    <w:nsid w:val="5EC6AFD4"/>
    <w:multiLevelType w:val="hybridMultilevel"/>
    <w:lvl w:ilvl="0">
      <w:lvlJc w:val="left"/>
      <w:lvlText w:val="%1."/>
      <w:numFmt w:val="decimal"/>
      <w:start w:val="11"/>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lowerLetter"/>
      <w:start w:val="2"/>
    </w:lvl>
  </w:abstractNum>
  <w:abstractNum w:abstractNumId="129">
    <w:nsid w:val="57A61A29"/>
    <w:multiLevelType w:val="hybridMultilevel"/>
    <w:lvl w:ilvl="0">
      <w:lvlJc w:val="left"/>
      <w:lvlText w:val="%1."/>
      <w:numFmt w:val="decimal"/>
      <w:start w:val="12"/>
    </w:lvl>
  </w:abstractNum>
  <w:abstractNum w:abstractNumId="130">
    <w:nsid w:val="5399C654"/>
    <w:multiLevelType w:val="hybridMultilevel"/>
    <w:lvl w:ilvl="0">
      <w:lvlJc w:val="left"/>
      <w:lvlText w:val="(%1)"/>
      <w:numFmt w:val="lowerLetter"/>
      <w:start w:val="1"/>
    </w:lvl>
  </w:abstractNum>
  <w:abstractNum w:abstractNumId="131">
    <w:nsid w:val="20EE134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2019-12-09T00:19:46Z</dcterms:created>
  <dcterms:modified xsi:type="dcterms:W3CDTF">2019-12-09T00:19:46Z</dcterms:modified>
</cp:coreProperties>
</file>