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chrs-20260630x10q.htm"/>
        <w:bookmarkStart w:id="1" w:name="kschrs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Helvetica;sans-serif" w:hAnsi="Helvetica;sans-serif"/>
          <w:b/>
          <w:sz w:val="36"/>
        </w:rPr>
      </w:pPr>
      <w:bookmarkStart w:id="2" w:name="_a293be68_d358_41ef_9870_d73681a30736"/>
      <w:bookmarkEnd w:id="2"/>
      <w:r>
        <w:rPr>
          <w:rFonts w:ascii="Helvetica;sans-serif" w:hAnsi="Helvetica;sans-serif"/>
          <w:b/>
          <w:sz w:val="36"/>
        </w:rPr>
        <w:t>UNITED STATES</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SECURITIES AND EXCHANGE COMMISSION</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FORM 10-Q</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left"/>
              <w:rPr/>
            </w:pPr>
            <w:r>
              <w:rPr/>
              <w:t>☒</w:t>
            </w:r>
          </w:p>
        </w:tc>
        <w:tc>
          <w:tcPr>
            <w:tcW w:w="9874" w:type="dxa"/>
            <w:tcBorders/>
            <w:vAlign w:val="center"/>
          </w:tcPr>
          <w:p>
            <w:pPr>
              <w:pStyle w:val="TableContents"/>
              <w:bidi w:val="0"/>
              <w:spacing w:before="0" w:after="100"/>
              <w:jc w:val="left"/>
              <w:rPr>
                <w:rFonts w:ascii="Helvetica;sans-serif" w:hAnsi="Helvetica;sans-serif"/>
                <w:b/>
                <w:sz w:val="20"/>
              </w:rPr>
            </w:pPr>
            <w:r>
              <w:rPr>
                <w:rFonts w:ascii="Helvetica;sans-serif" w:hAnsi="Helvetica;sans-serif"/>
                <w:b/>
                <w:sz w:val="20"/>
              </w:rPr>
              <w:t>QUARTERLY REPORT PURSUANT TO SECTION 13 OR 15(d) OF THE SECURITIES EXCHANGE ACT OF 1934</w:t>
            </w:r>
          </w:p>
        </w:tc>
      </w:tr>
    </w:tbl>
    <w:p>
      <w:pPr>
        <w:pStyle w:val="TextBody"/>
        <w:bidi w:val="0"/>
        <w:spacing w:before="0" w:after="100"/>
        <w:ind w:left="0" w:right="0" w:hanging="0"/>
        <w:jc w:val="center"/>
        <w:rPr>
          <w:rFonts w:ascii="Helvetica;sans-serif" w:hAnsi="Helvetica;sans-serif"/>
          <w:b/>
          <w:sz w:val="20"/>
        </w:rPr>
      </w:pPr>
      <w:r>
        <w:rPr>
          <w:rFonts w:ascii="Helvetica;sans-serif" w:hAnsi="Helvetica;sans-serif"/>
          <w:b/>
          <w:sz w:val="20"/>
        </w:rPr>
        <w:t>For the quarterly period ended June 30, 2026</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left"/>
              <w:rPr/>
            </w:pPr>
            <w:r>
              <w:rPr/>
              <w:t>☐</w:t>
            </w:r>
          </w:p>
        </w:tc>
        <w:tc>
          <w:tcPr>
            <w:tcW w:w="9874" w:type="dxa"/>
            <w:tcBorders/>
            <w:vAlign w:val="center"/>
          </w:tcPr>
          <w:p>
            <w:pPr>
              <w:pStyle w:val="TableContents"/>
              <w:bidi w:val="0"/>
              <w:spacing w:before="0" w:after="100"/>
              <w:jc w:val="left"/>
              <w:rPr>
                <w:rFonts w:ascii="Helvetica;sans-serif" w:hAnsi="Helvetica;sans-serif"/>
                <w:b/>
                <w:sz w:val="20"/>
              </w:rPr>
            </w:pPr>
            <w:r>
              <w:rPr>
                <w:rFonts w:ascii="Helvetica;sans-serif" w:hAnsi="Helvetica;sans-serif"/>
                <w:b/>
                <w:sz w:val="20"/>
              </w:rPr>
              <w:t>TRANSITION REPORT PURSUANT TO SECTION 13 OR 15(d) OF THE SECURITIES EXCHANGE ACT OF 1934</w:t>
            </w:r>
          </w:p>
        </w:tc>
      </w:tr>
    </w:tbl>
    <w:p>
      <w:pPr>
        <w:pStyle w:val="TextBody"/>
        <w:bidi w:val="0"/>
        <w:spacing w:before="0" w:after="100"/>
        <w:ind w:left="0" w:right="0" w:hanging="0"/>
        <w:jc w:val="center"/>
        <w:rPr>
          <w:rFonts w:ascii="Helvetica;sans-serif" w:hAnsi="Helvetica;sans-serif"/>
          <w:b/>
          <w:sz w:val="20"/>
        </w:rPr>
      </w:pPr>
      <w:r>
        <w:rPr>
          <w:rFonts w:ascii="Helvetica;sans-serif" w:hAnsi="Helvetica;sans-serif"/>
          <w:b/>
          <w:sz w:val="20"/>
        </w:rPr>
        <w:t>For the transition period from                 to</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Commission File Number: 001-36721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48"/>
        </w:rPr>
      </w:pPr>
      <w:r>
        <w:rPr>
          <w:rFonts w:ascii="Helvetica;sans-serif" w:hAnsi="Helvetica;sans-serif"/>
          <w:b/>
          <w:sz w:val="48"/>
        </w:rPr>
        <w:t>Coherus Oncology, Inc.</w:t>
      </w:r>
    </w:p>
    <w:p>
      <w:pPr>
        <w:pStyle w:val="TextBody"/>
        <w:bidi w:val="0"/>
        <w:spacing w:before="0" w:after="0"/>
        <w:ind w:left="0" w:right="0" w:hanging="0"/>
        <w:jc w:val="center"/>
        <w:rPr>
          <w:rFonts w:ascii="Helvetica;sans-serif" w:hAnsi="Helvetica;sans-serif"/>
          <w:b/>
          <w:i/>
          <w:sz w:val="20"/>
        </w:rPr>
      </w:pPr>
      <w:r>
        <w:rPr>
          <w:rFonts w:ascii="Helvetica;sans-serif" w:hAnsi="Helvetica;sans-serif"/>
          <w:b/>
          <w:i/>
          <w:sz w:val="20"/>
        </w:rPr>
        <w:t>(Exact Name of Registrant as Specified in Its Charter)</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mwZt1NQdjUewZi2eSN-uhw_1_2"/>
      <w:bookmarkStart w:id="4" w:name="Tc_EOc8vBXvO0OaM7wdIcUxuw_1_0"/>
      <w:bookmarkStart w:id="5" w:name="_5eeecf53_145d_447a_9d9d_6302ec5014c7"/>
      <w:bookmarkStart w:id="6" w:name="Tc_mwZt1NQdjUewZi2eSN-uhw_1_2"/>
      <w:bookmarkStart w:id="7" w:name="Tc_EOc8vBXvO0OaM7wdIcUxuw_1_0"/>
      <w:bookmarkStart w:id="8" w:name="_5eeecf53_145d_447a_9d9d_6302ec5014c7"/>
      <w:bookmarkEnd w:id="6"/>
      <w:bookmarkEnd w:id="7"/>
      <w:bookmarkEnd w:id="8"/>
    </w:p>
    <w:tbl>
      <w:tblPr>
        <w:tblW w:w="6628" w:type="dxa"/>
        <w:jc w:val="left"/>
        <w:tblInd w:w="0" w:type="dxa"/>
        <w:tblLayout w:type="fixed"/>
        <w:tblCellMar>
          <w:top w:w="0" w:type="dxa"/>
          <w:left w:w="0" w:type="dxa"/>
          <w:bottom w:w="0" w:type="dxa"/>
          <w:right w:w="0" w:type="dxa"/>
        </w:tblCellMar>
      </w:tblPr>
      <w:tblGrid>
        <w:gridCol w:w="3436"/>
        <w:gridCol w:w="146"/>
        <w:gridCol w:w="3046"/>
      </w:tblGrid>
      <w:tr>
        <w:trPr/>
        <w:tc>
          <w:tcPr>
            <w:tcW w:w="34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27-3615821</w:t>
            </w:r>
          </w:p>
        </w:tc>
      </w:tr>
      <w:tr>
        <w:trPr/>
        <w:tc>
          <w:tcPr>
            <w:tcW w:w="34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(State or Other Jurisdiction of</w:t>
              <w:br/>
              <w:t>Incorporation or Organization)</w:t>
            </w:r>
          </w:p>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333 Twin Dolphin Drive, Suite 600</w:t>
            </w:r>
          </w:p>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Redwood City, California</w:t>
            </w:r>
          </w:p>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(Address of Principal Executive Office)</w:t>
            </w:r>
          </w:p>
        </w:tc>
        <w:tc>
          <w:tcPr>
            <w:tcW w:w="146"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(I.R.S. Employer Identification No.)</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94065</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(Zip Code)</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Helvetica;sans-serif" w:hAnsi="Helvetica;sans-serif"/>
          <w:b/>
          <w:sz w:val="20"/>
        </w:rPr>
      </w:pPr>
      <w:r>
        <w:rPr>
          <w:rFonts w:ascii="Helvetica;sans-serif" w:hAnsi="Helvetica;sans-serif"/>
          <w:b/>
          <w:sz w:val="20"/>
        </w:rPr>
        <w:t>(650) 649-3530</w:t>
      </w:r>
    </w:p>
    <w:p>
      <w:pPr>
        <w:pStyle w:val="TextBody"/>
        <w:bidi w:val="0"/>
        <w:spacing w:before="0" w:after="120"/>
        <w:ind w:left="0" w:right="0" w:hanging="0"/>
        <w:jc w:val="center"/>
        <w:rPr>
          <w:rFonts w:ascii="Helvetica;sans-serif" w:hAnsi="Helvetica;sans-serif"/>
          <w:b/>
          <w:sz w:val="16"/>
        </w:rPr>
      </w:pPr>
      <w:r>
        <w:rPr>
          <w:rFonts w:ascii="Helvetica;sans-serif" w:hAnsi="Helvetica;sans-serif"/>
          <w:b/>
          <w:sz w:val="16"/>
        </w:rPr>
        <w:t>(Registrant’s Telephone Number, Including Area Code)</w:t>
      </w:r>
    </w:p>
    <w:p>
      <w:pPr>
        <w:pStyle w:val="TextBody"/>
        <w:bidi w:val="0"/>
        <w:spacing w:before="0" w:after="0"/>
        <w:ind w:left="0" w:right="0" w:firstLine="490"/>
        <w:jc w:val="left"/>
        <w:rPr>
          <w:rFonts w:ascii="Helvetica;sans-serif" w:hAnsi="Helvetica;sans-serif"/>
          <w:sz w:val="18"/>
        </w:rPr>
      </w:pPr>
      <w:r>
        <w:rPr>
          <w:rFonts w:ascii="Helvetica;sans-serif" w:hAnsi="Helvetica;san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UUuxqGN-YEm26VLimjfAaQ_0_2"/>
      <w:bookmarkStart w:id="10" w:name="Tc_TqZbBf0100yORcrKNnsJQg_0_1"/>
      <w:bookmarkStart w:id="11" w:name="Tc_5ecR_jwNbUqb7NieGS_U8A_0_0"/>
      <w:bookmarkStart w:id="12" w:name="_9326331a_1949_4e18_8f64_ac3c3ea971d7"/>
      <w:bookmarkStart w:id="13" w:name="Tc_UUuxqGN-YEm26VLimjfAaQ_0_2"/>
      <w:bookmarkStart w:id="14" w:name="Tc_TqZbBf0100yORcrKNnsJQg_0_1"/>
      <w:bookmarkStart w:id="15" w:name="Tc_5ecR_jwNbUqb7NieGS_U8A_0_0"/>
      <w:bookmarkStart w:id="16" w:name="_9326331a_1949_4e18_8f64_ac3c3ea971d7"/>
      <w:bookmarkEnd w:id="13"/>
      <w:bookmarkEnd w:id="14"/>
      <w:bookmarkEnd w:id="15"/>
      <w:bookmarkEnd w:id="16"/>
    </w:p>
    <w:tbl>
      <w:tblPr>
        <w:tblW w:w="9378" w:type="dxa"/>
        <w:jc w:val="left"/>
        <w:tblInd w:w="0" w:type="dxa"/>
        <w:tblLayout w:type="fixed"/>
        <w:tblCellMar>
          <w:top w:w="0" w:type="dxa"/>
          <w:left w:w="0" w:type="dxa"/>
          <w:bottom w:w="28" w:type="dxa"/>
          <w:right w:w="0" w:type="dxa"/>
        </w:tblCellMar>
      </w:tblPr>
      <w:tblGrid>
        <w:gridCol w:w="3766"/>
        <w:gridCol w:w="1666"/>
        <w:gridCol w:w="3946"/>
      </w:tblGrid>
      <w:tr>
        <w:trPr/>
        <w:tc>
          <w:tcPr>
            <w:tcW w:w="376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Title of each class</w:t>
            </w:r>
          </w:p>
        </w:tc>
        <w:tc>
          <w:tcPr>
            <w:tcW w:w="166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Trading Symbol(s)</w:t>
            </w:r>
          </w:p>
        </w:tc>
        <w:tc>
          <w:tcPr>
            <w:tcW w:w="394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Name of each exchange on which registered</w:t>
            </w:r>
          </w:p>
        </w:tc>
      </w:tr>
      <w:tr>
        <w:trPr/>
        <w:tc>
          <w:tcPr>
            <w:tcW w:w="37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Common Stock, $0.0001 par value per share</w:t>
            </w:r>
          </w:p>
        </w:tc>
        <w:tc>
          <w:tcPr>
            <w:tcW w:w="166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CHRS</w:t>
            </w:r>
          </w:p>
        </w:tc>
        <w:tc>
          <w:tcPr>
            <w:tcW w:w="394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The Nasdaq Global Market</w:t>
            </w:r>
          </w:p>
        </w:tc>
      </w:tr>
    </w:tbl>
    <w:p>
      <w:pPr>
        <w:pStyle w:val="TextBody"/>
        <w:bidi w:val="0"/>
        <w:spacing w:before="0" w:after="0"/>
        <w:ind w:left="0" w:right="0" w:hanging="0"/>
        <w:jc w:val="left"/>
        <w:rPr/>
      </w:pPr>
      <w:r>
        <w:rPr/>
        <w:t>​</w:t>
      </w:r>
    </w:p>
    <w:p>
      <w:pPr>
        <w:pStyle w:val="TextBody"/>
        <w:bidi w:val="0"/>
        <w:spacing w:before="0" w:after="100"/>
        <w:ind w:left="0" w:right="0" w:firstLine="490"/>
        <w:jc w:val="both"/>
        <w:rPr>
          <w:rFonts w:ascii="Helvetica;sans-serif" w:hAnsi="Helvetica;sans-serif"/>
          <w:sz w:val="20"/>
        </w:rPr>
      </w:pPr>
      <w:r>
        <w:rPr>
          <w:rFonts w:ascii="Helvetica;sans-serif" w:hAnsi="Helvetica;san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00"/>
        <w:ind w:left="0" w:right="0" w:firstLine="490"/>
        <w:jc w:val="both"/>
        <w:rPr>
          <w:rFonts w:ascii="Helvetica;sans-serif" w:hAnsi="Helvetica;sans-serif"/>
          <w:sz w:val="20"/>
        </w:rPr>
      </w:pPr>
      <w:r>
        <w:rPr>
          <w:rFonts w:ascii="Helvetica;sans-serif" w:hAnsi="Helvetica;san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W_D85tAyEEC-YsLti-WSHg_5_3"/>
      <w:bookmarkStart w:id="18" w:name="Tc_PHLfpk4vyEmgHXxQMtjoew_3_3"/>
      <w:bookmarkStart w:id="19" w:name="Tc_qAH3V9n5TkehJfk-6AIctA_3_1"/>
      <w:bookmarkStart w:id="20" w:name="Tc_ov_xaCoZ_kOwGnjdtKkbxw_3_0"/>
      <w:bookmarkStart w:id="21" w:name="Tc_gnZzGHBHykOTsqf3M3L2CA_1_4"/>
      <w:bookmarkStart w:id="22" w:name="Tc_EbqZTyGu8E-T0suDWweVtg_1_1"/>
      <w:bookmarkStart w:id="23" w:name="Tc_qPqncV7SZku_SNRPRxQ8wQ_1_0"/>
      <w:bookmarkStart w:id="24" w:name="_4f495eef_207c_4e39_a9df_15e1408c8d5b"/>
      <w:bookmarkStart w:id="25" w:name="Tc_W_D85tAyEEC-YsLti-WSHg_5_3"/>
      <w:bookmarkStart w:id="26" w:name="Tc_PHLfpk4vyEmgHXxQMtjoew_3_3"/>
      <w:bookmarkStart w:id="27" w:name="Tc_qAH3V9n5TkehJfk-6AIctA_3_1"/>
      <w:bookmarkStart w:id="28" w:name="Tc_ov_xaCoZ_kOwGnjdtKkbxw_3_0"/>
      <w:bookmarkStart w:id="29" w:name="Tc_gnZzGHBHykOTsqf3M3L2CA_1_4"/>
      <w:bookmarkStart w:id="30" w:name="Tc_EbqZTyGu8E-T0suDWweVtg_1_1"/>
      <w:bookmarkStart w:id="31" w:name="Tc_qPqncV7SZku_SNRPRxQ8wQ_1_0"/>
      <w:bookmarkStart w:id="32" w:name="_4f495eef_207c_4e39_a9df_15e1408c8d5b"/>
      <w:bookmarkEnd w:id="25"/>
      <w:bookmarkEnd w:id="26"/>
      <w:bookmarkEnd w:id="27"/>
      <w:bookmarkEnd w:id="28"/>
      <w:bookmarkEnd w:id="29"/>
      <w:bookmarkEnd w:id="30"/>
      <w:bookmarkEnd w:id="31"/>
      <w:bookmarkEnd w:id="32"/>
    </w:p>
    <w:tbl>
      <w:tblPr>
        <w:tblW w:w="5258" w:type="dxa"/>
        <w:jc w:val="left"/>
        <w:tblInd w:w="0" w:type="dxa"/>
        <w:tblLayout w:type="fixed"/>
        <w:tblCellMar>
          <w:top w:w="0" w:type="dxa"/>
          <w:left w:w="0" w:type="dxa"/>
          <w:bottom w:w="0" w:type="dxa"/>
          <w:right w:w="0" w:type="dxa"/>
        </w:tblCellMar>
      </w:tblPr>
      <w:tblGrid>
        <w:gridCol w:w="2041"/>
        <w:gridCol w:w="316"/>
        <w:gridCol w:w="109"/>
        <w:gridCol w:w="2431"/>
        <w:gridCol w:w="361"/>
      </w:tblGrid>
      <w:tr>
        <w:trPr/>
        <w:tc>
          <w:tcPr>
            <w:tcW w:w="20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20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490"/>
        <w:jc w:val="both"/>
        <w:rPr>
          <w:rFonts w:ascii="Helvetica;sans-serif" w:hAnsi="Helvetica;sans-serif"/>
          <w:sz w:val="20"/>
        </w:rPr>
      </w:pPr>
      <w:r>
        <w:rPr>
          <w:rFonts w:ascii="Helvetica;sans-serif" w:hAns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490"/>
        <w:jc w:val="both"/>
        <w:rPr>
          <w:rFonts w:ascii="Helvetica;sans-serif" w:hAnsi="Helvetica;sans-serif"/>
          <w:sz w:val="20"/>
        </w:rPr>
      </w:pPr>
      <w:r>
        <w:rPr>
          <w:rFonts w:ascii="Helvetica;sans-serif" w:hAnsi="Helvetica;sans-serif"/>
          <w:sz w:val="20"/>
        </w:rPr>
        <w:t>Indicate by check mark whether the registrant is a shell company (as defined in Rule 12b-2 of the Exchange Act).   Yes  ☐    No  ☒</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As of July 31, 2026, 154,500,966 shares of the registrant’s common stock were outstanding.</w:t>
      </w:r>
    </w:p>
    <w:p>
      <w:pPr>
        <w:pStyle w:val="TextBody"/>
        <w:bidi w:val="0"/>
        <w:spacing w:before="0" w:after="240"/>
        <w:ind w:left="0" w:right="0" w:firstLine="490"/>
        <w:jc w:val="both"/>
        <w:rPr/>
      </w:pPr>
      <w:r>
        <w:rPr/>
        <w:t>​</w:t>
      </w:r>
    </w:p>
    <w:p>
      <w:pPr>
        <w:pStyle w:val="TextBody"/>
        <w:pBdr>
          <w:top w:val="single" w:sz="8" w:space="1" w:color="000000"/>
          <w:bottom w:val="single" w:sz="24" w:space="1" w:color="000000"/>
        </w:pBdr>
        <w:bidi w:val="0"/>
        <w:spacing w:before="0" w:after="240"/>
        <w:ind w:left="0" w:right="0" w:firstLine="49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Helvetica;sans-serif" w:hAnsi="Helvetica;sans-serif"/>
          <w:b/>
          <w:sz w:val="20"/>
        </w:rPr>
      </w:pPr>
      <w:bookmarkStart w:id="33" w:name="_43be1dba_0101_42a3_ba50_4641b4e822c0"/>
      <w:bookmarkEnd w:id="33"/>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FORM 10-Q FOR THE QUARTER ENDED JUNE 30, 2026</w:t>
      </w:r>
    </w:p>
    <w:p>
      <w:pPr>
        <w:pStyle w:val="TextBody"/>
        <w:bidi w:val="0"/>
        <w:spacing w:before="0" w:after="0"/>
        <w:ind w:left="0" w:right="0" w:hanging="0"/>
        <w:jc w:val="center"/>
        <w:rPr>
          <w:rFonts w:ascii="Helvetica;sans-serif" w:hAnsi="Helvetica;sans-serif"/>
          <w:b/>
          <w:sz w:val="20"/>
        </w:rPr>
      </w:pPr>
      <w:bookmarkStart w:id="34" w:name="TOC"/>
      <w:bookmarkEnd w:id="34"/>
      <w:r>
        <w:rPr>
          <w:rFonts w:ascii="Helvetica;sans-serif" w:hAnsi="Helvetica;sans-serif"/>
          <w:b/>
          <w:sz w:val="20"/>
        </w:rPr>
        <w:t>TABLE OF CONTENTS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88"/>
        <w:gridCol w:w="7929"/>
        <w:gridCol w:w="346"/>
        <w:gridCol w:w="542"/>
      </w:tblGrid>
      <w:tr>
        <w:trPr/>
        <w:tc>
          <w:tcPr>
            <w:tcW w:w="1388" w:type="dxa"/>
            <w:tcBorders/>
            <w:vAlign w:val="center"/>
          </w:tcPr>
          <w:p>
            <w:pPr>
              <w:pStyle w:val="TableHeading"/>
              <w:bidi w:val="0"/>
              <w:spacing w:before="0" w:after="0"/>
              <w:ind w:left="0" w:right="0" w:hanging="0"/>
              <w:jc w:val="left"/>
              <w:rPr/>
            </w:pPr>
            <w:r>
              <w:rPr/>
              <w:t>​</w:t>
            </w:r>
          </w:p>
        </w:tc>
        <w:tc>
          <w:tcPr>
            <w:tcW w:w="792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517140" cy="175260"/>
                      <wp:effectExtent l="0" t="0" r="0" b="0"/>
                      <wp:wrapNone/>
                      <wp:docPr id="1" name="Frame1"/>
                      <a:graphic xmlns:a="http://schemas.openxmlformats.org/drawingml/2006/main">
                        <a:graphicData uri="http://schemas.microsoft.com/office/word/2010/wordprocessingShape">
                          <wps:wsp>
                            <wps:cNvSpPr txBox="1"/>
                            <wps:spPr>
                              <a:xfrm>
                                <a:off x="0" y="0"/>
                                <a:ext cx="251714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9855" cy="175260"/>
                      <wp:effectExtent l="0" t="0" r="0" b="0"/>
                      <wp:wrapNone/>
                      <wp:docPr id="2" name="Frame2"/>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4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2085" cy="175260"/>
                      <wp:effectExtent l="0" t="0" r="0" b="0"/>
                      <wp:wrapNone/>
                      <wp:docPr id="3" name="Frame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388" w:type="dxa"/>
            <w:tcBorders/>
            <w:vAlign w:val="center"/>
          </w:tcPr>
          <w:p>
            <w:pPr>
              <w:pStyle w:val="TableHeading"/>
              <w:bidi w:val="0"/>
              <w:spacing w:before="0" w:after="0"/>
              <w:ind w:left="0" w:right="0" w:hanging="0"/>
              <w:jc w:val="left"/>
              <w:rPr/>
            </w:pPr>
            <w:r>
              <w:rPr/>
              <w:t>​</w:t>
            </w:r>
          </w:p>
        </w:tc>
        <w:tc>
          <w:tcPr>
            <w:tcW w:w="7929"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542" w:type="dxa"/>
            <w:tcBorders>
              <w:bottom w:val="single" w:sz="8" w:space="0" w:color="000000"/>
            </w:tcBorders>
            <w:tcMar>
              <w:bottom w:w="43" w:type="dxa"/>
            </w:tcMar>
            <w:vAlign w:val="center"/>
          </w:tcPr>
          <w:p>
            <w:pPr>
              <w:pStyle w:val="TableHeading"/>
              <w:bidi w:val="0"/>
              <w:spacing w:before="0" w:after="0"/>
              <w:ind w:left="0" w:right="0" w:hanging="0"/>
              <w:jc w:val="left"/>
              <w:rPr>
                <w:rFonts w:ascii="Helvetica;sans-serif" w:hAnsi="Helvetica;sans-serif"/>
                <w:b/>
                <w:sz w:val="16"/>
              </w:rPr>
            </w:pPr>
            <w:r>
              <w:rPr>
                <w:rFonts w:ascii="Helvetica;sans-serif" w:hAnsi="Helvetica;sans-serif"/>
                <w:b/>
                <w:sz w:val="16"/>
              </w:rPr>
              <w:t>Page</w:t>
            </w:r>
          </w:p>
        </w:tc>
      </w:tr>
      <w:tr>
        <w:trPr/>
        <w:tc>
          <w:tcPr>
            <w:tcW w:w="1388" w:type="dxa"/>
            <w:tcBorders/>
            <w:vAlign w:val="center"/>
          </w:tcPr>
          <w:p>
            <w:pPr>
              <w:pStyle w:val="TableHeading"/>
              <w:bidi w:val="0"/>
              <w:spacing w:before="0" w:after="0"/>
              <w:ind w:left="0" w:right="0" w:hanging="0"/>
              <w:jc w:val="left"/>
              <w:rPr/>
            </w:pPr>
            <w:r>
              <w:rPr/>
              <w:t>​</w:t>
            </w:r>
          </w:p>
        </w:tc>
        <w:tc>
          <w:tcPr>
            <w:tcW w:w="7929" w:type="dxa"/>
            <w:tcBorders/>
            <w:vAlign w:val="center"/>
          </w:tcPr>
          <w:p>
            <w:pPr>
              <w:pStyle w:val="TableHeading"/>
              <w:bidi w:val="0"/>
              <w:spacing w:before="0" w:after="0"/>
              <w:ind w:left="0" w:right="0" w:hanging="0"/>
              <w:jc w:val="left"/>
              <w:rPr/>
            </w:pPr>
            <w:hyperlink w:anchor="CAUTIONARYNOTEREGARDINGFORWARDLOOKINGSTA">
              <w:r>
                <w:rPr>
                  <w:rStyle w:val="InternetLink"/>
                  <w:rFonts w:ascii="Helvetica;sans-serif" w:hAnsi="Helvetica;sans-serif"/>
                  <w:b w:val="false"/>
                  <w:i w:val="false"/>
                  <w:caps w:val="false"/>
                  <w:smallCaps w:val="false"/>
                  <w:sz w:val="20"/>
                </w:rPr>
                <w:t>CAUTIONARY NOTE REGARDING FORWARD-LOOKING STATEMENTS</w:t>
              </w:r>
            </w:hyperlink>
          </w:p>
        </w:tc>
        <w:tc>
          <w:tcPr>
            <w:tcW w:w="346" w:type="dxa"/>
            <w:tcBorders/>
            <w:vAlign w:val="center"/>
          </w:tcPr>
          <w:p>
            <w:pPr>
              <w:pStyle w:val="TableHeading"/>
              <w:bidi w:val="0"/>
              <w:spacing w:before="0" w:after="0"/>
              <w:ind w:left="0" w:right="0" w:hanging="0"/>
              <w:jc w:val="right"/>
              <w:rPr/>
            </w:pPr>
            <w:r>
              <w:rPr/>
              <w:t>​</w:t>
            </w:r>
          </w:p>
        </w:tc>
        <w:tc>
          <w:tcPr>
            <w:tcW w:w="542" w:type="dxa"/>
            <w:tcBorders/>
            <w:vAlign w:val="center"/>
          </w:tcPr>
          <w:p>
            <w:pPr>
              <w:pStyle w:val="TableHeading"/>
              <w:bidi w:val="0"/>
              <w:spacing w:before="0" w:after="0"/>
              <w:ind w:left="0" w:right="0" w:hanging="0"/>
              <w:jc w:val="right"/>
              <w:rPr>
                <w:rFonts w:ascii="Helvetica;sans-serif" w:hAnsi="Helvetica;sans-serif"/>
                <w:b w:val="false"/>
                <w:sz w:val="20"/>
              </w:rPr>
            </w:pPr>
            <w:r>
              <w:rPr>
                <w:rFonts w:ascii="Helvetica;sans-serif" w:hAnsi="Helvetica;sans-serif"/>
                <w:b w:val="false"/>
                <w:sz w:val="20"/>
              </w:rPr>
              <w:t xml:space="preserve">3 </w:t>
            </w:r>
          </w:p>
        </w:tc>
      </w:tr>
      <w:tr>
        <w:trPr/>
        <w:tc>
          <w:tcPr>
            <w:tcW w:w="1388" w:type="dxa"/>
            <w:tcBorders/>
            <w:vAlign w:val="center"/>
          </w:tcPr>
          <w:p>
            <w:pPr>
              <w:pStyle w:val="TableContents"/>
              <w:pBdr/>
              <w:bidi w:val="0"/>
              <w:spacing w:before="0" w:after="0"/>
              <w:ind w:left="0" w:right="0" w:hanging="0"/>
              <w:jc w:val="left"/>
              <w:rPr/>
            </w:pPr>
            <w:hyperlink w:anchor="PARTI_729283">
              <w:r>
                <w:rPr>
                  <w:rStyle w:val="InternetLink"/>
                  <w:rFonts w:ascii="Helvetica;sans-serif" w:hAnsi="Helvetica;sans-serif"/>
                  <w:b/>
                  <w:i w:val="false"/>
                  <w:caps w:val="false"/>
                  <w:smallCaps w:val="false"/>
                  <w:sz w:val="20"/>
                </w:rPr>
                <w:t>PART I</w:t>
              </w:r>
            </w:hyperlink>
          </w:p>
        </w:tc>
        <w:tc>
          <w:tcPr>
            <w:tcW w:w="7929" w:type="dxa"/>
            <w:tcBorders/>
            <w:vAlign w:val="center"/>
          </w:tcPr>
          <w:p>
            <w:pPr>
              <w:pStyle w:val="TableContents"/>
              <w:bidi w:val="0"/>
              <w:spacing w:before="0" w:after="0"/>
              <w:ind w:left="0" w:right="0" w:hanging="0"/>
              <w:jc w:val="left"/>
              <w:rPr/>
            </w:pPr>
            <w:hyperlink w:anchor="FINANCIALINFORMATION_522548">
              <w:r>
                <w:rPr>
                  <w:rStyle w:val="InternetLink"/>
                  <w:rFonts w:ascii="Helvetica;sans-serif" w:hAnsi="Helvetica;san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w:t>
            </w:r>
          </w:p>
        </w:tc>
      </w:tr>
      <w:tr>
        <w:trPr/>
        <w:tc>
          <w:tcPr>
            <w:tcW w:w="1388" w:type="dxa"/>
            <w:tcBorders/>
            <w:vAlign w:val="center"/>
          </w:tcPr>
          <w:p>
            <w:pPr>
              <w:pStyle w:val="TableContents"/>
              <w:pBdr/>
              <w:bidi w:val="0"/>
              <w:spacing w:before="0" w:after="0"/>
              <w:ind w:left="0" w:right="0" w:hanging="0"/>
              <w:jc w:val="left"/>
              <w:rPr/>
            </w:pPr>
            <w:hyperlink w:anchor="ITEM1_340806">
              <w:r>
                <w:rPr>
                  <w:rStyle w:val="InternetLink"/>
                  <w:rFonts w:ascii="Helvetica;sans-serif" w:hAnsi="Helvetica;sans-serif"/>
                  <w:b/>
                  <w:i w:val="false"/>
                  <w:caps w:val="false"/>
                  <w:smallCaps w:val="false"/>
                  <w:sz w:val="20"/>
                </w:rPr>
                <w:t>ITEM 1</w:t>
              </w:r>
            </w:hyperlink>
          </w:p>
        </w:tc>
        <w:tc>
          <w:tcPr>
            <w:tcW w:w="7929" w:type="dxa"/>
            <w:tcBorders/>
            <w:vAlign w:val="center"/>
          </w:tcPr>
          <w:p>
            <w:pPr>
              <w:pStyle w:val="TableContents"/>
              <w:bidi w:val="0"/>
              <w:spacing w:before="0" w:after="0"/>
              <w:ind w:left="0" w:right="0" w:hanging="0"/>
              <w:jc w:val="left"/>
              <w:rPr/>
            </w:pPr>
            <w:hyperlink w:anchor="UnauditedCondensedConsolidatedFinancialS">
              <w:r>
                <w:rPr>
                  <w:rStyle w:val="InternetLink"/>
                  <w:rFonts w:ascii="Helvetica;sans-serif" w:hAnsi="Helvetica;sans-serif"/>
                  <w:b w:val="false"/>
                  <w:i w:val="false"/>
                  <w:caps w:val="false"/>
                  <w:smallCaps w:val="false"/>
                  <w:sz w:val="20"/>
                </w:rPr>
                <w:t>Unaudited Condensed Consolidated Financial Statements</w:t>
              </w:r>
            </w:hyperlink>
            <w:r>
              <w:rPr>
                <w:rFonts w:ascii="Helvetica;sans-serif" w:hAnsi="Helvetica;sans-serif"/>
                <w:sz w:val="20"/>
              </w:rPr>
              <w:t xml:space="preserve"> </w:t>
            </w:r>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w:t>
            </w:r>
          </w:p>
        </w:tc>
      </w:tr>
      <w:tr>
        <w:trPr/>
        <w:tc>
          <w:tcPr>
            <w:tcW w:w="1388" w:type="dxa"/>
            <w:tcBorders/>
            <w:vAlign w:val="center"/>
          </w:tcPr>
          <w:p>
            <w:pPr>
              <w:pStyle w:val="TableContents"/>
              <w:bidi w:val="0"/>
              <w:spacing w:before="0" w:after="0"/>
              <w:ind w:left="0" w:right="0" w:hanging="0"/>
              <w:jc w:val="left"/>
              <w:rPr/>
            </w:pPr>
            <w:r>
              <w:rPr/>
              <w:t> </w:t>
            </w:r>
          </w:p>
        </w:tc>
        <w:tc>
          <w:tcPr>
            <w:tcW w:w="7929" w:type="dxa"/>
            <w:tcBorders/>
            <w:vAlign w:val="center"/>
          </w:tcPr>
          <w:p>
            <w:pPr>
              <w:pStyle w:val="TableContents"/>
              <w:bidi w:val="0"/>
              <w:spacing w:before="0" w:after="0"/>
              <w:ind w:left="0" w:right="0" w:hanging="0"/>
              <w:jc w:val="left"/>
              <w:rPr/>
            </w:pPr>
            <w:hyperlink w:anchor="CondensedConsolidatedBalanceSheets_68412">
              <w:r>
                <w:rPr>
                  <w:rStyle w:val="InternetLink"/>
                  <w:rFonts w:ascii="Helvetica;sans-serif" w:hAnsi="Helvetica;sans-serif"/>
                  <w:b w:val="false"/>
                  <w:i w:val="false"/>
                  <w:caps w:val="false"/>
                  <w:smallCaps w:val="false"/>
                  <w:sz w:val="20"/>
                </w:rPr>
                <w:t>Condensed Consolidated Balance Sheets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w:t>
            </w:r>
          </w:p>
        </w:tc>
      </w:tr>
      <w:tr>
        <w:trPr/>
        <w:tc>
          <w:tcPr>
            <w:tcW w:w="1388" w:type="dxa"/>
            <w:tcBorders/>
            <w:vAlign w:val="center"/>
          </w:tcPr>
          <w:p>
            <w:pPr>
              <w:pStyle w:val="TableContents"/>
              <w:bidi w:val="0"/>
              <w:spacing w:before="0" w:after="0"/>
              <w:ind w:left="0" w:right="0" w:hanging="0"/>
              <w:jc w:val="left"/>
              <w:rPr/>
            </w:pPr>
            <w:r>
              <w:rPr/>
              <w:t>​</w:t>
            </w:r>
          </w:p>
        </w:tc>
        <w:tc>
          <w:tcPr>
            <w:tcW w:w="7929" w:type="dxa"/>
            <w:tcBorders/>
            <w:vAlign w:val="center"/>
          </w:tcPr>
          <w:p>
            <w:pPr>
              <w:pStyle w:val="TableContents"/>
              <w:bidi w:val="0"/>
              <w:spacing w:before="0" w:after="0"/>
              <w:ind w:left="0" w:right="0" w:hanging="0"/>
              <w:jc w:val="left"/>
              <w:rPr/>
            </w:pPr>
            <w:hyperlink w:anchor="CondensedConsolidatedStatementsofOperati">
              <w:r>
                <w:rPr>
                  <w:rStyle w:val="InternetLink"/>
                  <w:rFonts w:ascii="Helvetica;sans-serif" w:hAnsi="Helvetica;sans-serif"/>
                  <w:b w:val="false"/>
                  <w:i w:val="false"/>
                  <w:caps w:val="false"/>
                  <w:smallCaps w:val="false"/>
                  <w:sz w:val="20"/>
                </w:rPr>
                <w:t xml:space="preserve">Condensed Consolidated Statements of Operations and Comprehensive Income (Loss) </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w:t>
            </w:r>
          </w:p>
        </w:tc>
      </w:tr>
      <w:tr>
        <w:trPr/>
        <w:tc>
          <w:tcPr>
            <w:tcW w:w="1388" w:type="dxa"/>
            <w:tcBorders/>
            <w:vAlign w:val="center"/>
          </w:tcPr>
          <w:p>
            <w:pPr>
              <w:pStyle w:val="TableContents"/>
              <w:bidi w:val="0"/>
              <w:spacing w:before="0" w:after="0"/>
              <w:ind w:left="0" w:right="0" w:hanging="0"/>
              <w:jc w:val="left"/>
              <w:rPr/>
            </w:pPr>
            <w:r>
              <w:rPr/>
              <w:t>​</w:t>
            </w:r>
          </w:p>
        </w:tc>
        <w:tc>
          <w:tcPr>
            <w:tcW w:w="7929" w:type="dxa"/>
            <w:tcBorders/>
            <w:vAlign w:val="center"/>
          </w:tcPr>
          <w:p>
            <w:pPr>
              <w:pStyle w:val="TableContents"/>
              <w:bidi w:val="0"/>
              <w:spacing w:before="0" w:after="0"/>
              <w:ind w:left="0" w:right="0" w:hanging="0"/>
              <w:jc w:val="left"/>
              <w:rPr/>
            </w:pPr>
            <w:hyperlink w:anchor="CondensedConsolidatedStatementsofStockho">
              <w:r>
                <w:rPr>
                  <w:rStyle w:val="InternetLink"/>
                  <w:rFonts w:ascii="Helvetica;sans-serif" w:hAnsi="Helvetica;sans-serif"/>
                  <w:b w:val="false"/>
                  <w:i w:val="false"/>
                  <w:caps w:val="false"/>
                  <w:smallCaps w:val="false"/>
                  <w:sz w:val="20"/>
                </w:rPr>
                <w:t>Condensed Consolidated Statements of Stockholders’ Equity (Deficit</w:t>
              </w:r>
            </w:hyperlink>
            <w:r>
              <w:rPr>
                <w:rFonts w:ascii="Helvetica;sans-serif" w:hAnsi="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w:t>
            </w:r>
          </w:p>
        </w:tc>
      </w:tr>
      <w:tr>
        <w:trPr/>
        <w:tc>
          <w:tcPr>
            <w:tcW w:w="1388" w:type="dxa"/>
            <w:tcBorders/>
            <w:vAlign w:val="center"/>
          </w:tcPr>
          <w:p>
            <w:pPr>
              <w:pStyle w:val="TableContents"/>
              <w:bidi w:val="0"/>
              <w:spacing w:before="0" w:after="0"/>
              <w:ind w:left="0" w:right="0" w:hanging="0"/>
              <w:jc w:val="left"/>
              <w:rPr/>
            </w:pPr>
            <w:r>
              <w:rPr/>
              <w:t>​</w:t>
            </w:r>
          </w:p>
        </w:tc>
        <w:tc>
          <w:tcPr>
            <w:tcW w:w="7929" w:type="dxa"/>
            <w:tcBorders/>
            <w:vAlign w:val="center"/>
          </w:tcPr>
          <w:p>
            <w:pPr>
              <w:pStyle w:val="TableContents"/>
              <w:bidi w:val="0"/>
              <w:spacing w:before="0" w:after="0"/>
              <w:ind w:left="0" w:right="0" w:hanging="0"/>
              <w:jc w:val="left"/>
              <w:rPr/>
            </w:pPr>
            <w:hyperlink w:anchor="CondensedConsolidatedStatementsofCashFlo">
              <w:r>
                <w:rPr>
                  <w:rStyle w:val="InternetLink"/>
                  <w:rFonts w:ascii="Helvetica;sans-serif" w:hAnsi="Helvetica;sans-serif"/>
                  <w:b w:val="false"/>
                  <w:i w:val="false"/>
                  <w:caps w:val="false"/>
                  <w:smallCaps w:val="false"/>
                  <w:sz w:val="20"/>
                </w:rPr>
                <w:t>Condensed Consolidated Statements of Cash Flows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w:t>
            </w:r>
          </w:p>
        </w:tc>
      </w:tr>
      <w:tr>
        <w:trPr/>
        <w:tc>
          <w:tcPr>
            <w:tcW w:w="1388" w:type="dxa"/>
            <w:tcBorders/>
            <w:vAlign w:val="center"/>
          </w:tcPr>
          <w:p>
            <w:pPr>
              <w:pStyle w:val="TableContents"/>
              <w:bidi w:val="0"/>
              <w:spacing w:before="0" w:after="0"/>
              <w:ind w:left="0" w:right="0" w:hanging="0"/>
              <w:jc w:val="left"/>
              <w:rPr/>
            </w:pPr>
            <w:r>
              <w:rPr/>
              <w:t>​</w:t>
            </w:r>
          </w:p>
        </w:tc>
        <w:tc>
          <w:tcPr>
            <w:tcW w:w="7929" w:type="dxa"/>
            <w:tcBorders/>
            <w:vAlign w:val="center"/>
          </w:tcPr>
          <w:p>
            <w:pPr>
              <w:pStyle w:val="TableContents"/>
              <w:bidi w:val="0"/>
              <w:spacing w:before="0" w:after="0"/>
              <w:ind w:left="0" w:right="0" w:hanging="0"/>
              <w:jc w:val="left"/>
              <w:rPr/>
            </w:pPr>
            <w:hyperlink w:anchor="NotestoCondensedConsolidatedFinancialSta">
              <w:r>
                <w:rPr>
                  <w:rStyle w:val="InternetLink"/>
                  <w:rFonts w:ascii="Helvetica;sans-serif" w:hAnsi="Helvetica;san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w:t>
            </w:r>
          </w:p>
        </w:tc>
      </w:tr>
      <w:tr>
        <w:trPr/>
        <w:tc>
          <w:tcPr>
            <w:tcW w:w="1388" w:type="dxa"/>
            <w:tcBorders/>
            <w:vAlign w:val="center"/>
          </w:tcPr>
          <w:p>
            <w:pPr>
              <w:pStyle w:val="TableContents"/>
              <w:pBdr/>
              <w:bidi w:val="0"/>
              <w:spacing w:before="0" w:after="0"/>
              <w:ind w:left="0" w:right="0" w:hanging="0"/>
              <w:jc w:val="left"/>
              <w:rPr/>
            </w:pPr>
            <w:hyperlink w:anchor="ITEM2_265983">
              <w:r>
                <w:rPr>
                  <w:rStyle w:val="InternetLink"/>
                  <w:rFonts w:ascii="Helvetica;sans-serif" w:hAnsi="Helvetica;sans-serif"/>
                  <w:b/>
                  <w:i w:val="false"/>
                  <w:caps w:val="false"/>
                  <w:smallCaps w:val="false"/>
                  <w:sz w:val="20"/>
                </w:rPr>
                <w:t>ITEM 2</w:t>
              </w:r>
            </w:hyperlink>
          </w:p>
        </w:tc>
        <w:tc>
          <w:tcPr>
            <w:tcW w:w="7929" w:type="dxa"/>
            <w:tcBorders/>
            <w:vAlign w:val="center"/>
          </w:tcPr>
          <w:p>
            <w:pPr>
              <w:pStyle w:val="TableContents"/>
              <w:bidi w:val="0"/>
              <w:spacing w:before="0" w:after="0"/>
              <w:ind w:left="0" w:right="0" w:hanging="0"/>
              <w:jc w:val="left"/>
              <w:rPr/>
            </w:pPr>
            <w:hyperlink w:anchor="ManagementsDiscussionandAnalysisofFinanc">
              <w:r>
                <w:rPr>
                  <w:rStyle w:val="InternetLink"/>
                  <w:rFonts w:ascii="Helvetica;sans-serif" w:hAnsi="Helvetica;san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28</w:t>
            </w:r>
          </w:p>
        </w:tc>
      </w:tr>
      <w:tr>
        <w:trPr/>
        <w:tc>
          <w:tcPr>
            <w:tcW w:w="1388" w:type="dxa"/>
            <w:tcBorders/>
            <w:vAlign w:val="center"/>
          </w:tcPr>
          <w:p>
            <w:pPr>
              <w:pStyle w:val="TableContents"/>
              <w:pBdr/>
              <w:bidi w:val="0"/>
              <w:spacing w:before="0" w:after="0"/>
              <w:ind w:left="0" w:right="0" w:hanging="0"/>
              <w:jc w:val="left"/>
              <w:rPr/>
            </w:pPr>
            <w:hyperlink w:anchor="ITEM3_924534">
              <w:r>
                <w:rPr>
                  <w:rStyle w:val="InternetLink"/>
                  <w:rFonts w:ascii="Helvetica;sans-serif" w:hAnsi="Helvetica;sans-serif"/>
                  <w:b/>
                  <w:i w:val="false"/>
                  <w:caps w:val="false"/>
                  <w:smallCaps w:val="false"/>
                  <w:sz w:val="20"/>
                </w:rPr>
                <w:t>ITEM 3</w:t>
              </w:r>
            </w:hyperlink>
          </w:p>
        </w:tc>
        <w:tc>
          <w:tcPr>
            <w:tcW w:w="7929" w:type="dxa"/>
            <w:tcBorders/>
            <w:vAlign w:val="center"/>
          </w:tcPr>
          <w:p>
            <w:pPr>
              <w:pStyle w:val="TableContents"/>
              <w:bidi w:val="0"/>
              <w:spacing w:before="0" w:after="0"/>
              <w:ind w:left="0" w:right="0" w:hanging="0"/>
              <w:jc w:val="left"/>
              <w:rPr/>
            </w:pPr>
            <w:hyperlink w:anchor="QuantitativeandQualitativeDisclosuresAbo">
              <w:r>
                <w:rPr>
                  <w:rStyle w:val="InternetLink"/>
                  <w:rFonts w:ascii="Helvetica;sans-serif" w:hAnsi="Helvetica;sans-serif"/>
                  <w:b w:val="false"/>
                  <w:i w:val="false"/>
                  <w:caps w:val="false"/>
                  <w:smallCaps w:val="false"/>
                  <w:sz w:val="20"/>
                </w:rPr>
                <w:t>Quantitative and Qualitative Disclosure About Market Risk</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w:t>
            </w:r>
          </w:p>
        </w:tc>
      </w:tr>
      <w:tr>
        <w:trPr/>
        <w:tc>
          <w:tcPr>
            <w:tcW w:w="1388" w:type="dxa"/>
            <w:tcBorders/>
            <w:vAlign w:val="center"/>
          </w:tcPr>
          <w:p>
            <w:pPr>
              <w:pStyle w:val="TableContents"/>
              <w:pBdr/>
              <w:bidi w:val="0"/>
              <w:spacing w:before="0" w:after="0"/>
              <w:ind w:left="0" w:right="0" w:hanging="0"/>
              <w:jc w:val="left"/>
              <w:rPr/>
            </w:pPr>
            <w:hyperlink w:anchor="ITEM4_80244">
              <w:r>
                <w:rPr>
                  <w:rStyle w:val="InternetLink"/>
                  <w:rFonts w:ascii="Helvetica;sans-serif" w:hAnsi="Helvetica;sans-serif"/>
                  <w:b/>
                  <w:i w:val="false"/>
                  <w:caps w:val="false"/>
                  <w:smallCaps w:val="false"/>
                  <w:sz w:val="20"/>
                </w:rPr>
                <w:t>ITEM 4</w:t>
              </w:r>
            </w:hyperlink>
          </w:p>
        </w:tc>
        <w:tc>
          <w:tcPr>
            <w:tcW w:w="7929" w:type="dxa"/>
            <w:tcBorders/>
            <w:vAlign w:val="center"/>
          </w:tcPr>
          <w:p>
            <w:pPr>
              <w:pStyle w:val="TableContents"/>
              <w:bidi w:val="0"/>
              <w:spacing w:before="0" w:after="0"/>
              <w:ind w:left="0" w:right="0" w:hanging="0"/>
              <w:jc w:val="left"/>
              <w:rPr/>
            </w:pPr>
            <w:hyperlink w:anchor="ControlsandProcedures_262474">
              <w:r>
                <w:rPr>
                  <w:rStyle w:val="InternetLink"/>
                  <w:rFonts w:ascii="Helvetica;sans-serif" w:hAnsi="Helvetica;san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w:t>
            </w:r>
          </w:p>
        </w:tc>
      </w:tr>
      <w:tr>
        <w:trPr/>
        <w:tc>
          <w:tcPr>
            <w:tcW w:w="1388" w:type="dxa"/>
            <w:tcBorders/>
            <w:vAlign w:val="center"/>
          </w:tcPr>
          <w:p>
            <w:pPr>
              <w:pStyle w:val="TableContents"/>
              <w:pBdr/>
              <w:bidi w:val="0"/>
              <w:spacing w:before="0" w:after="0"/>
              <w:ind w:left="0" w:right="0" w:hanging="0"/>
              <w:jc w:val="left"/>
              <w:rPr/>
            </w:pPr>
            <w:hyperlink w:anchor="PARTII_679735">
              <w:r>
                <w:rPr>
                  <w:rStyle w:val="InternetLink"/>
                  <w:rFonts w:ascii="Helvetica;sans-serif" w:hAnsi="Helvetica;sans-serif"/>
                  <w:b/>
                  <w:i w:val="false"/>
                  <w:caps w:val="false"/>
                  <w:smallCaps w:val="false"/>
                  <w:sz w:val="20"/>
                </w:rPr>
                <w:t>PART II</w:t>
              </w:r>
            </w:hyperlink>
          </w:p>
        </w:tc>
        <w:tc>
          <w:tcPr>
            <w:tcW w:w="7929" w:type="dxa"/>
            <w:tcBorders/>
            <w:vAlign w:val="center"/>
          </w:tcPr>
          <w:p>
            <w:pPr>
              <w:pStyle w:val="TableContents"/>
              <w:bidi w:val="0"/>
              <w:spacing w:before="0" w:after="0"/>
              <w:ind w:left="0" w:right="0" w:hanging="0"/>
              <w:jc w:val="left"/>
              <w:rPr/>
            </w:pPr>
            <w:hyperlink w:anchor="OTHERINFORMATION_37114">
              <w:r>
                <w:rPr>
                  <w:rStyle w:val="InternetLink"/>
                  <w:rFonts w:ascii="Helvetica;sans-serif" w:hAnsi="Helvetica;san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w:t>
            </w:r>
          </w:p>
        </w:tc>
      </w:tr>
      <w:tr>
        <w:trPr/>
        <w:tc>
          <w:tcPr>
            <w:tcW w:w="1388" w:type="dxa"/>
            <w:tcBorders/>
            <w:vAlign w:val="center"/>
          </w:tcPr>
          <w:p>
            <w:pPr>
              <w:pStyle w:val="TableContents"/>
              <w:pBdr/>
              <w:bidi w:val="0"/>
              <w:spacing w:before="0" w:after="0"/>
              <w:ind w:left="0" w:right="0" w:hanging="0"/>
              <w:jc w:val="left"/>
              <w:rPr/>
            </w:pPr>
            <w:hyperlink w:anchor="ITEM1LegalProceedings_470595">
              <w:r>
                <w:rPr>
                  <w:rStyle w:val="InternetLink"/>
                  <w:rFonts w:ascii="Helvetica;sans-serif" w:hAnsi="Helvetica;sans-serif"/>
                  <w:b/>
                  <w:i w:val="false"/>
                  <w:caps w:val="false"/>
                  <w:smallCaps w:val="false"/>
                  <w:sz w:val="20"/>
                </w:rPr>
                <w:t>ITEM 1</w:t>
              </w:r>
            </w:hyperlink>
          </w:p>
        </w:tc>
        <w:tc>
          <w:tcPr>
            <w:tcW w:w="7929" w:type="dxa"/>
            <w:tcBorders/>
            <w:vAlign w:val="center"/>
          </w:tcPr>
          <w:p>
            <w:pPr>
              <w:pStyle w:val="TableContents"/>
              <w:bidi w:val="0"/>
              <w:spacing w:before="0" w:after="0"/>
              <w:ind w:left="0" w:right="0" w:hanging="0"/>
              <w:jc w:val="left"/>
              <w:rPr/>
            </w:pPr>
            <w:hyperlink w:anchor="ITEM1LegalProceedings_470595">
              <w:r>
                <w:rPr>
                  <w:rStyle w:val="InternetLink"/>
                  <w:rFonts w:ascii="Helvetica;sans-serif" w:hAnsi="Helvetica;san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w:t>
            </w:r>
          </w:p>
        </w:tc>
      </w:tr>
      <w:tr>
        <w:trPr/>
        <w:tc>
          <w:tcPr>
            <w:tcW w:w="1388" w:type="dxa"/>
            <w:tcBorders/>
            <w:vAlign w:val="center"/>
          </w:tcPr>
          <w:p>
            <w:pPr>
              <w:pStyle w:val="TableContents"/>
              <w:pBdr/>
              <w:bidi w:val="0"/>
              <w:spacing w:before="0" w:after="0"/>
              <w:ind w:left="0" w:right="0" w:hanging="0"/>
              <w:jc w:val="left"/>
              <w:rPr/>
            </w:pPr>
            <w:hyperlink w:anchor="RiskFactors">
              <w:r>
                <w:rPr>
                  <w:rStyle w:val="InternetLink"/>
                  <w:rFonts w:ascii="Helvetica;sans-serif" w:hAnsi="Helvetica;sans-serif"/>
                  <w:b/>
                  <w:i w:val="false"/>
                  <w:caps w:val="false"/>
                  <w:smallCaps w:val="false"/>
                  <w:sz w:val="20"/>
                </w:rPr>
                <w:t>ITEM 1A</w:t>
              </w:r>
            </w:hyperlink>
          </w:p>
        </w:tc>
        <w:tc>
          <w:tcPr>
            <w:tcW w:w="7929" w:type="dxa"/>
            <w:tcBorders/>
            <w:vAlign w:val="center"/>
          </w:tcPr>
          <w:p>
            <w:pPr>
              <w:pStyle w:val="TableContents"/>
              <w:bidi w:val="0"/>
              <w:spacing w:before="0" w:after="0"/>
              <w:ind w:left="0" w:right="0" w:hanging="0"/>
              <w:jc w:val="left"/>
              <w:rPr/>
            </w:pPr>
            <w:hyperlink w:anchor="RiskFactors">
              <w:r>
                <w:rPr>
                  <w:rStyle w:val="InternetLink"/>
                  <w:rFonts w:ascii="Helvetica;sans-serif" w:hAnsi="Helvetica;san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w:t>
            </w:r>
          </w:p>
        </w:tc>
      </w:tr>
      <w:tr>
        <w:trPr/>
        <w:tc>
          <w:tcPr>
            <w:tcW w:w="1388"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Helvetica;sans-serif" w:hAnsi="Helvetica;sans-serif"/>
                  <w:b/>
                  <w:i w:val="false"/>
                  <w:caps w:val="false"/>
                  <w:smallCaps w:val="false"/>
                  <w:sz w:val="20"/>
                </w:rPr>
                <w:t>ITEM 2</w:t>
              </w:r>
            </w:hyperlink>
          </w:p>
        </w:tc>
        <w:tc>
          <w:tcPr>
            <w:tcW w:w="7929" w:type="dxa"/>
            <w:tcBorders/>
            <w:vAlign w:val="center"/>
          </w:tcPr>
          <w:p>
            <w:pPr>
              <w:pStyle w:val="TableContents"/>
              <w:bidi w:val="0"/>
              <w:spacing w:before="0" w:after="0"/>
              <w:ind w:left="0" w:right="0" w:hanging="0"/>
              <w:jc w:val="left"/>
              <w:rPr/>
            </w:pPr>
            <w:hyperlink w:anchor="ITEM2UnregisteredSalesofEquitySecurities">
              <w:r>
                <w:rPr>
                  <w:rStyle w:val="InternetLink"/>
                  <w:rFonts w:ascii="Helvetica;sans-serif" w:hAnsi="Helvetica;san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w:t>
            </w:r>
          </w:p>
        </w:tc>
      </w:tr>
      <w:tr>
        <w:trPr/>
        <w:tc>
          <w:tcPr>
            <w:tcW w:w="1388" w:type="dxa"/>
            <w:tcBorders/>
            <w:vAlign w:val="center"/>
          </w:tcPr>
          <w:p>
            <w:pPr>
              <w:pStyle w:val="TableContents"/>
              <w:pBdr/>
              <w:bidi w:val="0"/>
              <w:spacing w:before="0" w:after="0"/>
              <w:ind w:left="0" w:right="0" w:hanging="0"/>
              <w:jc w:val="left"/>
              <w:rPr/>
            </w:pPr>
            <w:hyperlink w:anchor="ITEM3_924534">
              <w:r>
                <w:rPr>
                  <w:rStyle w:val="InternetLink"/>
                  <w:rFonts w:ascii="Helvetica;sans-serif" w:hAnsi="Helvetica;sans-serif"/>
                  <w:b/>
                  <w:i w:val="false"/>
                  <w:caps w:val="false"/>
                  <w:smallCaps w:val="false"/>
                  <w:sz w:val="20"/>
                </w:rPr>
                <w:t>ITEM 3</w:t>
              </w:r>
            </w:hyperlink>
          </w:p>
        </w:tc>
        <w:tc>
          <w:tcPr>
            <w:tcW w:w="7929" w:type="dxa"/>
            <w:tcBorders/>
            <w:vAlign w:val="center"/>
          </w:tcPr>
          <w:p>
            <w:pPr>
              <w:pStyle w:val="TableContents"/>
              <w:bidi w:val="0"/>
              <w:spacing w:before="0" w:after="0"/>
              <w:ind w:left="0" w:right="0" w:hanging="0"/>
              <w:jc w:val="left"/>
              <w:rPr/>
            </w:pPr>
            <w:hyperlink w:anchor="ITEM3DefaultsUponSeniorSecuritiesg_51029">
              <w:r>
                <w:rPr>
                  <w:rStyle w:val="InternetLink"/>
                  <w:rFonts w:ascii="Helvetica;sans-serif" w:hAnsi="Helvetica;san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w:t>
            </w:r>
          </w:p>
        </w:tc>
      </w:tr>
      <w:tr>
        <w:trPr/>
        <w:tc>
          <w:tcPr>
            <w:tcW w:w="1388" w:type="dxa"/>
            <w:tcBorders/>
            <w:vAlign w:val="center"/>
          </w:tcPr>
          <w:p>
            <w:pPr>
              <w:pStyle w:val="TableContents"/>
              <w:pBdr/>
              <w:bidi w:val="0"/>
              <w:spacing w:before="0" w:after="0"/>
              <w:ind w:left="0" w:right="0" w:hanging="0"/>
              <w:jc w:val="left"/>
              <w:rPr/>
            </w:pPr>
            <w:hyperlink w:anchor="ITEM4_80244">
              <w:r>
                <w:rPr>
                  <w:rStyle w:val="InternetLink"/>
                  <w:rFonts w:ascii="Helvetica;sans-serif" w:hAnsi="Helvetica;sans-serif"/>
                  <w:b/>
                  <w:i w:val="false"/>
                  <w:caps w:val="false"/>
                  <w:smallCaps w:val="false"/>
                  <w:sz w:val="20"/>
                </w:rPr>
                <w:t>ITEM 4</w:t>
              </w:r>
            </w:hyperlink>
          </w:p>
        </w:tc>
        <w:tc>
          <w:tcPr>
            <w:tcW w:w="7929" w:type="dxa"/>
            <w:tcBorders/>
            <w:vAlign w:val="center"/>
          </w:tcPr>
          <w:p>
            <w:pPr>
              <w:pStyle w:val="TableContents"/>
              <w:bidi w:val="0"/>
              <w:spacing w:before="0" w:after="0"/>
              <w:ind w:left="0" w:right="0" w:hanging="0"/>
              <w:jc w:val="left"/>
              <w:rPr/>
            </w:pPr>
            <w:hyperlink w:anchor="ITEM4MineSafetyDisclosures_660567">
              <w:r>
                <w:rPr>
                  <w:rStyle w:val="InternetLink"/>
                  <w:rFonts w:ascii="Helvetica;sans-serif" w:hAnsi="Helvetica;san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w:t>
            </w:r>
          </w:p>
        </w:tc>
      </w:tr>
      <w:tr>
        <w:trPr/>
        <w:tc>
          <w:tcPr>
            <w:tcW w:w="1388" w:type="dxa"/>
            <w:tcBorders/>
            <w:vAlign w:val="center"/>
          </w:tcPr>
          <w:p>
            <w:pPr>
              <w:pStyle w:val="TableContents"/>
              <w:pBdr/>
              <w:bidi w:val="0"/>
              <w:spacing w:before="0" w:after="0"/>
              <w:ind w:left="0" w:right="0" w:hanging="0"/>
              <w:jc w:val="left"/>
              <w:rPr/>
            </w:pPr>
            <w:hyperlink w:anchor="ITEM5OtherInformation_658170">
              <w:r>
                <w:rPr>
                  <w:rStyle w:val="InternetLink"/>
                  <w:rFonts w:ascii="Helvetica;sans-serif" w:hAnsi="Helvetica;sans-serif"/>
                  <w:b/>
                  <w:i w:val="false"/>
                  <w:caps w:val="false"/>
                  <w:smallCaps w:val="false"/>
                  <w:sz w:val="20"/>
                </w:rPr>
                <w:t>ITEM 5</w:t>
              </w:r>
            </w:hyperlink>
          </w:p>
        </w:tc>
        <w:tc>
          <w:tcPr>
            <w:tcW w:w="7929" w:type="dxa"/>
            <w:tcBorders/>
            <w:vAlign w:val="center"/>
          </w:tcPr>
          <w:p>
            <w:pPr>
              <w:pStyle w:val="TableContents"/>
              <w:bidi w:val="0"/>
              <w:spacing w:before="0" w:after="0"/>
              <w:ind w:left="0" w:right="0" w:hanging="0"/>
              <w:jc w:val="left"/>
              <w:rPr/>
            </w:pPr>
            <w:hyperlink w:anchor="ITEM5OtherInformation_658170">
              <w:r>
                <w:rPr>
                  <w:rStyle w:val="InternetLink"/>
                  <w:rFonts w:ascii="Helvetica;sans-serif" w:hAnsi="Helvetica;san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85</w:t>
            </w:r>
          </w:p>
        </w:tc>
      </w:tr>
      <w:tr>
        <w:trPr/>
        <w:tc>
          <w:tcPr>
            <w:tcW w:w="1388" w:type="dxa"/>
            <w:tcBorders/>
            <w:vAlign w:val="center"/>
          </w:tcPr>
          <w:p>
            <w:pPr>
              <w:pStyle w:val="TableContents"/>
              <w:pBdr/>
              <w:bidi w:val="0"/>
              <w:spacing w:before="0" w:after="0"/>
              <w:ind w:left="0" w:right="0" w:hanging="0"/>
              <w:jc w:val="left"/>
              <w:rPr/>
            </w:pPr>
            <w:hyperlink w:anchor="ITEM6Exhibits_857545">
              <w:r>
                <w:rPr>
                  <w:rStyle w:val="InternetLink"/>
                  <w:rFonts w:ascii="Helvetica;sans-serif" w:hAnsi="Helvetica;sans-serif"/>
                  <w:b/>
                  <w:i w:val="false"/>
                  <w:caps w:val="false"/>
                  <w:smallCaps w:val="false"/>
                  <w:sz w:val="20"/>
                </w:rPr>
                <w:t>ITEM 6.</w:t>
              </w:r>
            </w:hyperlink>
          </w:p>
        </w:tc>
        <w:tc>
          <w:tcPr>
            <w:tcW w:w="7929" w:type="dxa"/>
            <w:tcBorders/>
            <w:vAlign w:val="center"/>
          </w:tcPr>
          <w:p>
            <w:pPr>
              <w:pStyle w:val="TableContents"/>
              <w:bidi w:val="0"/>
              <w:spacing w:before="0" w:after="0"/>
              <w:ind w:left="0" w:right="0" w:hanging="0"/>
              <w:jc w:val="left"/>
              <w:rPr/>
            </w:pPr>
            <w:hyperlink w:anchor="ITEM6Exhibits_857545">
              <w:r>
                <w:rPr>
                  <w:rStyle w:val="InternetLink"/>
                  <w:rFonts w:ascii="Helvetica;sans-serif" w:hAnsi="Helvetica;san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86</w:t>
            </w:r>
          </w:p>
        </w:tc>
      </w:tr>
      <w:tr>
        <w:trPr/>
        <w:tc>
          <w:tcPr>
            <w:tcW w:w="9317" w:type="dxa"/>
            <w:gridSpan w:val="2"/>
            <w:tcBorders/>
            <w:vAlign w:val="center"/>
          </w:tcPr>
          <w:p>
            <w:pPr>
              <w:pStyle w:val="TableContents"/>
              <w:bidi w:val="0"/>
              <w:spacing w:before="0" w:after="0"/>
              <w:ind w:left="0" w:right="0" w:hanging="0"/>
              <w:jc w:val="left"/>
              <w:rPr/>
            </w:pPr>
            <w:hyperlink w:anchor="SIGNATURES_840188">
              <w:r>
                <w:rPr>
                  <w:rStyle w:val="InternetLink"/>
                  <w:rFonts w:ascii="Helvetica;sans-serif" w:hAnsi="Helvetica;san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87</w:t>
            </w:r>
          </w:p>
        </w:tc>
      </w:tr>
      <w:tr>
        <w:trPr/>
        <w:tc>
          <w:tcPr>
            <w:tcW w:w="9317"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LOQTORZI®, whether or not appearing in large print or with the trademark symbol, is a registered trademark of Coherus. Trademarks and trade names of other companies appearing in this Quarterly Report on Form 10-Q are, to the knowledge of Coherus, the property of their respective owners.</w:t>
            </w:r>
          </w:p>
        </w:tc>
        <w:tc>
          <w:tcPr>
            <w:tcW w:w="346"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Helvetica;sans-serif" w:hAnsi="Helvetica;sans-serif"/>
          <w:b/>
          <w:i/>
          <w:sz w:val="20"/>
        </w:rPr>
      </w:pPr>
      <w:bookmarkStart w:id="35" w:name="CAUTIONARYNOTEREGARDINGFORWARDLOOKINGSTA"/>
      <w:bookmarkStart w:id="36" w:name="_c94bff43_2d26_4dbb_8601_e7b1c1e3906e"/>
      <w:bookmarkEnd w:id="35"/>
      <w:bookmarkEnd w:id="36"/>
      <w:r>
        <w:rPr>
          <w:rFonts w:ascii="Helvetica;sans-serif" w:hAnsi="Helvetica;sans-serif"/>
          <w:b/>
          <w:i/>
          <w:sz w:val="20"/>
        </w:rPr>
        <w:t>CAUTIONARY NOTE REGARDING FORWARD-LOOKING STATEMENTS</w:t>
      </w:r>
    </w:p>
    <w:p>
      <w:pPr>
        <w:pStyle w:val="TextBody"/>
        <w:bidi w:val="0"/>
        <w:spacing w:before="0" w:after="240"/>
        <w:ind w:left="0" w:right="0" w:firstLine="490"/>
        <w:jc w:val="both"/>
        <w:rPr>
          <w:rFonts w:ascii="Helvetica;sans-serif" w:hAnsi="Helvetica;sans-serif"/>
          <w:sz w:val="20"/>
        </w:rPr>
      </w:pPr>
      <w:r>
        <w:rPr>
          <w:rFonts w:ascii="Helvetica;sans-serif" w:hAnsi="Helvetica;sans-serif"/>
          <w:i/>
          <w:sz w:val="20"/>
        </w:rPr>
        <w:t>This Quarterly Report on Form 10-Q contains forward-looking statements regarding future events and our future results that are subject to the safe harbors created under the Securities Act of 1933, as amended (the “Securities Act”), and the Securities Exchange Act of 1934, as amended (the “Exchange Act”).</w:t>
      </w:r>
      <w:r>
        <w:rPr>
          <w:rFonts w:ascii="Helvetica;sans-serif" w:hAnsi="Helvetica;sans-serif"/>
          <w:sz w:val="20"/>
        </w:rPr>
        <w:t xml:space="preserve"> </w:t>
      </w:r>
      <w:r>
        <w:rPr>
          <w:rFonts w:ascii="Helvetica;sans-serif" w:hAnsi="Helvetica;sans-serif"/>
          <w:i/>
          <w:sz w:val="20"/>
        </w:rPr>
        <w:t>Any statements contained herein that are not statements of historical facts contained in this Quarterly Report on Form 10-Q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These forward-looking statements include, but are not limited to,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whether our available cash, cash equivalents and marketable securities, and product sales will be sufficient to fund our planned expenditures and meet our obligations in the future;</w:t>
            </w:r>
          </w:p>
        </w:tc>
      </w:tr>
    </w:tbl>
    <w:p>
      <w:pPr>
        <w:pStyle w:val="TextBody"/>
        <w:bidi w:val="0"/>
        <w:spacing w:before="0" w:after="0"/>
        <w:ind w:left="970" w:right="0" w:hanging="0"/>
        <w:jc w:val="both"/>
        <w:rPr/>
      </w:pPr>
      <w:r>
        <w:rPr/>
        <w:t>​</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sz w:val="20"/>
              </w:rPr>
              <w:t>whether we will be able to continue to maintain or increase sales for our product LOQTORZI</w:t>
            </w:r>
            <w:r>
              <w:rPr>
                <w:rFonts w:ascii="Helvetica;sans-serif" w:hAnsi="Helvetica;sans-serif"/>
                <w:b w:val="false"/>
                <w:i w:val="false"/>
                <w:caps w:val="false"/>
                <w:smallCaps w:val="false"/>
                <w:sz w:val="20"/>
              </w:rPr>
              <w:t>®</w:t>
            </w:r>
            <w:r>
              <w:rPr/>
              <w:t xml:space="preserve"> </w:t>
            </w:r>
            <w:r>
              <w:rPr>
                <w:rFonts w:ascii="Helvetica;sans-serif" w:hAnsi="Helvetica;sans-serif"/>
                <w:b w:val="false"/>
                <w:i/>
                <w:sz w:val="20"/>
              </w:rPr>
              <w:t>(toripalimab-tpzi);</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 w:name="_cp_text_1_168"/>
      <w:bookmarkStart w:id="38" w:name="_cp_blt_1_167"/>
      <w:bookmarkStart w:id="39" w:name="_cp_text_1_168"/>
      <w:bookmarkStart w:id="40" w:name="_cp_blt_1_167"/>
      <w:bookmarkEnd w:id="39"/>
      <w:bookmarkEnd w:id="40"/>
    </w:p>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sz w:val="20"/>
                <w:shd w:fill="FFFFFF" w:val="clear"/>
              </w:rPr>
              <w:t>our expectations regarding our ability to develop and commercialize our product candidates</w:t>
            </w:r>
            <w:r>
              <w:rPr>
                <w:rFonts w:ascii="Helvetica;sans-serif" w:hAnsi="Helvetica;sans-serif"/>
                <w:b w:val="false"/>
                <w:i/>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ability to maintain regulatory approval for our product and our ability to obtain and maintain regulatory approval of our product candidates, if and when approved;</w:t>
            </w:r>
          </w:p>
        </w:tc>
      </w:tr>
    </w:tbl>
    <w:p>
      <w:pPr>
        <w:pStyle w:val="TextBody"/>
        <w:bidi w:val="0"/>
        <w:spacing w:before="0" w:after="0"/>
        <w:ind w:left="0" w:right="0" w:hanging="0"/>
        <w:jc w:val="left"/>
        <w:rPr/>
      </w:pPr>
      <w:r>
        <w:rPr/>
        <w:t>​</w:t>
      </w:r>
    </w:p>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expectations regarding government and third-party payer coverage and reimbursement;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ability to manufacture our product and product candidates in conformity with regulatory requirements and to scale up manufacturing capacity of our product and product candidates for commercial supply;</w:t>
            </w:r>
          </w:p>
        </w:tc>
      </w:tr>
    </w:tbl>
    <w:p>
      <w:pPr>
        <w:pStyle w:val="TextBody"/>
        <w:bidi w:val="0"/>
        <w:spacing w:before="0" w:after="0"/>
        <w:ind w:left="0" w:right="0" w:hanging="0"/>
        <w:jc w:val="left"/>
        <w:rPr/>
      </w:pPr>
      <w:r>
        <w:rPr/>
        <w:t>​</w:t>
      </w:r>
    </w:p>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reliance on third-party contract manufacturers to supply our product candidates and product for us;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expectations regarding the potential market size and the size of the patient populations for our product and product candidates, if approved for commercial use, and expectations regarding our ability to capture a certain percentage of those markets;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expectations about making required future interest and principal payments as they become due in connection with our debt obligations;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financial performance, including, but not limited to, projected net revenue, cost of goods sold, research and development expenses, selling and general administrative expense, and interest expense;</w:t>
            </w:r>
          </w:p>
        </w:tc>
      </w:tr>
    </w:tbl>
    <w:p>
      <w:pPr>
        <w:pStyle w:val="TextBody"/>
        <w:bidi w:val="0"/>
        <w:spacing w:before="0" w:after="0"/>
        <w:ind w:left="970" w:right="0" w:hanging="0"/>
        <w:jc w:val="both"/>
        <w:rPr/>
      </w:pPr>
      <w:r>
        <w:rPr/>
        <w:t>​</w:t>
      </w:r>
    </w:p>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implementation of strategic plans for our business, product and product candidates;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initiation, timing, progress and results of future preclinical and clinical studies and our research and development programs;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likelihood of us receiving either of the $37.5 million payments we are eligible to receive as part of our divestiture of the UDENYCA franchise, depending on post-closing net sales of UDENYCA;</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scope of protection we are able to establish and maintain for intellectual property rights covering our product and product candidates;</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expectations regarding the scope or enforceability of third-party intellectual property rights, or the applicability of such rights to our product and product candidates;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cost, timing and outcomes of potential litigation involving our product and product candidates or other aspects of our business;</w:t>
            </w:r>
          </w:p>
        </w:tc>
      </w:tr>
    </w:tbl>
    <w:p>
      <w:pPr>
        <w:pStyle w:val="TextBody"/>
        <w:bidi w:val="0"/>
        <w:spacing w:before="0" w:after="0"/>
        <w:ind w:left="0" w:right="0" w:hanging="0"/>
        <w:jc w:val="left"/>
        <w:rPr/>
      </w:pPr>
      <w:r>
        <w:rPr/>
        <w:t>​</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reliance on third-party contract research organizations to conduct clinical trials of our product candidates;</w:t>
            </w:r>
          </w:p>
        </w:tc>
      </w:tr>
    </w:tbl>
    <w:p>
      <w:pPr>
        <w:pStyle w:val="TextBody"/>
        <w:bidi w:val="0"/>
        <w:spacing w:before="0" w:after="0"/>
        <w:ind w:left="0" w:right="0" w:hanging="0"/>
        <w:jc w:val="left"/>
        <w:rPr/>
      </w:pPr>
      <w:r>
        <w:rPr/>
        <w:t>​</w:t>
      </w:r>
    </w:p>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benefits of the use of our product and product candidates;</w:t>
            </w:r>
          </w:p>
        </w:tc>
      </w:tr>
    </w:tbl>
    <w:p>
      <w:pPr>
        <w:pStyle w:val="TextBody"/>
        <w:bidi w:val="0"/>
        <w:spacing w:before="0" w:after="0"/>
        <w:ind w:left="0" w:right="0" w:hanging="0"/>
        <w:jc w:val="left"/>
        <w:rPr/>
      </w:pPr>
      <w:r>
        <w:rPr/>
        <w:t>​</w:t>
      </w:r>
    </w:p>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expectations about potential risks, disruptions and losses from future cyberattacks and security incidents;</w:t>
            </w:r>
          </w:p>
        </w:tc>
      </w:tr>
    </w:tbl>
    <w:p>
      <w:pPr>
        <w:pStyle w:val="TextBody"/>
        <w:bidi w:val="0"/>
        <w:spacing w:before="0" w:after="0"/>
        <w:ind w:left="0" w:right="0" w:hanging="0"/>
        <w:jc w:val="left"/>
        <w:rPr/>
      </w:pPr>
      <w:r>
        <w:rPr/>
        <w:t>​</w:t>
      </w:r>
    </w:p>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rate and degree of market acceptance of our current or any future product and product candidates;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our ability to compete with companies who currently are producing competitor products or will produce them in the future;</w:t>
            </w:r>
          </w:p>
        </w:tc>
      </w:tr>
    </w:tbl>
    <w:p>
      <w:pPr>
        <w:pStyle w:val="TextBody"/>
        <w:bidi w:val="0"/>
        <w:spacing w:before="0" w:after="0"/>
        <w:ind w:left="0" w:right="0" w:hanging="0"/>
        <w:jc w:val="left"/>
        <w:rPr/>
      </w:pPr>
      <w:r>
        <w:rPr/>
        <w:t>​</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sz w:val="20"/>
              </w:rPr>
              <w:t>developments and projections relating to our competitors, our market opportunity and our industry; and</w:t>
            </w:r>
            <w:r>
              <w:rPr/>
              <w:t xml:space="preserve">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sz w:val="20"/>
              </w:rPr>
            </w:pPr>
            <w:r>
              <w:rPr>
                <w:rFonts w:ascii="Helvetica;sans-serif" w:hAnsi="Helvetica;sans-serif"/>
                <w:b w:val="false"/>
                <w:i/>
                <w:sz w:val="20"/>
              </w:rPr>
              <w:t>the effects of the continuation of the war in Ukraine and conflicts in the Middle East on our business and prospects.</w:t>
            </w:r>
          </w:p>
        </w:tc>
      </w:tr>
    </w:tbl>
    <w:p>
      <w:pPr>
        <w:pStyle w:val="TextBody"/>
        <w:bidi w:val="0"/>
        <w:spacing w:before="0" w:after="240"/>
        <w:ind w:left="0" w:right="0" w:firstLine="490"/>
        <w:jc w:val="both"/>
        <w:rPr/>
      </w:pPr>
      <w:r>
        <w:rPr/>
        <w:t>​</w:t>
      </w:r>
    </w:p>
    <w:p>
      <w:pPr>
        <w:pStyle w:val="TextBody"/>
        <w:bidi w:val="0"/>
        <w:spacing w:before="0" w:after="0"/>
        <w:ind w:left="0" w:right="0" w:firstLine="490"/>
        <w:jc w:val="both"/>
        <w:rPr>
          <w:rFonts w:ascii="Helvetica;sans-serif" w:hAnsi="Helvetica;sans-serif"/>
          <w:i/>
          <w:sz w:val="20"/>
        </w:rPr>
      </w:pPr>
      <w:r>
        <w:rPr>
          <w:rFonts w:ascii="Helvetica;sans-serif" w:hAnsi="Helvetica;sans-serif"/>
          <w:i/>
          <w:sz w:val="20"/>
        </w:rPr>
        <w:t>We have based these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including those identified in Part II, Item 1A Risk Factors and discussed elsewhere in this Quarterly Report on Form 10-Q. Given these risks and uncertainties, you are cautioned not to place undue reliance on forward-looking statements. The forward-looking statements included in this report are made only as of the date hereof. Except as required under federal securities laws and the rules and regulations of the Securities and Exchange Commission (“SEC”), we do not undertake, and specifically decline, any obligation to update any of these statements or to publicly announce the results of any revisions to any forward-looking statements after the distribution of this report, whether as a result of new information, future events, changes in assumptions or otherwise. Our forward-looking statements do not reflect the potential impact of any future acquisitions, mergers, dispositions, joint ventures, or investments we may make or enter into, except for the acquisition of Surface Oncology, Inc. to the extent described herein.</w:t>
      </w:r>
    </w:p>
    <w:p>
      <w:pPr>
        <w:pStyle w:val="TextBody"/>
        <w:bidi w:val="0"/>
        <w:spacing w:before="0" w:after="240"/>
        <w:ind w:left="0" w:right="0" w:firstLine="490"/>
        <w:jc w:val="both"/>
        <w:rPr/>
      </w:pPr>
      <w:r>
        <w:rPr/>
        <w:t>​</w:t>
      </w:r>
    </w:p>
    <w:p>
      <w:pPr>
        <w:pStyle w:val="TextBody"/>
        <w:bidi w:val="0"/>
        <w:spacing w:before="0" w:after="0"/>
        <w:ind w:left="0" w:right="0" w:firstLine="490"/>
        <w:jc w:val="both"/>
        <w:rPr>
          <w:rFonts w:ascii="Helvetica;sans-serif" w:hAnsi="Helvetica;sans-serif"/>
          <w:i/>
          <w:sz w:val="20"/>
        </w:rPr>
      </w:pPr>
      <w:r>
        <w:rPr>
          <w:rFonts w:ascii="Helvetica;sans-serif" w:hAnsi="Helvetica;sans-serif"/>
          <w:i/>
          <w:sz w:val="20"/>
        </w:rPr>
        <w:t>This Quarterly Report on Form 10-Q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i/>
          <w:sz w:val="20"/>
        </w:rPr>
      </w:pPr>
      <w:bookmarkStart w:id="41" w:name="_7b311a86_dbdd_474d_b6ff_fe72ac6c1356"/>
      <w:bookmarkEnd w:id="41"/>
      <w:r>
        <w:rPr>
          <w:rFonts w:ascii="Helvetica;sans-serif" w:hAnsi="Helvetica;sans-serif"/>
          <w:b/>
          <w:i/>
          <w:sz w:val="20"/>
        </w:rPr>
        <w:t>Risk Factor Summary</w:t>
      </w:r>
    </w:p>
    <w:p>
      <w:pPr>
        <w:pStyle w:val="TextBody"/>
        <w:bidi w:val="0"/>
        <w:spacing w:before="0" w:after="0"/>
        <w:ind w:left="0" w:right="0" w:firstLine="360"/>
        <w:jc w:val="both"/>
        <w:rPr>
          <w:rFonts w:ascii="Helvetica;sans-serif" w:hAnsi="Helvetica;sans-serif"/>
          <w:i/>
          <w:sz w:val="20"/>
        </w:rPr>
      </w:pPr>
      <w:r>
        <w:rPr>
          <w:rFonts w:ascii="Helvetica;sans-serif" w:hAnsi="Helvetica;sans-serif"/>
          <w:i/>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in Part II, Item 1A Risk Factors and should be carefully considered, together with other information in this Quarterly Report on Form 10-Q, including our financial statements and related notes thereto, before making investment decisions regarding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We have a limited history of profitability, which we have not maintained and may not achieve again. We currently have only one approved and marketed product, and we have multiple product candidates that are not approved and still in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We continue to be dependent on the ability to raise funds. This additional funding may not be available on acceptable terms or at all. Failure to obtain this necessary capital when needed may force us to delay, limit or terminate our product development and commercialization efforts or other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commercial success of our existing product or any future products will depend upon the size of the applicable markets and the degree of market acceptance and adoption by prescribing physicians, healthcare providers and the patients to whom our medicines are prescribed. Additionally, obtaining placement on national and/or local clinical guidelines/pathways, as well as coverage on third-party payor formularies, can impact our short and long-term financial performance. </w:t>
            </w:r>
          </w:p>
        </w:tc>
      </w:tr>
    </w:tbl>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product and our product candidates, even if approved, will remain subject to regulatory scrutiny.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val="false"/>
                <w:caps w:val="false"/>
                <w:smallCaps w:val="false"/>
                <w:sz w:val="20"/>
              </w:rPr>
              <w:t>Disruptions at the </w:t>
            </w:r>
            <w:r>
              <w:rPr>
                <w:rFonts w:ascii="Helvetica;sans-serif" w:hAnsi="Helvetica;sans-serif"/>
                <w:b w:val="false"/>
                <w:i w:val="false"/>
                <w:caps w:val="false"/>
                <w:smallCaps w:val="false"/>
                <w:sz w:val="20"/>
                <w:shd w:fill="FFFFFF" w:val="clear"/>
              </w:rPr>
              <w:t xml:space="preserve">U.S. Food and Drug Administration </w:t>
            </w:r>
            <w:r>
              <w:rPr>
                <w:rFonts w:ascii="Helvetica;sans-serif" w:hAnsi="Helvetica;sans-serif"/>
                <w:b w:val="false"/>
                <w:i w:val="false"/>
                <w:caps w:val="false"/>
                <w:smallCaps w:val="false"/>
                <w:sz w:val="20"/>
              </w:rPr>
              <w:t>(“FDA”) and other government agencies caused by funding shortages, staffing limitations, government shut-downs or global health concerns could hinder their ability to hire, retain or deploy key leadership and other personnel, and conduct inspections of manufacturing facilities, or otherwise prevent new or modified products from being developed, or approved or commercialized in a timely manner or at all, which could negatively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product, LOQTORZI, faces, and our product candidates, tagmokitug and casdozokitug, if approved, will face, significant competition from other immuno-oncology biologics and other treatment regimens. If we fail to compete effectively, we may not achieve significant market penetration and expansion.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Healthcare reform measures, including the Inflation Reduction Act (“IRA”) and the One Big Beautiful Bill Act (the “OBBBA”), may increase the difficulty and cost for us to obtain marketing approval for and commercialize our product, affect the prices we may set, and have a material adverse effect on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are highly dependent on the services of our key executives and personnel, including our President and Chief Executive Officer, Dennis M. Lanfear, and if we are not able to retain these members of our management or recruit additional management, product development, and scientific personnel, our business may suffer.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We are subject to a multitude of manufacturing risks and the risks of inaccurately forecasting sales of our product. Any adverse developments affecting the manufacturing operations of our product and product candidates, including the risks associated with transitioning our biomanufacturing processes from an offshoring business model to an onshoring business model, could substantially increase our costs and limit supply for our product and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continuation of the war between Russia and Ukraine and conflicts in the Middle East may exacerbate certain risks we face.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Our product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If we infringe or are alleged to infringe intellectual property rights of third parties, our business could be harmed. Third-party claims of intellectual property infringement may prevent or delay our development and commercialization efforts.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tc>
      </w:tr>
    </w:tbl>
    <w:p>
      <w:pPr>
        <w:pStyle w:val="TextBody"/>
        <w:bidi w:val="0"/>
        <w:spacing w:before="0" w:after="240"/>
        <w:ind w:left="0" w:right="0" w:firstLine="49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sz w:val="20"/>
        </w:rPr>
      </w:pPr>
      <w:bookmarkStart w:id="42" w:name="FINANCIALINFORMATION_522548"/>
      <w:bookmarkStart w:id="43" w:name="PARTI_729283"/>
      <w:bookmarkStart w:id="44" w:name="_f83e7d6c_56de_4f9f_8a66_7ec79e20567c"/>
      <w:bookmarkEnd w:id="42"/>
      <w:bookmarkEnd w:id="43"/>
      <w:bookmarkEnd w:id="44"/>
      <w:r>
        <w:rPr>
          <w:rFonts w:ascii="Helvetica;sans-serif" w:hAnsi="Helvetica;sans-serif"/>
          <w:b/>
          <w:sz w:val="20"/>
        </w:rPr>
        <w:t>PART I. FINANCIAL INFORMATION</w:t>
      </w:r>
    </w:p>
    <w:p>
      <w:pPr>
        <w:pStyle w:val="TextBody"/>
        <w:bidi w:val="0"/>
        <w:spacing w:before="0" w:after="100"/>
        <w:ind w:left="0" w:right="0" w:hanging="0"/>
        <w:jc w:val="left"/>
        <w:rPr>
          <w:rFonts w:ascii="Helvetica;sans-serif" w:hAnsi="Helvetica;sans-serif"/>
          <w:b/>
          <w:sz w:val="20"/>
        </w:rPr>
      </w:pPr>
      <w:bookmarkStart w:id="45" w:name="ITEM1_340806"/>
      <w:bookmarkStart w:id="46" w:name="UnauditedCondensedConsolidatedFinancialS"/>
      <w:bookmarkEnd w:id="45"/>
      <w:bookmarkEnd w:id="46"/>
      <w:r>
        <w:rPr>
          <w:rFonts w:ascii="Helvetica;sans-serif" w:hAnsi="Helvetica;sans-serif"/>
          <w:b/>
          <w:sz w:val="20"/>
        </w:rPr>
        <w:t>ITEM 1.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b/>
          <w:sz w:val="20"/>
        </w:rPr>
      </w:pPr>
      <w:bookmarkStart w:id="47" w:name="CondensedConsolidatedBalanceSheets_68412"/>
      <w:bookmarkEnd w:id="47"/>
      <w:r>
        <w:rPr>
          <w:rFonts w:ascii="Helvetica;sans-serif" w:hAnsi="Helvetica;sans-serif"/>
          <w:b/>
          <w:sz w:val="20"/>
        </w:rPr>
        <w:t>Condensed Consolidated Balance Sheets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 except share and per share data)</w:t>
      </w:r>
    </w:p>
    <w:p>
      <w:pPr>
        <w:pStyle w:val="TextBody"/>
        <w:bidi w:val="0"/>
        <w:spacing w:before="0" w:after="60"/>
        <w:ind w:left="0" w:right="0" w:hanging="0"/>
        <w:jc w:val="center"/>
        <w:rPr>
          <w:rFonts w:ascii="Helvetica;sans-serif" w:hAnsi="Helvetica;sans-serif"/>
          <w:b/>
          <w:sz w:val="20"/>
        </w:rPr>
      </w:pPr>
      <w:r>
        <w:rPr>
          <w:rFonts w:ascii="Helvetica;sans-serif" w:hAnsi="Helvetica;san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8" w:name="Tc_8spR6qqH1ka3dyv3JocXDQ_38_5"/>
      <w:bookmarkStart w:id="49" w:name="Tc_gJyrxpMasUyciYuK82feww_38_2"/>
      <w:bookmarkStart w:id="50" w:name="Tc_LpywFMajvEOeUeWSFYSoVg_38_0"/>
      <w:bookmarkStart w:id="51" w:name="Tc_CWqnYSpnv0uPC_YHmzWceA_37_0"/>
      <w:bookmarkStart w:id="52" w:name="Tc_NZm7x0m7RkyriXy_wCLV5g_36_0"/>
      <w:bookmarkStart w:id="53" w:name="Tc_CPJGxjhN8kOOl3pFJuQ6Tw_35_0"/>
      <w:bookmarkStart w:id="54" w:name="Tc_fAtfWDFCkk2ZJ9n7NNMIzA_34_0"/>
      <w:bookmarkStart w:id="55" w:name="Tc_VMqP_j_7hUCd12TjGSWVJQ_33_0"/>
      <w:bookmarkStart w:id="56" w:name="Tc_VMRnpttKckuwtdBr20cneA_32_0"/>
      <w:bookmarkStart w:id="57" w:name="Tc_F7VLK95Cmk6v2Z18N499dg_31_0"/>
      <w:bookmarkStart w:id="58" w:name="Tc_kPVSqfJ69kG1mgrfstbd2A_30_0"/>
      <w:bookmarkStart w:id="59" w:name="Tc_5BPlk2wWeUOeMEcqsm_BWA_29_0"/>
      <w:bookmarkStart w:id="60" w:name="Tc_b4VyDtAFoUmblBWE2W3taA_28_0"/>
      <w:bookmarkStart w:id="61" w:name="Tc_nw-2z6EsyEOQYV2XG9wKZw_27_0"/>
      <w:bookmarkStart w:id="62" w:name="Tc_pDPPsjfYCkKe2TYpto_Xcg_26_0"/>
      <w:bookmarkStart w:id="63" w:name="Tc_YiBAbCsHLEWzh7QLDuKfmg_25_0"/>
      <w:bookmarkStart w:id="64" w:name="Tc_qd7MHiZvPkOUqGMP9zysug_24_0"/>
      <w:bookmarkStart w:id="65" w:name="Tc_CmrPyCKO7U2T3i3-37BFLA_23_0"/>
      <w:bookmarkStart w:id="66" w:name="Tc_wBejbepah06KEKoli8B4AQ_22_0"/>
      <w:bookmarkStart w:id="67" w:name="Tc_2GxD9XUW-UuSdcC9ZdMsQQ_21_5"/>
      <w:bookmarkStart w:id="68" w:name="Tc_r7l5oYqdOUChBjiRDFM6nQ_21_2"/>
      <w:bookmarkStart w:id="69" w:name="Tc_s-ccpLU58E6NgB-nE-Kdzw_21_0"/>
      <w:bookmarkStart w:id="70" w:name="Tc_KOP3V3yDhkGh6gWz731TzQ_20_0"/>
      <w:bookmarkStart w:id="71" w:name="Tc_5SWrD-24G0KEQsD9jcWqkA_19_0"/>
      <w:bookmarkStart w:id="72" w:name="Tc_SeHZRvMHxUKIBH5fj92viQ_17_5"/>
      <w:bookmarkStart w:id="73" w:name="Tc_bJvIPsh9O0GcDCFi0c6WeQ_17_2"/>
      <w:bookmarkStart w:id="74" w:name="Tc_pQWl0Dq2okSoykXRZTZNJg_17_0"/>
      <w:bookmarkStart w:id="75" w:name="Tc_oufHymia60OcUli12I9YUA_16_0"/>
      <w:bookmarkStart w:id="76" w:name="Tc_vxJPB3M6SEy7RTXZRNU0xQ_15_0"/>
      <w:bookmarkStart w:id="77" w:name="Tc_B--LpWlgP0S-ZFGMMQsldg_14_6"/>
      <w:bookmarkStart w:id="78" w:name="Tc_67DMGLSVKUq46TO9tlHRyQ_14_0"/>
      <w:bookmarkStart w:id="79" w:name="Tc_RI2yhstP-UelQNC_71QBpg_13_0"/>
      <w:bookmarkStart w:id="80" w:name="Tc_Vd_4JjoCjUmOCYCAEl2oQw_12_0"/>
      <w:bookmarkStart w:id="81" w:name="Tc_xaNb8gaJcEiJ9V2tWeV6ow_11_0"/>
      <w:bookmarkStart w:id="82" w:name="Tc_eWYxD3ExTkydMUinK8To6A_10_0"/>
      <w:bookmarkStart w:id="83" w:name="Tc_UWnt4rVJA0mqbmzKugrO8g_9_0"/>
      <w:bookmarkStart w:id="84" w:name="Tc_mWAfd445v0aL0Ep4jyTL8Q_8_0"/>
      <w:bookmarkStart w:id="85" w:name="Tc_e9jgaL7-g0SoYleIS5ihDw_7_0"/>
      <w:bookmarkStart w:id="86" w:name="Tc_ZR-3qDKyHUuhDTIvL2gJ-w_6_0"/>
      <w:bookmarkStart w:id="87" w:name="Tc_FyxxchW_F0-hwHxaovXLPw_5_5"/>
      <w:bookmarkStart w:id="88" w:name="Tc_VKg7scVBrUazFEdtBb6nAg_5_2"/>
      <w:bookmarkStart w:id="89" w:name="Tc_VSJRm32OE0idXfNIB5CTqQ_5_0"/>
      <w:bookmarkStart w:id="90" w:name="Tc_HRNq49zwREG43vjADZznnA_4_0"/>
      <w:bookmarkStart w:id="91" w:name="Tc_0uZl2N0icU2LgCmQcNgWOw_3_0"/>
      <w:bookmarkStart w:id="92" w:name="Tc_JRF4mifAMUGfojApbjwFzA_2_5"/>
      <w:bookmarkStart w:id="93" w:name="Tc_YOs7LAX7PUup84QcvfLNLg_2_2"/>
      <w:bookmarkStart w:id="94" w:name="Tc_tduD07L7lUq5snNm3f7ILA_1_5"/>
      <w:bookmarkStart w:id="95" w:name="Tc_z7zrsny1ckWNmgjrNgNsog_1_2"/>
      <w:bookmarkStart w:id="96" w:name="_6be522db_f95a_4b93_94c8_54dca55aa581"/>
      <w:bookmarkStart w:id="97" w:name="Tc_8spR6qqH1ka3dyv3JocXDQ_38_5"/>
      <w:bookmarkStart w:id="98" w:name="Tc_gJyrxpMasUyciYuK82feww_38_2"/>
      <w:bookmarkStart w:id="99" w:name="Tc_LpywFMajvEOeUeWSFYSoVg_38_0"/>
      <w:bookmarkStart w:id="100" w:name="Tc_CWqnYSpnv0uPC_YHmzWceA_37_0"/>
      <w:bookmarkStart w:id="101" w:name="Tc_NZm7x0m7RkyriXy_wCLV5g_36_0"/>
      <w:bookmarkStart w:id="102" w:name="Tc_CPJGxjhN8kOOl3pFJuQ6Tw_35_0"/>
      <w:bookmarkStart w:id="103" w:name="Tc_fAtfWDFCkk2ZJ9n7NNMIzA_34_0"/>
      <w:bookmarkStart w:id="104" w:name="Tc_VMqP_j_7hUCd12TjGSWVJQ_33_0"/>
      <w:bookmarkStart w:id="105" w:name="Tc_VMRnpttKckuwtdBr20cneA_32_0"/>
      <w:bookmarkStart w:id="106" w:name="Tc_F7VLK95Cmk6v2Z18N499dg_31_0"/>
      <w:bookmarkStart w:id="107" w:name="Tc_kPVSqfJ69kG1mgrfstbd2A_30_0"/>
      <w:bookmarkStart w:id="108" w:name="Tc_5BPlk2wWeUOeMEcqsm_BWA_29_0"/>
      <w:bookmarkStart w:id="109" w:name="Tc_b4VyDtAFoUmblBWE2W3taA_28_0"/>
      <w:bookmarkStart w:id="110" w:name="Tc_nw-2z6EsyEOQYV2XG9wKZw_27_0"/>
      <w:bookmarkStart w:id="111" w:name="Tc_pDPPsjfYCkKe2TYpto_Xcg_26_0"/>
      <w:bookmarkStart w:id="112" w:name="Tc_YiBAbCsHLEWzh7QLDuKfmg_25_0"/>
      <w:bookmarkStart w:id="113" w:name="Tc_qd7MHiZvPkOUqGMP9zysug_24_0"/>
      <w:bookmarkStart w:id="114" w:name="Tc_CmrPyCKO7U2T3i3-37BFLA_23_0"/>
      <w:bookmarkStart w:id="115" w:name="Tc_wBejbepah06KEKoli8B4AQ_22_0"/>
      <w:bookmarkStart w:id="116" w:name="Tc_2GxD9XUW-UuSdcC9ZdMsQQ_21_5"/>
      <w:bookmarkStart w:id="117" w:name="Tc_r7l5oYqdOUChBjiRDFM6nQ_21_2"/>
      <w:bookmarkStart w:id="118" w:name="Tc_s-ccpLU58E6NgB-nE-Kdzw_21_0"/>
      <w:bookmarkStart w:id="119" w:name="Tc_KOP3V3yDhkGh6gWz731TzQ_20_0"/>
      <w:bookmarkStart w:id="120" w:name="Tc_5SWrD-24G0KEQsD9jcWqkA_19_0"/>
      <w:bookmarkStart w:id="121" w:name="Tc_SeHZRvMHxUKIBH5fj92viQ_17_5"/>
      <w:bookmarkStart w:id="122" w:name="Tc_bJvIPsh9O0GcDCFi0c6WeQ_17_2"/>
      <w:bookmarkStart w:id="123" w:name="Tc_pQWl0Dq2okSoykXRZTZNJg_17_0"/>
      <w:bookmarkStart w:id="124" w:name="Tc_oufHymia60OcUli12I9YUA_16_0"/>
      <w:bookmarkStart w:id="125" w:name="Tc_vxJPB3M6SEy7RTXZRNU0xQ_15_0"/>
      <w:bookmarkStart w:id="126" w:name="Tc_B--LpWlgP0S-ZFGMMQsldg_14_6"/>
      <w:bookmarkStart w:id="127" w:name="Tc_67DMGLSVKUq46TO9tlHRyQ_14_0"/>
      <w:bookmarkStart w:id="128" w:name="Tc_RI2yhstP-UelQNC_71QBpg_13_0"/>
      <w:bookmarkStart w:id="129" w:name="Tc_Vd_4JjoCjUmOCYCAEl2oQw_12_0"/>
      <w:bookmarkStart w:id="130" w:name="Tc_xaNb8gaJcEiJ9V2tWeV6ow_11_0"/>
      <w:bookmarkStart w:id="131" w:name="Tc_eWYxD3ExTkydMUinK8To6A_10_0"/>
      <w:bookmarkStart w:id="132" w:name="Tc_UWnt4rVJA0mqbmzKugrO8g_9_0"/>
      <w:bookmarkStart w:id="133" w:name="Tc_mWAfd445v0aL0Ep4jyTL8Q_8_0"/>
      <w:bookmarkStart w:id="134" w:name="Tc_e9jgaL7-g0SoYleIS5ihDw_7_0"/>
      <w:bookmarkStart w:id="135" w:name="Tc_ZR-3qDKyHUuhDTIvL2gJ-w_6_0"/>
      <w:bookmarkStart w:id="136" w:name="Tc_FyxxchW_F0-hwHxaovXLPw_5_5"/>
      <w:bookmarkStart w:id="137" w:name="Tc_VKg7scVBrUazFEdtBb6nAg_5_2"/>
      <w:bookmarkStart w:id="138" w:name="Tc_VSJRm32OE0idXfNIB5CTqQ_5_0"/>
      <w:bookmarkStart w:id="139" w:name="Tc_HRNq49zwREG43vjADZznnA_4_0"/>
      <w:bookmarkStart w:id="140" w:name="Tc_0uZl2N0icU2LgCmQcNgWOw_3_0"/>
      <w:bookmarkStart w:id="141" w:name="Tc_JRF4mifAMUGfojApbjwFzA_2_5"/>
      <w:bookmarkStart w:id="142" w:name="Tc_YOs7LAX7PUup84QcvfLNLg_2_2"/>
      <w:bookmarkStart w:id="143" w:name="Tc_tduD07L7lUq5snNm3f7ILA_1_5"/>
      <w:bookmarkStart w:id="144" w:name="Tc_z7zrsny1ckWNmgjrNgNsog_1_2"/>
      <w:bookmarkStart w:id="145" w:name="_6be522db_f95a_4b93_94c8_54dca55aa581"/>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188"/>
        <w:gridCol w:w="346"/>
        <w:gridCol w:w="196"/>
        <w:gridCol w:w="914"/>
        <w:gridCol w:w="346"/>
        <w:gridCol w:w="201"/>
        <w:gridCol w:w="1014"/>
      </w:tblGrid>
      <w:tr>
        <w:trPr/>
        <w:tc>
          <w:tcPr>
            <w:tcW w:w="7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64380" cy="175260"/>
                      <wp:effectExtent l="0" t="0" r="0" b="0"/>
                      <wp:wrapNone/>
                      <wp:docPr id="4" name="Frame4"/>
                      <a:graphic xmlns:a="http://schemas.openxmlformats.org/drawingml/2006/main">
                        <a:graphicData uri="http://schemas.microsoft.com/office/word/2010/wordprocessingShape">
                          <wps:wsp>
                            <wps:cNvSpPr txBox="1"/>
                            <wps:spPr>
                              <a:xfrm>
                                <a:off x="0" y="0"/>
                                <a:ext cx="4564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0390" cy="175260"/>
                      <wp:effectExtent l="0" t="0" r="0" b="0"/>
                      <wp:wrapNone/>
                      <wp:docPr id="7" name="Frame7"/>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7635" cy="175260"/>
                      <wp:effectExtent l="0" t="0" r="0" b="0"/>
                      <wp:wrapNone/>
                      <wp:docPr id="9" name="Frame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3890" cy="175260"/>
                      <wp:effectExtent l="0" t="0" r="0" b="0"/>
                      <wp:wrapNone/>
                      <wp:docPr id="10" name="Frame10"/>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December 31, </w:t>
            </w:r>
          </w:p>
        </w:tc>
      </w:tr>
      <w:tr>
        <w:trPr/>
        <w:tc>
          <w:tcPr>
            <w:tcW w:w="7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  ​</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  ​</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82,923</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88,879</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Investments in marketable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22,383</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83,246</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Trade receivables,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13,881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17,815</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TSA receivables, net</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372</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603</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5,667</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3,172</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Prepaid manufacturing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3,208</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6,758</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prepaids and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5,354</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6,233</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133,788</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206,706</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865</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1,345</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 xml:space="preserve">Inventory, non-current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8,425</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44,989</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46,239</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assets,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3,116</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4,053</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191,183</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10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258,343</w:t>
            </w:r>
          </w:p>
        </w:tc>
      </w:tr>
      <w:tr>
        <w:trPr/>
        <w:tc>
          <w:tcPr>
            <w:tcW w:w="7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pPr>
            <w:r>
              <w:rPr/>
              <w:t>  ​</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pPr>
            <w:r>
              <w:rPr/>
              <w:t>  ​</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13,168</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9,915</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Accrued rebates, fees and reserves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14,894</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30,397</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TSA payables and accrued liabilities</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22,660</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65,065</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Accrued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9,937</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14,579</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Accrued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14,851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20,430</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75,510</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140,386</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Term loan,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37,247</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37,051</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Other liabilities,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17,588</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19,892</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130,345</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197,329</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Commitments and contingencies (Note 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pPr>
            <w:r>
              <w:rPr/>
              <w:t>  ​</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pPr>
            <w:r>
              <w:rPr/>
              <w:t>  ​</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Preferred stock ($0.0001 par value; shares authorized: 5,000,000; shares issued and outstanding: 0 at June 30, 2026 and December 31, 2025)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Common stock ($0.0001 par value; shares authorized: 300,000,000; shares issued and outstanding: 154,470,363 and 121,154,925 at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12</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1,503,031</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1,444,166</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(195)</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(1,441,927)</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(1,382,969)</w:t>
            </w:r>
          </w:p>
        </w:tc>
      </w:tr>
      <w:tr>
        <w:trPr/>
        <w:tc>
          <w:tcPr>
            <w:tcW w:w="7188" w:type="dxa"/>
            <w:tcBorders/>
            <w:shd w:fill="CCEEFF" w:val="cle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60,838</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61,014</w:t>
            </w:r>
          </w:p>
        </w:tc>
      </w:tr>
      <w:tr>
        <w:trPr/>
        <w:tc>
          <w:tcPr>
            <w:tcW w:w="7188" w:type="dxa"/>
            <w:tcBorders/>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6"/>
              </w:rPr>
            </w:pPr>
            <w:r>
              <w:rPr>
                <w:rFonts w:ascii="Helvetica;sans-serif" w:hAnsi="Helvetica;sans-serif"/>
                <w:sz w:val="16"/>
              </w:rPr>
              <w:t>191,183</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6"/>
              </w:rPr>
            </w:pPr>
            <w:r>
              <w:rPr>
                <w:rFonts w:ascii="Helvetica;sans-serif" w:hAnsi="Helvetica;sans-serif"/>
                <w:sz w:val="16"/>
              </w:rPr>
              <w:t>$</w:t>
            </w:r>
          </w:p>
        </w:tc>
        <w:tc>
          <w:tcPr>
            <w:tcW w:w="1014" w:type="dxa"/>
            <w:tcBorders>
              <w:bottom w:val="double" w:sz="6" w:space="0" w:color="000000"/>
            </w:tcBorders>
            <w:tcMar>
              <w:bottom w:w="28" w:type="dxa"/>
            </w:tcMar>
            <w:vAlign w:val="center"/>
          </w:tcPr>
          <w:p>
            <w:pPr>
              <w:pStyle w:val="TableContents"/>
              <w:bidi w:val="0"/>
              <w:spacing w:before="0" w:after="1"/>
              <w:ind w:left="0" w:right="45" w:hanging="0"/>
              <w:jc w:val="right"/>
              <w:rPr>
                <w:rFonts w:ascii="Helvetica;sans-serif" w:hAnsi="Helvetica;sans-serif"/>
                <w:sz w:val="16"/>
              </w:rPr>
            </w:pPr>
            <w:r>
              <w:rPr>
                <w:rFonts w:ascii="Helvetica;sans-serif" w:hAnsi="Helvetica;sans-serif"/>
                <w:sz w:val="16"/>
              </w:rPr>
              <w:t>258,343</w:t>
            </w:r>
          </w:p>
        </w:tc>
      </w:tr>
    </w:tbl>
    <w:p>
      <w:pPr>
        <w:pStyle w:val="TextBody"/>
        <w:bidi w:val="0"/>
        <w:spacing w:before="0" w:after="240"/>
        <w:ind w:left="0" w:right="0" w:hanging="0"/>
        <w:jc w:val="both"/>
        <w:rPr/>
      </w:pPr>
      <w:r>
        <w:rPr/>
        <w:t>​</w:t>
      </w:r>
    </w:p>
    <w:p>
      <w:pPr>
        <w:pStyle w:val="TextBody"/>
        <w:bidi w:val="0"/>
        <w:spacing w:before="0" w:after="0"/>
        <w:ind w:left="0" w:right="0" w:firstLine="490"/>
        <w:jc w:val="center"/>
        <w:rPr>
          <w:rFonts w:ascii="Helvetica;sans-serif" w:hAnsi="Helvetica;sans-serif"/>
          <w:sz w:val="20"/>
        </w:rPr>
      </w:pPr>
      <w:r>
        <w:rPr>
          <w:rFonts w:ascii="Helvetica;sans-serif" w:hAnsi="Helvetica;sans-serif"/>
          <w:sz w:val="20"/>
        </w:rPr>
        <w:t>See accompanying notes to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Helvetica;sans-serif" w:hAnsi="Helvetica;sans-serif"/>
          <w:b/>
          <w:sz w:val="20"/>
        </w:rPr>
      </w:pPr>
      <w:bookmarkStart w:id="146" w:name="_6ff803e0_e1b9_4e9f_9e03_9add50ecf951"/>
      <w:bookmarkEnd w:id="146"/>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sz w:val="20"/>
        </w:rPr>
      </w:pPr>
      <w:bookmarkStart w:id="147" w:name="CondensedConsolidatedStatementsofOperati"/>
      <w:bookmarkEnd w:id="147"/>
      <w:r>
        <w:rPr>
          <w:rFonts w:ascii="Helvetica;sans-serif" w:hAnsi="Helvetica;sans-serif"/>
          <w:b/>
          <w:sz w:val="20"/>
        </w:rPr>
        <w:t>Condensed Consolidated Statements of Operations</w:t>
      </w:r>
      <w:r>
        <w:rPr>
          <w:rFonts w:ascii="Helvetica;sans-serif" w:hAnsi="Helvetica;sans-serif"/>
          <w:sz w:val="20"/>
        </w:rPr>
        <w:t xml:space="preserve"> </w:t>
      </w:r>
      <w:r>
        <w:rPr>
          <w:rFonts w:ascii="Helvetica;sans-serif" w:hAnsi="Helvetica;sans-serif"/>
          <w:b/>
          <w:sz w:val="20"/>
        </w:rPr>
        <w:t>and Comprehensive Income (Loss)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 except share and per share data)</w:t>
      </w:r>
    </w:p>
    <w:p>
      <w:pPr>
        <w:pStyle w:val="TextBody"/>
        <w:bidi w:val="0"/>
        <w:spacing w:before="0" w:after="240"/>
        <w:ind w:left="0" w:right="0" w:hanging="0"/>
        <w:jc w:val="center"/>
        <w:rPr>
          <w:rFonts w:ascii="Helvetica;sans-serif" w:hAnsi="Helvetica;sans-serif"/>
          <w:b/>
          <w:sz w:val="20"/>
        </w:rPr>
      </w:pPr>
      <w:r>
        <w:rPr>
          <w:rFonts w:ascii="Helvetica;sans-serif" w:hAnsi="Helvetica;sans-serif"/>
          <w:b/>
          <w:sz w:val="20"/>
        </w:rPr>
        <w:t>(unaudited)</w:t>
      </w:r>
    </w:p>
    <w:p>
      <w:pPr>
        <w:pStyle w:val="Normal"/>
        <w:bidi w:val="0"/>
        <w:spacing w:before="0" w:after="0"/>
        <w:jc w:val="left"/>
        <w:rPr>
          <w:sz w:val="4"/>
          <w:szCs w:val="4"/>
        </w:rPr>
      </w:pPr>
      <w:r>
        <w:rPr>
          <w:sz w:val="4"/>
          <w:szCs w:val="4"/>
        </w:rPr>
      </w:r>
      <w:bookmarkStart w:id="148" w:name="Tc_Nw-uHBuwTUGB8npM7TQKkw_30_11"/>
      <w:bookmarkStart w:id="149" w:name="Tc_RhJk2e7kiUSk726yhIbIUQ_30_8"/>
      <w:bookmarkStart w:id="150" w:name="Tc_2oD1uTwwqUCF2Iaw6OjfKw_30_5"/>
      <w:bookmarkStart w:id="151" w:name="Tc_c7Uc-aW9YU2STv4EicXrFA_30_2"/>
      <w:bookmarkStart w:id="152" w:name="Tc_fXLCwIpWPki-T5ml5JN6Uw_30_0"/>
      <w:bookmarkStart w:id="153" w:name="Tc_Mf7vG5rK-0KCj-QOwZ-mog_29_12"/>
      <w:bookmarkStart w:id="154" w:name="Tc_0mRK3aPCVUO5WaqOe3MHvw_29_6"/>
      <w:bookmarkStart w:id="155" w:name="Tc_ewgQONwIzkGzMpSXuBHVzg_29_0"/>
      <w:bookmarkStart w:id="156" w:name="Tc_lTzCK2BnhEGqB4KmhA6yNQ_28_0"/>
      <w:bookmarkStart w:id="157" w:name="Tc_e9oI7m03mE6ewkZXgBre1g_27_11"/>
      <w:bookmarkStart w:id="158" w:name="Tc_PXGErkQJhEysBpnGca_Ldg_27_8"/>
      <w:bookmarkStart w:id="159" w:name="Tc_IFZTltk8XkmsidACEVODPA_27_5"/>
      <w:bookmarkStart w:id="160" w:name="Tc_jW_Odc1Tzkufs1bn4Y13iw_27_2"/>
      <w:bookmarkStart w:id="161" w:name="Tc_UZFDZl9YuEGyFeByP_K5jQ_27_0"/>
      <w:bookmarkStart w:id="162" w:name="Tc_e3E6gYwEuUmDjYLpJ1w2ng_26_0"/>
      <w:bookmarkStart w:id="163" w:name="Tc_zndIetLVI0SjuJYR1sBskA_24_0"/>
      <w:bookmarkStart w:id="164" w:name="Tc_WssAAc6SfUGOSXsZFR6c-Q_23_0"/>
      <w:bookmarkStart w:id="165" w:name="Tc_TYjwZlE6aUW8laKKxbib8w_21_11"/>
      <w:bookmarkStart w:id="166" w:name="Tc_Cf47iWbjyUif10Z2X19rIw_21_8"/>
      <w:bookmarkStart w:id="167" w:name="Tc_BMi0ESoe10GWLj8oJD0hYw_21_5"/>
      <w:bookmarkStart w:id="168" w:name="Tc_c8_-RZcNo0-_3QxAg8F1pw_21_2"/>
      <w:bookmarkStart w:id="169" w:name="Tc_4xMED_0PUUGQqUP1fxPYgg_21_0"/>
      <w:bookmarkStart w:id="170" w:name="Tc_8qF4Rw1rpEiNd3KEb-Kedg_20_11"/>
      <w:bookmarkStart w:id="171" w:name="Tc_J6tqlIPAlUm1aW7DIREYAg_20_8"/>
      <w:bookmarkStart w:id="172" w:name="Tc_PI-o2VTK7U-0XUQFIGnxkw_20_5"/>
      <w:bookmarkStart w:id="173" w:name="Tc_Plrj-IxPfEaU3ljpBpXMPQ_20_2"/>
      <w:bookmarkStart w:id="174" w:name="Tc_PUxr8JE4k0i0KzfFMEf61w_20_0"/>
      <w:bookmarkStart w:id="175" w:name="Tc_GlXr88vod02JHXh1gDlJog_19_11"/>
      <w:bookmarkStart w:id="176" w:name="Tc_zPxvPUxoFEyFrIiY_zqNzw_19_8"/>
      <w:bookmarkStart w:id="177" w:name="Tc_NskRWvljCU2wcvauzuE4eg_19_5"/>
      <w:bookmarkStart w:id="178" w:name="Tc_8lWYwZAEW0GTLnYY6ivszg_19_2"/>
      <w:bookmarkStart w:id="179" w:name="Tc_2H3OpPHf00a72GJgZzVAAw_19_0"/>
      <w:bookmarkStart w:id="180" w:name="Tc_FJYYzcyR3k2iiCI7Q769Aw_17_11"/>
      <w:bookmarkStart w:id="181" w:name="Tc_dhIbHqnxxEKWPmvb13hC_g_17_8"/>
      <w:bookmarkStart w:id="182" w:name="Tc_x3pKRBk5XU2Opyw40yO6DQ_17_5"/>
      <w:bookmarkStart w:id="183" w:name="Tc_pUoWzFXckEKLtCdY2zzKfw_17_2"/>
      <w:bookmarkStart w:id="184" w:name="Tc_2nU_aGhtm0W-beHxHQSjSA_17_0"/>
      <w:bookmarkStart w:id="185" w:name="Tc_5YerkgczsUyo4_LuKSEsVw_16_0"/>
      <w:bookmarkStart w:id="186" w:name="Tc_l2lwsO-YBEKEW80_sjLyaA_15_0"/>
      <w:bookmarkStart w:id="187" w:name="Tc_G3j3Gk9-m02QF4n1a4WRfg_14_12"/>
      <w:bookmarkStart w:id="188" w:name="Tc_OhkCGsJRYkmev3h8UFYnHg_14_9"/>
      <w:bookmarkStart w:id="189" w:name="Tc_B0zmLedjcU-fNa-pdMKBOQ_14_6"/>
      <w:bookmarkStart w:id="190" w:name="Tc_wdUxzjQHk0GrdY-y33j88Q_14_3"/>
      <w:bookmarkStart w:id="191" w:name="Tc_SaH9nEuc1Ealml0b6-2hlQ_14_0"/>
      <w:bookmarkStart w:id="192" w:name="Tc_rC8nVPh-z0-QN7INggth8Q_13_0"/>
      <w:bookmarkStart w:id="193" w:name="Tc_5patwOfO2kSFGHtKEDlh6w_12_0"/>
      <w:bookmarkStart w:id="194" w:name="Tc_x5pbPhli50O2BNk0lUgYZw_11_0"/>
      <w:bookmarkStart w:id="195" w:name="Tc_x2LvASHUNkipFxWpkCY4BA_10_0"/>
      <w:bookmarkStart w:id="196" w:name="Tc_Gxy75zZpkUqndH_fYVM6Yw_9_0"/>
      <w:bookmarkStart w:id="197" w:name="Tc_48UsZkspOU-7sLMB_5bb7A_8_0"/>
      <w:bookmarkStart w:id="198" w:name="Tc_wftYQO5JfUmornRb8DlQ2Q_7_0"/>
      <w:bookmarkStart w:id="199" w:name="Tc_ls-zXEcBCU65uqIDTDYzmA_6_0"/>
      <w:bookmarkStart w:id="200" w:name="Tc_1aw2t9X46U27ZRnwaAkpnQ_5_0"/>
      <w:bookmarkStart w:id="201" w:name="Tc_R_tWhlTfgEGaLJl7wssWLQ_4_11"/>
      <w:bookmarkStart w:id="202" w:name="Tc_BSxKlXc9qkibKNprUSSu_w_4_8"/>
      <w:bookmarkStart w:id="203" w:name="Tc_flTD-dpUoUKS-zhHU08Ugg_4_5"/>
      <w:bookmarkStart w:id="204" w:name="Tc_Vjf5ozSog0-rr6Tb91sBkA_4_2"/>
      <w:bookmarkStart w:id="205" w:name="Tc_f7-cS7blZ0WOYhbBHI2TBg_4_0"/>
      <w:bookmarkStart w:id="206" w:name="Tc_5AAGl-m9AUSZDeO1r1egaw_3_11"/>
      <w:bookmarkStart w:id="207" w:name="Tc_rIGCWAtX6US84HWIWcUHmg_3_8"/>
      <w:bookmarkStart w:id="208" w:name="Tc_iWPILz77EUORXdsMYKy2EA_3_5"/>
      <w:bookmarkStart w:id="209" w:name="Tc_Eut23H1og0OE4qh1VQiwSQ_3_2"/>
      <w:bookmarkStart w:id="210" w:name="Tc_2I4fkpS9dkyz57Cc2Cmjwg_2_8"/>
      <w:bookmarkStart w:id="211" w:name="Tc_IXjM2U6RIUKI5AF_B0MNcw_2_2"/>
      <w:bookmarkStart w:id="212" w:name="Tc_TbcBhxGMWkuWO7h42RBWrA_1_8"/>
      <w:bookmarkStart w:id="213" w:name="Tc_o71Ms-Y6_U6XHK5tZdimPQ_1_2"/>
      <w:bookmarkStart w:id="214" w:name="_cf1e7100_1512_473d_9934_ceec88e0a3d6"/>
      <w:bookmarkStart w:id="215" w:name="_8e1aaad0_46e2_4304_b52f_e3ace6085d47"/>
      <w:bookmarkStart w:id="216" w:name="Tc_Nw-uHBuwTUGB8npM7TQKkw_30_11"/>
      <w:bookmarkStart w:id="217" w:name="Tc_RhJk2e7kiUSk726yhIbIUQ_30_8"/>
      <w:bookmarkStart w:id="218" w:name="Tc_2oD1uTwwqUCF2Iaw6OjfKw_30_5"/>
      <w:bookmarkStart w:id="219" w:name="Tc_c7Uc-aW9YU2STv4EicXrFA_30_2"/>
      <w:bookmarkStart w:id="220" w:name="Tc_fXLCwIpWPki-T5ml5JN6Uw_30_0"/>
      <w:bookmarkStart w:id="221" w:name="Tc_Mf7vG5rK-0KCj-QOwZ-mog_29_12"/>
      <w:bookmarkStart w:id="222" w:name="Tc_0mRK3aPCVUO5WaqOe3MHvw_29_6"/>
      <w:bookmarkStart w:id="223" w:name="Tc_ewgQONwIzkGzMpSXuBHVzg_29_0"/>
      <w:bookmarkStart w:id="224" w:name="Tc_lTzCK2BnhEGqB4KmhA6yNQ_28_0"/>
      <w:bookmarkStart w:id="225" w:name="Tc_e9oI7m03mE6ewkZXgBre1g_27_11"/>
      <w:bookmarkStart w:id="226" w:name="Tc_PXGErkQJhEysBpnGca_Ldg_27_8"/>
      <w:bookmarkStart w:id="227" w:name="Tc_IFZTltk8XkmsidACEVODPA_27_5"/>
      <w:bookmarkStart w:id="228" w:name="Tc_jW_Odc1Tzkufs1bn4Y13iw_27_2"/>
      <w:bookmarkStart w:id="229" w:name="Tc_UZFDZl9YuEGyFeByP_K5jQ_27_0"/>
      <w:bookmarkStart w:id="230" w:name="Tc_e3E6gYwEuUmDjYLpJ1w2ng_26_0"/>
      <w:bookmarkStart w:id="231" w:name="Tc_zndIetLVI0SjuJYR1sBskA_24_0"/>
      <w:bookmarkStart w:id="232" w:name="Tc_WssAAc6SfUGOSXsZFR6c-Q_23_0"/>
      <w:bookmarkStart w:id="233" w:name="Tc_TYjwZlE6aUW8laKKxbib8w_21_11"/>
      <w:bookmarkStart w:id="234" w:name="Tc_Cf47iWbjyUif10Z2X19rIw_21_8"/>
      <w:bookmarkStart w:id="235" w:name="Tc_BMi0ESoe10GWLj8oJD0hYw_21_5"/>
      <w:bookmarkStart w:id="236" w:name="Tc_c8_-RZcNo0-_3QxAg8F1pw_21_2"/>
      <w:bookmarkStart w:id="237" w:name="Tc_4xMED_0PUUGQqUP1fxPYgg_21_0"/>
      <w:bookmarkStart w:id="238" w:name="Tc_8qF4Rw1rpEiNd3KEb-Kedg_20_11"/>
      <w:bookmarkStart w:id="239" w:name="Tc_J6tqlIPAlUm1aW7DIREYAg_20_8"/>
      <w:bookmarkStart w:id="240" w:name="Tc_PI-o2VTK7U-0XUQFIGnxkw_20_5"/>
      <w:bookmarkStart w:id="241" w:name="Tc_Plrj-IxPfEaU3ljpBpXMPQ_20_2"/>
      <w:bookmarkStart w:id="242" w:name="Tc_PUxr8JE4k0i0KzfFMEf61w_20_0"/>
      <w:bookmarkStart w:id="243" w:name="Tc_GlXr88vod02JHXh1gDlJog_19_11"/>
      <w:bookmarkStart w:id="244" w:name="Tc_zPxvPUxoFEyFrIiY_zqNzw_19_8"/>
      <w:bookmarkStart w:id="245" w:name="Tc_NskRWvljCU2wcvauzuE4eg_19_5"/>
      <w:bookmarkStart w:id="246" w:name="Tc_8lWYwZAEW0GTLnYY6ivszg_19_2"/>
      <w:bookmarkStart w:id="247" w:name="Tc_2H3OpPHf00a72GJgZzVAAw_19_0"/>
      <w:bookmarkStart w:id="248" w:name="Tc_FJYYzcyR3k2iiCI7Q769Aw_17_11"/>
      <w:bookmarkStart w:id="249" w:name="Tc_dhIbHqnxxEKWPmvb13hC_g_17_8"/>
      <w:bookmarkStart w:id="250" w:name="Tc_x3pKRBk5XU2Opyw40yO6DQ_17_5"/>
      <w:bookmarkStart w:id="251" w:name="Tc_pUoWzFXckEKLtCdY2zzKfw_17_2"/>
      <w:bookmarkStart w:id="252" w:name="Tc_2nU_aGhtm0W-beHxHQSjSA_17_0"/>
      <w:bookmarkStart w:id="253" w:name="Tc_5YerkgczsUyo4_LuKSEsVw_16_0"/>
      <w:bookmarkStart w:id="254" w:name="Tc_l2lwsO-YBEKEW80_sjLyaA_15_0"/>
      <w:bookmarkStart w:id="255" w:name="Tc_G3j3Gk9-m02QF4n1a4WRfg_14_12"/>
      <w:bookmarkStart w:id="256" w:name="Tc_OhkCGsJRYkmev3h8UFYnHg_14_9"/>
      <w:bookmarkStart w:id="257" w:name="Tc_B0zmLedjcU-fNa-pdMKBOQ_14_6"/>
      <w:bookmarkStart w:id="258" w:name="Tc_wdUxzjQHk0GrdY-y33j88Q_14_3"/>
      <w:bookmarkStart w:id="259" w:name="Tc_SaH9nEuc1Ealml0b6-2hlQ_14_0"/>
      <w:bookmarkStart w:id="260" w:name="Tc_rC8nVPh-z0-QN7INggth8Q_13_0"/>
      <w:bookmarkStart w:id="261" w:name="Tc_5patwOfO2kSFGHtKEDlh6w_12_0"/>
      <w:bookmarkStart w:id="262" w:name="Tc_x5pbPhli50O2BNk0lUgYZw_11_0"/>
      <w:bookmarkStart w:id="263" w:name="Tc_x2LvASHUNkipFxWpkCY4BA_10_0"/>
      <w:bookmarkStart w:id="264" w:name="Tc_Gxy75zZpkUqndH_fYVM6Yw_9_0"/>
      <w:bookmarkStart w:id="265" w:name="Tc_48UsZkspOU-7sLMB_5bb7A_8_0"/>
      <w:bookmarkStart w:id="266" w:name="Tc_wftYQO5JfUmornRb8DlQ2Q_7_0"/>
      <w:bookmarkStart w:id="267" w:name="Tc_ls-zXEcBCU65uqIDTDYzmA_6_0"/>
      <w:bookmarkStart w:id="268" w:name="Tc_1aw2t9X46U27ZRnwaAkpnQ_5_0"/>
      <w:bookmarkStart w:id="269" w:name="Tc_R_tWhlTfgEGaLJl7wssWLQ_4_11"/>
      <w:bookmarkStart w:id="270" w:name="Tc_BSxKlXc9qkibKNprUSSu_w_4_8"/>
      <w:bookmarkStart w:id="271" w:name="Tc_flTD-dpUoUKS-zhHU08Ugg_4_5"/>
      <w:bookmarkStart w:id="272" w:name="Tc_Vjf5ozSog0-rr6Tb91sBkA_4_2"/>
      <w:bookmarkStart w:id="273" w:name="Tc_f7-cS7blZ0WOYhbBHI2TBg_4_0"/>
      <w:bookmarkStart w:id="274" w:name="Tc_5AAGl-m9AUSZDeO1r1egaw_3_11"/>
      <w:bookmarkStart w:id="275" w:name="Tc_rIGCWAtX6US84HWIWcUHmg_3_8"/>
      <w:bookmarkStart w:id="276" w:name="Tc_iWPILz77EUORXdsMYKy2EA_3_5"/>
      <w:bookmarkStart w:id="277" w:name="Tc_Eut23H1og0OE4qh1VQiwSQ_3_2"/>
      <w:bookmarkStart w:id="278" w:name="Tc_2I4fkpS9dkyz57Cc2Cmjwg_2_8"/>
      <w:bookmarkStart w:id="279" w:name="Tc_IXjM2U6RIUKI5AF_B0MNcw_2_2"/>
      <w:bookmarkStart w:id="280" w:name="Tc_TbcBhxGMWkuWO7h42RBWrA_1_8"/>
      <w:bookmarkStart w:id="281" w:name="Tc_o71Ms-Y6_U6XHK5tZdimPQ_1_2"/>
      <w:bookmarkStart w:id="282" w:name="_cf1e7100_1512_473d_9934_ceec88e0a3d6"/>
      <w:bookmarkStart w:id="283" w:name="_8e1aaad0_46e2_4304_b52f_e3ace6085d47"/>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bl>
      <w:tblPr>
        <w:tblW w:w="10205" w:type="dxa"/>
        <w:jc w:val="left"/>
        <w:tblInd w:w="0" w:type="dxa"/>
        <w:tblLayout w:type="fixed"/>
        <w:tblCellMar>
          <w:top w:w="0" w:type="dxa"/>
          <w:left w:w="0" w:type="dxa"/>
          <w:bottom w:w="0" w:type="dxa"/>
          <w:right w:w="0" w:type="dxa"/>
        </w:tblCellMar>
      </w:tblPr>
      <w:tblGrid>
        <w:gridCol w:w="4205"/>
        <w:gridCol w:w="346"/>
        <w:gridCol w:w="196"/>
        <w:gridCol w:w="1006"/>
        <w:gridCol w:w="346"/>
        <w:gridCol w:w="196"/>
        <w:gridCol w:w="1006"/>
        <w:gridCol w:w="346"/>
        <w:gridCol w:w="196"/>
        <w:gridCol w:w="1006"/>
        <w:gridCol w:w="109"/>
        <w:gridCol w:w="196"/>
        <w:gridCol w:w="1051"/>
      </w:tblGrid>
      <w:tr>
        <w:trPr/>
        <w:tc>
          <w:tcPr>
            <w:tcW w:w="4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70175" cy="175260"/>
                      <wp:effectExtent l="0" t="0" r="0" b="0"/>
                      <wp:wrapNone/>
                      <wp:docPr id="11" name="Frame11"/>
                      <a:graphic xmlns:a="http://schemas.openxmlformats.org/drawingml/2006/main">
                        <a:graphicData uri="http://schemas.microsoft.com/office/word/2010/wordprocessingShape">
                          <wps:wsp>
                            <wps:cNvSpPr txBox="1"/>
                            <wps:spPr>
                              <a:xfrm>
                                <a:off x="0" y="0"/>
                                <a:ext cx="267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8810" cy="175260"/>
                      <wp:effectExtent l="0" t="0" r="0" b="0"/>
                      <wp:wrapNone/>
                      <wp:docPr id="14" name="Frame1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38810" cy="175260"/>
                      <wp:effectExtent l="0" t="0" r="0" b="0"/>
                      <wp:wrapNone/>
                      <wp:docPr id="17" name="Frame1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38810" cy="175260"/>
                      <wp:effectExtent l="0" t="0" r="0" b="0"/>
                      <wp:wrapNone/>
                      <wp:docPr id="20" name="Frame2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7385" cy="175260"/>
                      <wp:effectExtent l="0" t="0" r="0" b="0"/>
                      <wp:wrapNone/>
                      <wp:docPr id="23" name="Frame2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558"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42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5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42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10,254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26,617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17,853</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Costs and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4,242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8,056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6,048</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Research and development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21,442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42,985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50,662</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26,039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44,058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52,064</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costs and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46,638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55,740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95,099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108,774</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(32,331)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(68,482)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(90,921)</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(4,509)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(4,427)</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2,709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3,088</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Loss from continuing operations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(70,282)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(92,260)</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loss from continuing operations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(70,282)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(92,260)</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from discontinued operations, net of tax (Note 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12,716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342,629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11,324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333,458</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(20,631)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297,767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(58,958)</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241,198</w:t>
            </w:r>
          </w:p>
        </w:tc>
      </w:tr>
      <w:tr>
        <w:trPr/>
        <w:tc>
          <w:tcPr>
            <w:tcW w:w="42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loss per share from continuing operations - basic and 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(0.48)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(0.80)</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per share from discontinued operations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2.88</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(loss) per share - basic and 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(0.40)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2.08</w:t>
            </w:r>
          </w:p>
        </w:tc>
      </w:tr>
      <w:tr>
        <w:trPr/>
        <w:tc>
          <w:tcPr>
            <w:tcW w:w="42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Weighted-average number of shares used in computing net income (loss)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154,816,912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116,077,710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145,658,487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115,968,352</w:t>
            </w:r>
          </w:p>
        </w:tc>
      </w:tr>
      <w:tr>
        <w:trPr/>
        <w:tc>
          <w:tcPr>
            <w:tcW w:w="42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(20,631)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297,767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(58,958)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241,198</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Other comprehensive loss: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4205"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Unrealized loss on available-for-sale securities,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0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(20,644)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297,767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(59,044)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Helvetica;sans-serif" w:hAnsi="Helvetica;sans-serif"/>
                <w:sz w:val="16"/>
              </w:rPr>
            </w:pPr>
            <w:r>
              <w:rPr>
                <w:rFonts w:ascii="Helvetica;sans-serif" w:hAnsi="Helvetica;sans-serif"/>
                <w:sz w:val="16"/>
              </w:rPr>
              <w:t>241,198</w:t>
            </w:r>
          </w:p>
        </w:tc>
      </w:tr>
    </w:tbl>
    <w:p>
      <w:pPr>
        <w:pStyle w:val="TextBody"/>
        <w:bidi w:val="0"/>
        <w:spacing w:before="0" w:after="0"/>
        <w:ind w:left="0" w:right="0" w:hanging="0"/>
        <w:jc w:val="left"/>
        <w:rPr/>
      </w:pPr>
      <w:r>
        <w:rPr/>
        <w:t>​</w:t>
      </w:r>
    </w:p>
    <w:p>
      <w:pPr>
        <w:pStyle w:val="TextBody"/>
        <w:bidi w:val="0"/>
        <w:spacing w:before="0" w:after="0"/>
        <w:ind w:left="0" w:right="0" w:firstLine="490"/>
        <w:jc w:val="center"/>
        <w:rPr>
          <w:rFonts w:ascii="Helvetica;sans-serif" w:hAnsi="Helvetica;sans-serif"/>
          <w:sz w:val="20"/>
        </w:rPr>
      </w:pPr>
      <w:r>
        <w:rPr>
          <w:rFonts w:ascii="Helvetica;sans-serif" w:hAnsi="Helvetica;sans-serif"/>
          <w:sz w:val="20"/>
        </w:rPr>
        <w:t>See accompanying notes to these condensed consolidated financial statements.</w:t>
      </w:r>
    </w:p>
    <w:p>
      <w:pPr>
        <w:pStyle w:val="TextBody"/>
        <w:bidi w:val="0"/>
        <w:spacing w:before="0" w:after="240"/>
        <w:ind w:left="0" w:right="0" w:firstLine="490"/>
        <w:jc w:val="both"/>
        <w:rPr/>
      </w:pPr>
      <w:r>
        <w:rPr/>
        <w:t>​</w:t>
      </w:r>
    </w:p>
    <w:p>
      <w:pPr>
        <w:pStyle w:val="TextBody"/>
        <w:bidi w:val="0"/>
        <w:spacing w:before="0" w:after="240"/>
        <w:ind w:left="0" w:right="0" w:firstLine="49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Helvetica;sans-serif" w:hAnsi="Helvetica;sans-serif"/>
          <w:b/>
          <w:sz w:val="20"/>
        </w:rPr>
      </w:pPr>
      <w:bookmarkStart w:id="284" w:name="StockholdersEquity"/>
      <w:bookmarkStart w:id="285" w:name="_1ed605e4_eda5_4a26_b8b5_a03f70fc8ec0"/>
      <w:bookmarkEnd w:id="284"/>
      <w:bookmarkEnd w:id="285"/>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b/>
          <w:sz w:val="20"/>
        </w:rPr>
      </w:pPr>
      <w:bookmarkStart w:id="286" w:name="CondensedConsolidatedStatementsofStockho"/>
      <w:bookmarkEnd w:id="286"/>
      <w:r>
        <w:rPr>
          <w:rFonts w:ascii="Helvetica;sans-serif" w:hAnsi="Helvetica;sans-serif"/>
          <w:b/>
          <w:sz w:val="20"/>
        </w:rPr>
        <w:t>Condensed Consolidated Statements of Stockholders’ Equity (Deficit)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 except share and per share data)</w:t>
      </w:r>
    </w:p>
    <w:p>
      <w:pPr>
        <w:pStyle w:val="TextBody"/>
        <w:bidi w:val="0"/>
        <w:spacing w:before="0" w:after="240"/>
        <w:ind w:left="0" w:right="0" w:hanging="0"/>
        <w:jc w:val="center"/>
        <w:rPr>
          <w:rFonts w:ascii="Helvetica;sans-serif" w:hAnsi="Helvetica;sans-serif"/>
          <w:b/>
          <w:sz w:val="20"/>
        </w:rPr>
      </w:pPr>
      <w:r>
        <w:rPr>
          <w:rFonts w:ascii="Helvetica;sans-serif" w:hAnsi="Helvetica;sans-serif"/>
          <w:b/>
          <w:sz w:val="20"/>
        </w:rPr>
        <w:t>(unaudited)</w:t>
      </w:r>
    </w:p>
    <w:p>
      <w:pPr>
        <w:pStyle w:val="Normal"/>
        <w:bidi w:val="0"/>
        <w:spacing w:before="0" w:after="0"/>
        <w:jc w:val="left"/>
        <w:rPr>
          <w:sz w:val="4"/>
          <w:szCs w:val="4"/>
        </w:rPr>
      </w:pPr>
      <w:r>
        <w:rPr>
          <w:sz w:val="4"/>
          <w:szCs w:val="4"/>
        </w:rPr>
      </w:r>
      <w:bookmarkStart w:id="287" w:name="Tc_RDlCPgRBpUadC8kT_FyPTw_19_16"/>
      <w:bookmarkStart w:id="288" w:name="Tc_R_mF90qE_k6kbEZ2uBSX7A_19_13"/>
      <w:bookmarkStart w:id="289" w:name="Tc_aU7WJUIDMEqDv4HtUEjK0w_19_10"/>
      <w:bookmarkStart w:id="290" w:name="Tc_9tqghsauVUOSGwT72FyAOg_19_7"/>
      <w:bookmarkStart w:id="291" w:name="Tc_g3dWRhpTRkqJ8FE-ReBUxA_19_4"/>
      <w:bookmarkStart w:id="292" w:name="Tc__0ukpxbKZEGxP-In8f95YA_19_0"/>
      <w:bookmarkStart w:id="293" w:name="Tc_8iDdya9h50-euPpuQdhmxA_18_14"/>
      <w:bookmarkStart w:id="294" w:name="Tc_PIfG-vfZlkuvyxR1eMTOcA_18_8"/>
      <w:bookmarkStart w:id="295" w:name="Tc_VpwBGRKjiUWWf90nPDX0Gg_18_5"/>
      <w:bookmarkStart w:id="296" w:name="Tc_qaLmCJh9xEa84d-drW7Ozg_18_2"/>
      <w:bookmarkStart w:id="297" w:name="Tc_gHg1MmNtlEKmK0sHoMhsRw_18_0"/>
      <w:bookmarkStart w:id="298" w:name="Tc_ZKU6ZF80oEGi0jZnZjrObw_17_14"/>
      <w:bookmarkStart w:id="299" w:name="Tc_lF12lFw8j0WvxI7fv6Ze-g_17_11"/>
      <w:bookmarkStart w:id="300" w:name="Tc_S34PMsZV-0OXDogzbU_WBg_17_5"/>
      <w:bookmarkStart w:id="301" w:name="Tc_sEXOkQ6JfkKYxPeYNw9vMg_17_2"/>
      <w:bookmarkStart w:id="302" w:name="Tc_BbnmWwHSxU-luqbFZbvuYw_17_0"/>
      <w:bookmarkStart w:id="303" w:name="Tc_M0eM9nDZi0K5TIByCj5JMQ_16_14"/>
      <w:bookmarkStart w:id="304" w:name="Tc_4SokqUs4UECKTu3C9elnKA_16_11"/>
      <w:bookmarkStart w:id="305" w:name="Tc_a0d6rzK_WUmp1jSCB4215Q_16_5"/>
      <w:bookmarkStart w:id="306" w:name="Tc_HUGMZDSZNk24YFEK4BU1Pg_16_0"/>
      <w:bookmarkStart w:id="307" w:name="Tc_Pl5avbECxEeNsw9Ub_TSXw_15_14"/>
      <w:bookmarkStart w:id="308" w:name="Tc_y0ryE01xiE-baplCy_EUpQ_15_11"/>
      <w:bookmarkStart w:id="309" w:name="Tc_kc5DX_5BgUChgBZFZAv9fQ_15_5"/>
      <w:bookmarkStart w:id="310" w:name="Tc_6CbX7CwEWEmZAYsr6LSdEg_15_0"/>
      <w:bookmarkStart w:id="311" w:name="Tc_7OPk4O1v4kWQCOByvT5Gsg_14_11"/>
      <w:bookmarkStart w:id="312" w:name="Tc_SCxhcBG_OUO8u-ppfZeAGg_14_8"/>
      <w:bookmarkStart w:id="313" w:name="Tc_qJdZw0FklkCk0jhIpdiOKA_14_5"/>
      <w:bookmarkStart w:id="314" w:name="Tc_V_coVM1M20OC4Y2crXxSsA_14_2"/>
      <w:bookmarkStart w:id="315" w:name="Tc_Nal9FhxsOUqqE9UoKjKZXQ_14_0"/>
      <w:bookmarkStart w:id="316" w:name="Tc_O919Bo5MOEaLI7w95bNZWg_13_0"/>
      <w:bookmarkStart w:id="317" w:name="Tc_HCqzpII5eku2Qqa5nR9cLQ_12_14"/>
      <w:bookmarkStart w:id="318" w:name="Tc_Z_vUD8NNQEuzdtiCwYpCJA_12_8"/>
      <w:bookmarkStart w:id="319" w:name="Tc_I0_3e6KkkUCJZG4mUgDN1Q_12_5"/>
      <w:bookmarkStart w:id="320" w:name="Tc_vWMxKmxTJU6LYt_9S5FjAg_12_2"/>
      <w:bookmarkStart w:id="321" w:name="Tc_nRHBP1cWv0OSJzRRJMVrdQ_12_0"/>
      <w:bookmarkStart w:id="322" w:name="Tc_Gdk3y79GnUeCVgZoJVw8Jw_11_14"/>
      <w:bookmarkStart w:id="323" w:name="Tc_UFmvV90lV0eLabyp9dHfuQ_11_11"/>
      <w:bookmarkStart w:id="324" w:name="Tc_VYUraRL-xUazI5dBGQo3mg_11_5"/>
      <w:bookmarkStart w:id="325" w:name="Tc_O4erXhdcAUSNf1DyocSkbQ_11_2"/>
      <w:bookmarkStart w:id="326" w:name="Tc_yZLHu0YGgEGuYhm9zR3ZgQ_11_0"/>
      <w:bookmarkStart w:id="327" w:name="Tc_sz7aF6LhRU2wGbB-3aHMrA_10_14"/>
      <w:bookmarkStart w:id="328" w:name="Tc_VhnB4ToOj06jCT2knEDsNw_10_11"/>
      <w:bookmarkStart w:id="329" w:name="Tc_uBwXMwaOWE2c76PC5ljncQ_10_0"/>
      <w:bookmarkStart w:id="330" w:name="Tc_oKJo4urlAE6tPu4_dLc0mw_9_14"/>
      <w:bookmarkStart w:id="331" w:name="Tc_xkGgYEfO80eEx5h4pgVIrg_9_11"/>
      <w:bookmarkStart w:id="332" w:name="Tc_Sa7wwSdIpkGFqoCquePW_w_9_5"/>
      <w:bookmarkStart w:id="333" w:name="Tc_qRVdd54tyUWIsKBFU3pW4g_9_0"/>
      <w:bookmarkStart w:id="334" w:name="Tc_5cWXiSXdkUqh-hV5KCSu6Q_8_17"/>
      <w:bookmarkStart w:id="335" w:name="Tc_tuB4CQJ5Y0GX7cf2odmHvA_8_14"/>
      <w:bookmarkStart w:id="336" w:name="Tc_8Mbo2nWjnEO4oTjBrhHfDg_8_11"/>
      <w:bookmarkStart w:id="337" w:name="Tc_vv3Z0nblQUGpA9RGFmMITg_8_8"/>
      <w:bookmarkStart w:id="338" w:name="Tc_lspMmq8T50GYS5Kj8dk7eA_8_5"/>
      <w:bookmarkStart w:id="339" w:name="Tc_MrrlO1UpQk-7FgZal-9eTg_8_0"/>
      <w:bookmarkStart w:id="340" w:name="Tc_sj8XpgbpDEuNCsnk_6UWpw_7_14"/>
      <w:bookmarkStart w:id="341" w:name="Tc_WE5DPiZ6nkSCzTt_ke_QeQ_7_11"/>
      <w:bookmarkStart w:id="342" w:name="Tc_z3e1Tj0SMkmIcHIvhxuxJg_7_5"/>
      <w:bookmarkStart w:id="343" w:name="Tc_ch5Cc2FdREW4MOHgt4omNg_7_0"/>
      <w:bookmarkStart w:id="344" w:name="Tc_GASx9KcNH06DH_RsaDVXbA_6_11"/>
      <w:bookmarkStart w:id="345" w:name="Tc_UQg0MWN20kqEElXsyzmu5A_6_8"/>
      <w:bookmarkStart w:id="346" w:name="Tc_aHyT-u-ZiUaos1p71a8_Uw_6_5"/>
      <w:bookmarkStart w:id="347" w:name="Tc_q1YT2O6UqEOhigBMKKzyzQ_6_2"/>
      <w:bookmarkStart w:id="348" w:name="Tc_7XTpjdYPtEKBqppke6HBiQ_6_0"/>
      <w:bookmarkStart w:id="349" w:name="Tc_EgNLtytCs0iKeK4kuczYlw_5_16"/>
      <w:bookmarkStart w:id="350" w:name="Tc_dWugBjWypk-WYZdFYWP89w_5_13"/>
      <w:bookmarkStart w:id="351" w:name="Tc_yOc8hxxwck2JlwDlyB_WQA_5_10"/>
      <w:bookmarkStart w:id="352" w:name="Tc_ByunAUL0JUu6lXnqWt2N7A_5_7"/>
      <w:bookmarkStart w:id="353" w:name="Tc_ky9F1MbGwEGe1Uo57M8Oog_5_4"/>
      <w:bookmarkStart w:id="354" w:name="Tc_8qpuyM8LXkWbLJAm-m_AsA_5_0"/>
      <w:bookmarkStart w:id="355" w:name="Tc_beKZSMajv0azbUTKveEuyw_4_16"/>
      <w:bookmarkStart w:id="356" w:name="Tc_n7zda_yXQk2XeZ2KoRMGeQ_4_13"/>
      <w:bookmarkStart w:id="357" w:name="Tc_IQgWtu3vS0OZ6iv9NDFj6Q_4_10"/>
      <w:bookmarkStart w:id="358" w:name="Tc_1qRWxiv570W9Pg2xZmEYng_4_7"/>
      <w:bookmarkStart w:id="359" w:name="Tc_eg46kMErtUahIxrE13AF-g_4_5"/>
      <w:bookmarkStart w:id="360" w:name="Tc_U8AcWhHrW0Kk3nFZRkkwsw_4_2"/>
      <w:bookmarkStart w:id="361" w:name="Tc_YKBRHA4uEEKAvYydl5oGAw_3_16"/>
      <w:bookmarkStart w:id="362" w:name="Tc_b17SatRHGEasKO0u09cxmw_3_13"/>
      <w:bookmarkStart w:id="363" w:name="Tc_aWOzc0cn9ECwQmbpr2WB0g_3_10"/>
      <w:bookmarkStart w:id="364" w:name="Tc_8cvN4r8ByUqbduyVxRVUtQ_3_7"/>
      <w:bookmarkStart w:id="365" w:name="Tc_uOgYW9RDQEatCcp5QFs4zg_3_2"/>
      <w:bookmarkStart w:id="366" w:name="Tc_pv6_arfhM0ezj6HiktQz1w_2_16"/>
      <w:bookmarkStart w:id="367" w:name="Tc_gSh4LW8LF0eZl8rmvMhOQg_2_10"/>
      <w:bookmarkStart w:id="368" w:name="Tc_qoGlVHuci0OiBt1Y8jrj6g_2_7"/>
      <w:bookmarkStart w:id="369" w:name="Tc_ev0CLPkYJEa6_JBqOnXPEA_1_10"/>
      <w:bookmarkStart w:id="370" w:name="_0372bbfa_04a2_49ea_82f5_159fea6ec133"/>
      <w:bookmarkStart w:id="371" w:name="Tc_RDlCPgRBpUadC8kT_FyPTw_19_16"/>
      <w:bookmarkStart w:id="372" w:name="Tc_R_mF90qE_k6kbEZ2uBSX7A_19_13"/>
      <w:bookmarkStart w:id="373" w:name="Tc_aU7WJUIDMEqDv4HtUEjK0w_19_10"/>
      <w:bookmarkStart w:id="374" w:name="Tc_9tqghsauVUOSGwT72FyAOg_19_7"/>
      <w:bookmarkStart w:id="375" w:name="Tc_g3dWRhpTRkqJ8FE-ReBUxA_19_4"/>
      <w:bookmarkStart w:id="376" w:name="Tc__0ukpxbKZEGxP-In8f95YA_19_0"/>
      <w:bookmarkStart w:id="377" w:name="Tc_8iDdya9h50-euPpuQdhmxA_18_14"/>
      <w:bookmarkStart w:id="378" w:name="Tc_PIfG-vfZlkuvyxR1eMTOcA_18_8"/>
      <w:bookmarkStart w:id="379" w:name="Tc_VpwBGRKjiUWWf90nPDX0Gg_18_5"/>
      <w:bookmarkStart w:id="380" w:name="Tc_qaLmCJh9xEa84d-drW7Ozg_18_2"/>
      <w:bookmarkStart w:id="381" w:name="Tc_gHg1MmNtlEKmK0sHoMhsRw_18_0"/>
      <w:bookmarkStart w:id="382" w:name="Tc_ZKU6ZF80oEGi0jZnZjrObw_17_14"/>
      <w:bookmarkStart w:id="383" w:name="Tc_lF12lFw8j0WvxI7fv6Ze-g_17_11"/>
      <w:bookmarkStart w:id="384" w:name="Tc_S34PMsZV-0OXDogzbU_WBg_17_5"/>
      <w:bookmarkStart w:id="385" w:name="Tc_sEXOkQ6JfkKYxPeYNw9vMg_17_2"/>
      <w:bookmarkStart w:id="386" w:name="Tc_BbnmWwHSxU-luqbFZbvuYw_17_0"/>
      <w:bookmarkStart w:id="387" w:name="Tc_M0eM9nDZi0K5TIByCj5JMQ_16_14"/>
      <w:bookmarkStart w:id="388" w:name="Tc_4SokqUs4UECKTu3C9elnKA_16_11"/>
      <w:bookmarkStart w:id="389" w:name="Tc_a0d6rzK_WUmp1jSCB4215Q_16_5"/>
      <w:bookmarkStart w:id="390" w:name="Tc_HUGMZDSZNk24YFEK4BU1Pg_16_0"/>
      <w:bookmarkStart w:id="391" w:name="Tc_Pl5avbECxEeNsw9Ub_TSXw_15_14"/>
      <w:bookmarkStart w:id="392" w:name="Tc_y0ryE01xiE-baplCy_EUpQ_15_11"/>
      <w:bookmarkStart w:id="393" w:name="Tc_kc5DX_5BgUChgBZFZAv9fQ_15_5"/>
      <w:bookmarkStart w:id="394" w:name="Tc_6CbX7CwEWEmZAYsr6LSdEg_15_0"/>
      <w:bookmarkStart w:id="395" w:name="Tc_7OPk4O1v4kWQCOByvT5Gsg_14_11"/>
      <w:bookmarkStart w:id="396" w:name="Tc_SCxhcBG_OUO8u-ppfZeAGg_14_8"/>
      <w:bookmarkStart w:id="397" w:name="Tc_qJdZw0FklkCk0jhIpdiOKA_14_5"/>
      <w:bookmarkStart w:id="398" w:name="Tc_V_coVM1M20OC4Y2crXxSsA_14_2"/>
      <w:bookmarkStart w:id="399" w:name="Tc_Nal9FhxsOUqqE9UoKjKZXQ_14_0"/>
      <w:bookmarkStart w:id="400" w:name="Tc_O919Bo5MOEaLI7w95bNZWg_13_0"/>
      <w:bookmarkStart w:id="401" w:name="Tc_HCqzpII5eku2Qqa5nR9cLQ_12_14"/>
      <w:bookmarkStart w:id="402" w:name="Tc_Z_vUD8NNQEuzdtiCwYpCJA_12_8"/>
      <w:bookmarkStart w:id="403" w:name="Tc_I0_3e6KkkUCJZG4mUgDN1Q_12_5"/>
      <w:bookmarkStart w:id="404" w:name="Tc_vWMxKmxTJU6LYt_9S5FjAg_12_2"/>
      <w:bookmarkStart w:id="405" w:name="Tc_nRHBP1cWv0OSJzRRJMVrdQ_12_0"/>
      <w:bookmarkStart w:id="406" w:name="Tc_Gdk3y79GnUeCVgZoJVw8Jw_11_14"/>
      <w:bookmarkStart w:id="407" w:name="Tc_UFmvV90lV0eLabyp9dHfuQ_11_11"/>
      <w:bookmarkStart w:id="408" w:name="Tc_VYUraRL-xUazI5dBGQo3mg_11_5"/>
      <w:bookmarkStart w:id="409" w:name="Tc_O4erXhdcAUSNf1DyocSkbQ_11_2"/>
      <w:bookmarkStart w:id="410" w:name="Tc_yZLHu0YGgEGuYhm9zR3ZgQ_11_0"/>
      <w:bookmarkStart w:id="411" w:name="Tc_sz7aF6LhRU2wGbB-3aHMrA_10_14"/>
      <w:bookmarkStart w:id="412" w:name="Tc_VhnB4ToOj06jCT2knEDsNw_10_11"/>
      <w:bookmarkStart w:id="413" w:name="Tc_uBwXMwaOWE2c76PC5ljncQ_10_0"/>
      <w:bookmarkStart w:id="414" w:name="Tc_oKJo4urlAE6tPu4_dLc0mw_9_14"/>
      <w:bookmarkStart w:id="415" w:name="Tc_xkGgYEfO80eEx5h4pgVIrg_9_11"/>
      <w:bookmarkStart w:id="416" w:name="Tc_Sa7wwSdIpkGFqoCquePW_w_9_5"/>
      <w:bookmarkStart w:id="417" w:name="Tc_qRVdd54tyUWIsKBFU3pW4g_9_0"/>
      <w:bookmarkStart w:id="418" w:name="Tc_5cWXiSXdkUqh-hV5KCSu6Q_8_17"/>
      <w:bookmarkStart w:id="419" w:name="Tc_tuB4CQJ5Y0GX7cf2odmHvA_8_14"/>
      <w:bookmarkStart w:id="420" w:name="Tc_8Mbo2nWjnEO4oTjBrhHfDg_8_11"/>
      <w:bookmarkStart w:id="421" w:name="Tc_vv3Z0nblQUGpA9RGFmMITg_8_8"/>
      <w:bookmarkStart w:id="422" w:name="Tc_lspMmq8T50GYS5Kj8dk7eA_8_5"/>
      <w:bookmarkStart w:id="423" w:name="Tc_MrrlO1UpQk-7FgZal-9eTg_8_0"/>
      <w:bookmarkStart w:id="424" w:name="Tc_sj8XpgbpDEuNCsnk_6UWpw_7_14"/>
      <w:bookmarkStart w:id="425" w:name="Tc_WE5DPiZ6nkSCzTt_ke_QeQ_7_11"/>
      <w:bookmarkStart w:id="426" w:name="Tc_z3e1Tj0SMkmIcHIvhxuxJg_7_5"/>
      <w:bookmarkStart w:id="427" w:name="Tc_ch5Cc2FdREW4MOHgt4omNg_7_0"/>
      <w:bookmarkStart w:id="428" w:name="Tc_GASx9KcNH06DH_RsaDVXbA_6_11"/>
      <w:bookmarkStart w:id="429" w:name="Tc_UQg0MWN20kqEElXsyzmu5A_6_8"/>
      <w:bookmarkStart w:id="430" w:name="Tc_aHyT-u-ZiUaos1p71a8_Uw_6_5"/>
      <w:bookmarkStart w:id="431" w:name="Tc_q1YT2O6UqEOhigBMKKzyzQ_6_2"/>
      <w:bookmarkStart w:id="432" w:name="Tc_7XTpjdYPtEKBqppke6HBiQ_6_0"/>
      <w:bookmarkStart w:id="433" w:name="Tc_EgNLtytCs0iKeK4kuczYlw_5_16"/>
      <w:bookmarkStart w:id="434" w:name="Tc_dWugBjWypk-WYZdFYWP89w_5_13"/>
      <w:bookmarkStart w:id="435" w:name="Tc_yOc8hxxwck2JlwDlyB_WQA_5_10"/>
      <w:bookmarkStart w:id="436" w:name="Tc_ByunAUL0JUu6lXnqWt2N7A_5_7"/>
      <w:bookmarkStart w:id="437" w:name="Tc_ky9F1MbGwEGe1Uo57M8Oog_5_4"/>
      <w:bookmarkStart w:id="438" w:name="Tc_8qpuyM8LXkWbLJAm-m_AsA_5_0"/>
      <w:bookmarkStart w:id="439" w:name="Tc_beKZSMajv0azbUTKveEuyw_4_16"/>
      <w:bookmarkStart w:id="440" w:name="Tc_n7zda_yXQk2XeZ2KoRMGeQ_4_13"/>
      <w:bookmarkStart w:id="441" w:name="Tc_IQgWtu3vS0OZ6iv9NDFj6Q_4_10"/>
      <w:bookmarkStart w:id="442" w:name="Tc_1qRWxiv570W9Pg2xZmEYng_4_7"/>
      <w:bookmarkStart w:id="443" w:name="Tc_eg46kMErtUahIxrE13AF-g_4_5"/>
      <w:bookmarkStart w:id="444" w:name="Tc_U8AcWhHrW0Kk3nFZRkkwsw_4_2"/>
      <w:bookmarkStart w:id="445" w:name="Tc_YKBRHA4uEEKAvYydl5oGAw_3_16"/>
      <w:bookmarkStart w:id="446" w:name="Tc_b17SatRHGEasKO0u09cxmw_3_13"/>
      <w:bookmarkStart w:id="447" w:name="Tc_aWOzc0cn9ECwQmbpr2WB0g_3_10"/>
      <w:bookmarkStart w:id="448" w:name="Tc_8cvN4r8ByUqbduyVxRVUtQ_3_7"/>
      <w:bookmarkStart w:id="449" w:name="Tc_uOgYW9RDQEatCcp5QFs4zg_3_2"/>
      <w:bookmarkStart w:id="450" w:name="Tc_pv6_arfhM0ezj6HiktQz1w_2_16"/>
      <w:bookmarkStart w:id="451" w:name="Tc_gSh4LW8LF0eZl8rmvMhOQg_2_10"/>
      <w:bookmarkStart w:id="452" w:name="Tc_qoGlVHuci0OiBt1Y8jrj6g_2_7"/>
      <w:bookmarkStart w:id="453" w:name="Tc_ev0CLPkYJEa6_JBqOnXPEA_1_10"/>
      <w:bookmarkStart w:id="454" w:name="_0372bbfa_04a2_49ea_82f5_159fea6ec133"/>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bl>
      <w:tblPr>
        <w:tblW w:w="10205" w:type="dxa"/>
        <w:jc w:val="left"/>
        <w:tblInd w:w="0" w:type="dxa"/>
        <w:tblLayout w:type="fixed"/>
        <w:tblCellMar>
          <w:top w:w="0" w:type="dxa"/>
          <w:left w:w="0" w:type="dxa"/>
          <w:bottom w:w="0" w:type="dxa"/>
          <w:right w:w="0" w:type="dxa"/>
        </w:tblCellMar>
      </w:tblPr>
      <w:tblGrid>
        <w:gridCol w:w="1784"/>
        <w:gridCol w:w="346"/>
        <w:gridCol w:w="1006"/>
        <w:gridCol w:w="346"/>
        <w:gridCol w:w="196"/>
        <w:gridCol w:w="661"/>
        <w:gridCol w:w="346"/>
        <w:gridCol w:w="196"/>
        <w:gridCol w:w="826"/>
        <w:gridCol w:w="346"/>
        <w:gridCol w:w="399"/>
        <w:gridCol w:w="862"/>
        <w:gridCol w:w="346"/>
        <w:gridCol w:w="196"/>
        <w:gridCol w:w="874"/>
        <w:gridCol w:w="346"/>
        <w:gridCol w:w="248"/>
        <w:gridCol w:w="881"/>
      </w:tblGrid>
      <w:tr>
        <w:trPr/>
        <w:tc>
          <w:tcPr>
            <w:tcW w:w="1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8810" cy="175260"/>
                      <wp:effectExtent l="0" t="0" r="0" b="0"/>
                      <wp:wrapNone/>
                      <wp:docPr id="25" name="Frame2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19735" cy="175260"/>
                      <wp:effectExtent l="0" t="0" r="0" b="0"/>
                      <wp:wrapNone/>
                      <wp:docPr id="28" name="Frame2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53365" cy="175260"/>
                      <wp:effectExtent l="0" t="0" r="0" b="0"/>
                      <wp:wrapNone/>
                      <wp:docPr id="33" name="Frame33"/>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47370" cy="175260"/>
                      <wp:effectExtent l="0" t="0" r="0" b="0"/>
                      <wp:wrapNone/>
                      <wp:docPr id="34" name="Frame3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54990" cy="175260"/>
                      <wp:effectExtent l="0" t="0" r="0" b="0"/>
                      <wp:wrapNone/>
                      <wp:docPr id="37" name="Frame3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7480" cy="175260"/>
                      <wp:effectExtent l="0" t="0" r="0" b="0"/>
                      <wp:wrapNone/>
                      <wp:docPr id="39" name="Frame3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59435" cy="175260"/>
                      <wp:effectExtent l="0" t="0" r="0" b="0"/>
                      <wp:wrapNone/>
                      <wp:docPr id="40" name="Frame40"/>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Accumulated</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9" w:type="dxa"/>
            <w:gridSpan w:val="2"/>
            <w:tcBorders/>
            <w:vAlign w:val="center"/>
          </w:tcPr>
          <w:p>
            <w:pPr>
              <w:pStyle w:val="TableContents"/>
              <w:bidi w:val="0"/>
              <w:spacing w:before="0" w:after="0"/>
              <w:ind w:left="0" w:right="0" w:hanging="0"/>
              <w:jc w:val="center"/>
              <w:rPr/>
            </w:pPr>
            <w:r>
              <w:rPr/>
              <w:t>​</w:t>
            </w:r>
          </w:p>
        </w:tc>
      </w:tr>
      <w:tr>
        <w:trPr/>
        <w:tc>
          <w:tcPr>
            <w:tcW w:w="1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Additional</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Other</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9"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Total</w:t>
            </w:r>
          </w:p>
        </w:tc>
      </w:tr>
      <w:tr>
        <w:trPr/>
        <w:tc>
          <w:tcPr>
            <w:tcW w:w="1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Paid-In</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Comprehensive</w:t>
            </w:r>
          </w:p>
        </w:tc>
        <w:tc>
          <w:tcPr>
            <w:tcW w:w="346" w:type="dxa"/>
            <w:tcBorders/>
            <w:vAlign w:val="center"/>
          </w:tcPr>
          <w:p>
            <w:pPr>
              <w:pStyle w:val="TableContents"/>
              <w:bidi w:val="0"/>
              <w:spacing w:before="0" w:after="0"/>
              <w:ind w:left="0" w:right="0" w:hanging="0"/>
              <w:jc w:val="center"/>
              <w:rPr/>
            </w:pPr>
            <w:r>
              <w:rPr/>
              <w:t>​</w:t>
            </w:r>
          </w:p>
        </w:tc>
        <w:tc>
          <w:tcPr>
            <w:tcW w:w="1070"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Stockholders'</w:t>
            </w:r>
          </w:p>
        </w:tc>
      </w:tr>
      <w:tr>
        <w:trPr/>
        <w:tc>
          <w:tcPr>
            <w:tcW w:w="1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Capital</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Loss</w:t>
            </w:r>
          </w:p>
        </w:tc>
        <w:tc>
          <w:tcPr>
            <w:tcW w:w="346" w:type="dxa"/>
            <w:tcBorders/>
            <w:vAlign w:val="center"/>
          </w:tcPr>
          <w:p>
            <w:pPr>
              <w:pStyle w:val="TableContents"/>
              <w:bidi w:val="0"/>
              <w:spacing w:before="0" w:after="0"/>
              <w:ind w:left="0" w:right="0" w:hanging="0"/>
              <w:jc w:val="center"/>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Deficit</w:t>
            </w:r>
          </w:p>
        </w:tc>
        <w:tc>
          <w:tcPr>
            <w:tcW w:w="346" w:type="dxa"/>
            <w:tcBorders/>
            <w:vAlign w:val="center"/>
          </w:tcPr>
          <w:p>
            <w:pPr>
              <w:pStyle w:val="TableContents"/>
              <w:bidi w:val="0"/>
              <w:spacing w:before="0" w:after="0"/>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5"/>
              </w:rPr>
            </w:pPr>
            <w:r>
              <w:rPr>
                <w:rFonts w:ascii="Helvetica;sans-serif" w:hAnsi="Helvetica;sans-serif"/>
                <w:b/>
                <w:sz w:val="15"/>
              </w:rPr>
              <w:t>Equity</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Balances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121,154,925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66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2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1,444,166</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62"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74"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(1,382,969)</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8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61,014</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Net loss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(38,327)</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(38,327)</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Issuance of common stock upon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56,705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57</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Issuance of common stock upon vesting of restricted stock units ("RSUs")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188,057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Taxes paid related to net share settlement of RSUs</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(72,078)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(112)</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Issuance of common stock under Public Offering, net of issuance costs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32,890,000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53,647</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53,650</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2,414</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2,414</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Other comprehensive loss, net of tax</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(73)</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Balances at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154,217,609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1,500,172</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(1,421,296)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78,623</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 xml:space="preserve">Net loss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(20,631)</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(20,631)</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Issuance of common stock upon exercise of stock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42,457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58</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Issuance of common stock under the employee stock purchase plan ("ESPP")</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210,297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202</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202</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2,599</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2,599</w:t>
            </w:r>
          </w:p>
        </w:tc>
      </w:tr>
      <w:tr>
        <w:trPr/>
        <w:tc>
          <w:tcPr>
            <w:tcW w:w="1784" w:type="dxa"/>
            <w:tcBorders/>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Other comprehensive loss, net of tax</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(13)</w:t>
            </w:r>
          </w:p>
        </w:tc>
      </w:tr>
      <w:tr>
        <w:trPr/>
        <w:tc>
          <w:tcPr>
            <w:tcW w:w="1784" w:type="dxa"/>
            <w:tcBorders/>
            <w:shd w:fill="CCEEFF" w:val="cle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Balances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154,470,363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1,503,031</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5"/>
              </w:rPr>
            </w:pPr>
            <w:r>
              <w:rPr>
                <w:rFonts w:ascii="Helvetica;sans-serif" w:hAnsi="Helvetica;sans-serif"/>
                <w:sz w:val="15"/>
              </w:rPr>
              <w:t>(1,441,927)</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5"/>
              </w:rPr>
            </w:pPr>
            <w:r>
              <w:rPr>
                <w:rFonts w:ascii="Helvetica;sans-serif" w:hAnsi="Helvetica;sans-serif"/>
                <w:sz w:val="15"/>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Helvetica;sans-serif" w:hAnsi="Helvetica;sans-serif"/>
                <w:sz w:val="15"/>
              </w:rPr>
            </w:pPr>
            <w:r>
              <w:rPr>
                <w:rFonts w:ascii="Helvetica;sans-serif" w:hAnsi="Helvetica;sans-serif"/>
                <w:sz w:val="15"/>
              </w:rPr>
              <w:t>60,838</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5" w:name="Tc_dyYWcktr6UGQfJMVFMXBVA_16_16"/>
      <w:bookmarkStart w:id="456" w:name="Tc_nu0zEan_AkO3DuXj_yLmdw_16_13"/>
      <w:bookmarkStart w:id="457" w:name="Tc_bfSIzu08hkOOL0iWjJjiew_16_10"/>
      <w:bookmarkStart w:id="458" w:name="Tc_2mVr3liYeUqOxu2pTx3Gxg_16_7"/>
      <w:bookmarkStart w:id="459" w:name="Tc_Oax-8Kzfg0Kc-dtH03m4CQ_16_4"/>
      <w:bookmarkStart w:id="460" w:name="Tc_kPmkeipYq0SQonq5zjXGow_16_0"/>
      <w:bookmarkStart w:id="461" w:name="Tc_eGRHNA6GXUarE-JLDbCLgg_15_14"/>
      <w:bookmarkStart w:id="462" w:name="Tc_ZwAKAsAFAk2LkEujVjl98w_15_11"/>
      <w:bookmarkStart w:id="463" w:name="Tc_nl0AECVP1kG0XJDZXolBEg_15_5"/>
      <w:bookmarkStart w:id="464" w:name="Tc_aAFjKQtRNkSmLlLVuSQMug_15_2"/>
      <w:bookmarkStart w:id="465" w:name="Tc_737rGMcL-k2v57hfMaabHQ_15_0"/>
      <w:bookmarkStart w:id="466" w:name="Tc_xtfmn75Ad0uKiuANdDmxhA_14_14"/>
      <w:bookmarkStart w:id="467" w:name="Tc_jQe_jYJQHkCZEMKrwagQOA_14_11"/>
      <w:bookmarkStart w:id="468" w:name="Tc_Lau1dkK8mE6dXqK8Fv6A9w_14_5"/>
      <w:bookmarkStart w:id="469" w:name="Tc_taA4ITdyPUOEcMYUYprxYw_14_0"/>
      <w:bookmarkStart w:id="470" w:name="Tc_jhypHsa5v0KhmoOngyFYiA_13_14"/>
      <w:bookmarkStart w:id="471" w:name="Tc_td9UMx_JckG7_rq8D4asoA_13_11"/>
      <w:bookmarkStart w:id="472" w:name="Tc_PFuoP5pTdEiivBW3tU6xBw_13_5"/>
      <w:bookmarkStart w:id="473" w:name="Tc_4GGvRDypWEyzTrhMAbid2A_13_0"/>
      <w:bookmarkStart w:id="474" w:name="Tc_y6u29HpJOUCaM7QmjAQcUA_12_17"/>
      <w:bookmarkStart w:id="475" w:name="Tc_5MQMqLmYyEefvzf5k1BFxw_12_14"/>
      <w:bookmarkStart w:id="476" w:name="Tc_OYXlsypvXkm6MfCf7NpcVg_12_11"/>
      <w:bookmarkStart w:id="477" w:name="Tc_N1Y1J-uxvk6r5F6wU4j13g_12_8"/>
      <w:bookmarkStart w:id="478" w:name="Tc_nBEcAdd5YEqX73zNU9G5Vg_12_5"/>
      <w:bookmarkStart w:id="479" w:name="Tc_cgAonMWGJkmxUxJfqU1x_Q_12_0"/>
      <w:bookmarkStart w:id="480" w:name="Tc_m5kxtzvqgkWb3PODYoJ-wg_11_11"/>
      <w:bookmarkStart w:id="481" w:name="Tc_-QzCZtknNUWKEEVu0mI3gw_11_8"/>
      <w:bookmarkStart w:id="482" w:name="Tc_4_pUICxefUCmQ1pTmx_4yg_11_5"/>
      <w:bookmarkStart w:id="483" w:name="Tc_3zto_3jsBU-A6yWqiY1Ldg_11_2"/>
      <w:bookmarkStart w:id="484" w:name="Tc_atYT3D6qs0yp5RvTNMQ1FA_11_0"/>
      <w:bookmarkStart w:id="485" w:name="Tc_xgPX6Ivk7UKr2rSr8yQjcg_10_0"/>
      <w:bookmarkStart w:id="486" w:name="Tc_4Gq4HbiE6U2BaNnGGzDvVA_9_14"/>
      <w:bookmarkStart w:id="487" w:name="Tc_YBk1grK9FkC2hxesgnFKAg_9_11"/>
      <w:bookmarkStart w:id="488" w:name="Tc_9L6ES2lSg0GtjGAnzSPafQ_9_5"/>
      <w:bookmarkStart w:id="489" w:name="Tc_JPdynLEAKkmUy-cpCmHEgA_9_2"/>
      <w:bookmarkStart w:id="490" w:name="Tc_CNLOkhHU5kuIuuGBTsyUuA_9_0"/>
      <w:bookmarkStart w:id="491" w:name="Tc_wxMWO-GfVUySrYUozjkYJw_8_14"/>
      <w:bookmarkStart w:id="492" w:name="Tc_GZheIDa620-7rCtAO28qzw_8_11"/>
      <w:bookmarkStart w:id="493" w:name="Tc_Ms1tvKKvf0aq6GjAy0lJ1A_8_5"/>
      <w:bookmarkStart w:id="494" w:name="Tc_1PP8_SCO_06G4VpH47Tm0Q_8_0"/>
      <w:bookmarkStart w:id="495" w:name="Tc_e_rhxbuxCUerQ8rdlcpxtA_7_17"/>
      <w:bookmarkStart w:id="496" w:name="Tc_avdA9TebkU6Sfw0uO8RpFA_7_14"/>
      <w:bookmarkStart w:id="497" w:name="Tc_a2Yq7Awx3UqUllC9TKzOUw_7_11"/>
      <w:bookmarkStart w:id="498" w:name="Tc_BOfZ-7vQqU6-T5fNQr2nBA_7_8"/>
      <w:bookmarkStart w:id="499" w:name="Tc_hLJxkquMI0S3fANC3NphUA_7_5"/>
      <w:bookmarkStart w:id="500" w:name="Tc_Gb-BmwHNhUqm-pfcrdGjMA_7_0"/>
      <w:bookmarkStart w:id="501" w:name="Tc_zCtOaPCk8UuX2u-5ZOhV9Q_6_11"/>
      <w:bookmarkStart w:id="502" w:name="Tc_UdaOkIGTeUyFqJIMc7zxVA_6_8"/>
      <w:bookmarkStart w:id="503" w:name="Tc_1Hx6rfM5Jk-BOx0OuVnptQ_6_5"/>
      <w:bookmarkStart w:id="504" w:name="Tc_m6WteeSrX02VKfccGywCxA_6_2"/>
      <w:bookmarkStart w:id="505" w:name="Tc_EZMcxD6m_UmHs_vI9-1poQ_6_0"/>
      <w:bookmarkStart w:id="506" w:name="Tc_rOIXYJagtEG17i_fUiaVYw_5_16"/>
      <w:bookmarkStart w:id="507" w:name="Tc_FuhvWojylkecCD3qt2j8mQ_5_13"/>
      <w:bookmarkStart w:id="508" w:name="Tc_ELBqI8e7MEuC0ihJ06KeVw_5_10"/>
      <w:bookmarkStart w:id="509" w:name="Tc_BR7XM0oxAUCeTOK_GVFcGA_5_7"/>
      <w:bookmarkStart w:id="510" w:name="Tc_62rCU_-sJ0WI1uPpbL_WJg_5_4"/>
      <w:bookmarkStart w:id="511" w:name="Tc_PwByENaEMEiTdU9lhS_Ozg_5_0"/>
      <w:bookmarkStart w:id="512" w:name="Tc_g3DDm2FXkkuTd5jsa3vWkA_4_16"/>
      <w:bookmarkStart w:id="513" w:name="Tc_5pCSJXNtmUqOSFTlFUSf5Q_4_13"/>
      <w:bookmarkStart w:id="514" w:name="Tc_wIcd9woPW0qZvaC3QociAA_4_10"/>
      <w:bookmarkStart w:id="515" w:name="Tc_YfBlXRRE2kaS5n5VdFHmbA_4_7"/>
      <w:bookmarkStart w:id="516" w:name="Tc_thYv_-3iMUmU3hTx6zqAig_4_5"/>
      <w:bookmarkStart w:id="517" w:name="Tc_miqIpF9YwUGm2yfXs-_RsQ_4_2"/>
      <w:bookmarkStart w:id="518" w:name="Tc_IRgbkiJadEypJ6WCZH5hOQ_3_16"/>
      <w:bookmarkStart w:id="519" w:name="Tc_aM7X83PucUOzrVTM-RTjfg_3_13"/>
      <w:bookmarkStart w:id="520" w:name="Tc_v0AFUa0Se02doakITAObcw_3_10"/>
      <w:bookmarkStart w:id="521" w:name="Tc_tZBIFdv6lEqDc413n1P_2g_3_7"/>
      <w:bookmarkStart w:id="522" w:name="Tc_On5T2sGDJEKKHSY3dVLzlA_3_2"/>
      <w:bookmarkStart w:id="523" w:name="Tc_HXRwGRLqJUqpTK_W2p9zSA_2_16"/>
      <w:bookmarkStart w:id="524" w:name="Tc_KLIRPoJ-IEyq3nTASudRrQ_2_10"/>
      <w:bookmarkStart w:id="525" w:name="Tc_1oFoZio8f0CEe-KVPhoC0A_2_7"/>
      <w:bookmarkStart w:id="526" w:name="Tc_GCFU1Dp4c0W7nqAxzkI6bA_1_10"/>
      <w:bookmarkStart w:id="527" w:name="_06fd311c_2a2a_414b_882e_ca3a76dd8bca"/>
      <w:bookmarkStart w:id="528" w:name="Tc_dyYWcktr6UGQfJMVFMXBVA_16_16"/>
      <w:bookmarkStart w:id="529" w:name="Tc_nu0zEan_AkO3DuXj_yLmdw_16_13"/>
      <w:bookmarkStart w:id="530" w:name="Tc_bfSIzu08hkOOL0iWjJjiew_16_10"/>
      <w:bookmarkStart w:id="531" w:name="Tc_2mVr3liYeUqOxu2pTx3Gxg_16_7"/>
      <w:bookmarkStart w:id="532" w:name="Tc_Oax-8Kzfg0Kc-dtH03m4CQ_16_4"/>
      <w:bookmarkStart w:id="533" w:name="Tc_kPmkeipYq0SQonq5zjXGow_16_0"/>
      <w:bookmarkStart w:id="534" w:name="Tc_eGRHNA6GXUarE-JLDbCLgg_15_14"/>
      <w:bookmarkStart w:id="535" w:name="Tc_ZwAKAsAFAk2LkEujVjl98w_15_11"/>
      <w:bookmarkStart w:id="536" w:name="Tc_nl0AECVP1kG0XJDZXolBEg_15_5"/>
      <w:bookmarkStart w:id="537" w:name="Tc_aAFjKQtRNkSmLlLVuSQMug_15_2"/>
      <w:bookmarkStart w:id="538" w:name="Tc_737rGMcL-k2v57hfMaabHQ_15_0"/>
      <w:bookmarkStart w:id="539" w:name="Tc_xtfmn75Ad0uKiuANdDmxhA_14_14"/>
      <w:bookmarkStart w:id="540" w:name="Tc_jQe_jYJQHkCZEMKrwagQOA_14_11"/>
      <w:bookmarkStart w:id="541" w:name="Tc_Lau1dkK8mE6dXqK8Fv6A9w_14_5"/>
      <w:bookmarkStart w:id="542" w:name="Tc_taA4ITdyPUOEcMYUYprxYw_14_0"/>
      <w:bookmarkStart w:id="543" w:name="Tc_jhypHsa5v0KhmoOngyFYiA_13_14"/>
      <w:bookmarkStart w:id="544" w:name="Tc_td9UMx_JckG7_rq8D4asoA_13_11"/>
      <w:bookmarkStart w:id="545" w:name="Tc_PFuoP5pTdEiivBW3tU6xBw_13_5"/>
      <w:bookmarkStart w:id="546" w:name="Tc_4GGvRDypWEyzTrhMAbid2A_13_0"/>
      <w:bookmarkStart w:id="547" w:name="Tc_y6u29HpJOUCaM7QmjAQcUA_12_17"/>
      <w:bookmarkStart w:id="548" w:name="Tc_5MQMqLmYyEefvzf5k1BFxw_12_14"/>
      <w:bookmarkStart w:id="549" w:name="Tc_OYXlsypvXkm6MfCf7NpcVg_12_11"/>
      <w:bookmarkStart w:id="550" w:name="Tc_N1Y1J-uxvk6r5F6wU4j13g_12_8"/>
      <w:bookmarkStart w:id="551" w:name="Tc_nBEcAdd5YEqX73zNU9G5Vg_12_5"/>
      <w:bookmarkStart w:id="552" w:name="Tc_cgAonMWGJkmxUxJfqU1x_Q_12_0"/>
      <w:bookmarkStart w:id="553" w:name="Tc_m5kxtzvqgkWb3PODYoJ-wg_11_11"/>
      <w:bookmarkStart w:id="554" w:name="Tc_-QzCZtknNUWKEEVu0mI3gw_11_8"/>
      <w:bookmarkStart w:id="555" w:name="Tc_4_pUICxefUCmQ1pTmx_4yg_11_5"/>
      <w:bookmarkStart w:id="556" w:name="Tc_3zto_3jsBU-A6yWqiY1Ldg_11_2"/>
      <w:bookmarkStart w:id="557" w:name="Tc_atYT3D6qs0yp5RvTNMQ1FA_11_0"/>
      <w:bookmarkStart w:id="558" w:name="Tc_xgPX6Ivk7UKr2rSr8yQjcg_10_0"/>
      <w:bookmarkStart w:id="559" w:name="Tc_4Gq4HbiE6U2BaNnGGzDvVA_9_14"/>
      <w:bookmarkStart w:id="560" w:name="Tc_YBk1grK9FkC2hxesgnFKAg_9_11"/>
      <w:bookmarkStart w:id="561" w:name="Tc_9L6ES2lSg0GtjGAnzSPafQ_9_5"/>
      <w:bookmarkStart w:id="562" w:name="Tc_JPdynLEAKkmUy-cpCmHEgA_9_2"/>
      <w:bookmarkStart w:id="563" w:name="Tc_CNLOkhHU5kuIuuGBTsyUuA_9_0"/>
      <w:bookmarkStart w:id="564" w:name="Tc_wxMWO-GfVUySrYUozjkYJw_8_14"/>
      <w:bookmarkStart w:id="565" w:name="Tc_GZheIDa620-7rCtAO28qzw_8_11"/>
      <w:bookmarkStart w:id="566" w:name="Tc_Ms1tvKKvf0aq6GjAy0lJ1A_8_5"/>
      <w:bookmarkStart w:id="567" w:name="Tc_1PP8_SCO_06G4VpH47Tm0Q_8_0"/>
      <w:bookmarkStart w:id="568" w:name="Tc_e_rhxbuxCUerQ8rdlcpxtA_7_17"/>
      <w:bookmarkStart w:id="569" w:name="Tc_avdA9TebkU6Sfw0uO8RpFA_7_14"/>
      <w:bookmarkStart w:id="570" w:name="Tc_a2Yq7Awx3UqUllC9TKzOUw_7_11"/>
      <w:bookmarkStart w:id="571" w:name="Tc_BOfZ-7vQqU6-T5fNQr2nBA_7_8"/>
      <w:bookmarkStart w:id="572" w:name="Tc_hLJxkquMI0S3fANC3NphUA_7_5"/>
      <w:bookmarkStart w:id="573" w:name="Tc_Gb-BmwHNhUqm-pfcrdGjMA_7_0"/>
      <w:bookmarkStart w:id="574" w:name="Tc_zCtOaPCk8UuX2u-5ZOhV9Q_6_11"/>
      <w:bookmarkStart w:id="575" w:name="Tc_UdaOkIGTeUyFqJIMc7zxVA_6_8"/>
      <w:bookmarkStart w:id="576" w:name="Tc_1Hx6rfM5Jk-BOx0OuVnptQ_6_5"/>
      <w:bookmarkStart w:id="577" w:name="Tc_m6WteeSrX02VKfccGywCxA_6_2"/>
      <w:bookmarkStart w:id="578" w:name="Tc_EZMcxD6m_UmHs_vI9-1poQ_6_0"/>
      <w:bookmarkStart w:id="579" w:name="Tc_rOIXYJagtEG17i_fUiaVYw_5_16"/>
      <w:bookmarkStart w:id="580" w:name="Tc_FuhvWojylkecCD3qt2j8mQ_5_13"/>
      <w:bookmarkStart w:id="581" w:name="Tc_ELBqI8e7MEuC0ihJ06KeVw_5_10"/>
      <w:bookmarkStart w:id="582" w:name="Tc_BR7XM0oxAUCeTOK_GVFcGA_5_7"/>
      <w:bookmarkStart w:id="583" w:name="Tc_62rCU_-sJ0WI1uPpbL_WJg_5_4"/>
      <w:bookmarkStart w:id="584" w:name="Tc_PwByENaEMEiTdU9lhS_Ozg_5_0"/>
      <w:bookmarkStart w:id="585" w:name="Tc_g3DDm2FXkkuTd5jsa3vWkA_4_16"/>
      <w:bookmarkStart w:id="586" w:name="Tc_5pCSJXNtmUqOSFTlFUSf5Q_4_13"/>
      <w:bookmarkStart w:id="587" w:name="Tc_wIcd9woPW0qZvaC3QociAA_4_10"/>
      <w:bookmarkStart w:id="588" w:name="Tc_YfBlXRRE2kaS5n5VdFHmbA_4_7"/>
      <w:bookmarkStart w:id="589" w:name="Tc_thYv_-3iMUmU3hTx6zqAig_4_5"/>
      <w:bookmarkStart w:id="590" w:name="Tc_miqIpF9YwUGm2yfXs-_RsQ_4_2"/>
      <w:bookmarkStart w:id="591" w:name="Tc_IRgbkiJadEypJ6WCZH5hOQ_3_16"/>
      <w:bookmarkStart w:id="592" w:name="Tc_aM7X83PucUOzrVTM-RTjfg_3_13"/>
      <w:bookmarkStart w:id="593" w:name="Tc_v0AFUa0Se02doakITAObcw_3_10"/>
      <w:bookmarkStart w:id="594" w:name="Tc_tZBIFdv6lEqDc413n1P_2g_3_7"/>
      <w:bookmarkStart w:id="595" w:name="Tc_On5T2sGDJEKKHSY3dVLzlA_3_2"/>
      <w:bookmarkStart w:id="596" w:name="Tc_HXRwGRLqJUqpTK_W2p9zSA_2_16"/>
      <w:bookmarkStart w:id="597" w:name="Tc_KLIRPoJ-IEyq3nTASudRrQ_2_10"/>
      <w:bookmarkStart w:id="598" w:name="Tc_1oFoZio8f0CEe-KVPhoC0A_2_7"/>
      <w:bookmarkStart w:id="599" w:name="Tc_GCFU1Dp4c0W7nqAxzkI6bA_1_10"/>
      <w:bookmarkStart w:id="600" w:name="_06fd311c_2a2a_414b_882e_ca3a76dd8bca"/>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tbl>
      <w:tblPr>
        <w:tblW w:w="10205" w:type="dxa"/>
        <w:jc w:val="left"/>
        <w:tblInd w:w="0" w:type="dxa"/>
        <w:tblLayout w:type="fixed"/>
        <w:tblCellMar>
          <w:top w:w="0" w:type="dxa"/>
          <w:left w:w="0" w:type="dxa"/>
          <w:bottom w:w="0" w:type="dxa"/>
          <w:right w:w="0" w:type="dxa"/>
        </w:tblCellMar>
      </w:tblPr>
      <w:tblGrid>
        <w:gridCol w:w="1773"/>
        <w:gridCol w:w="346"/>
        <w:gridCol w:w="1006"/>
        <w:gridCol w:w="346"/>
        <w:gridCol w:w="196"/>
        <w:gridCol w:w="661"/>
        <w:gridCol w:w="346"/>
        <w:gridCol w:w="196"/>
        <w:gridCol w:w="826"/>
        <w:gridCol w:w="346"/>
        <w:gridCol w:w="399"/>
        <w:gridCol w:w="862"/>
        <w:gridCol w:w="346"/>
        <w:gridCol w:w="196"/>
        <w:gridCol w:w="876"/>
        <w:gridCol w:w="346"/>
        <w:gridCol w:w="227"/>
        <w:gridCol w:w="911"/>
      </w:tblGrid>
      <w:tr>
        <w:trPr/>
        <w:tc>
          <w:tcPr>
            <w:tcW w:w="1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38810" cy="175260"/>
                      <wp:effectExtent l="0" t="0" r="0" b="0"/>
                      <wp:wrapNone/>
                      <wp:docPr id="42" name="Frame4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19735" cy="175260"/>
                      <wp:effectExtent l="0" t="0" r="0" b="0"/>
                      <wp:wrapNone/>
                      <wp:docPr id="45" name="Frame4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24510" cy="175260"/>
                      <wp:effectExtent l="0" t="0" r="0" b="0"/>
                      <wp:wrapNone/>
                      <wp:docPr id="48" name="Frame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53365" cy="175260"/>
                      <wp:effectExtent l="0" t="0" r="0" b="0"/>
                      <wp:wrapNone/>
                      <wp:docPr id="50" name="Frame50"/>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47370" cy="175260"/>
                      <wp:effectExtent l="0" t="0" r="0" b="0"/>
                      <wp:wrapNone/>
                      <wp:docPr id="51" name="Frame5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56260" cy="175260"/>
                      <wp:effectExtent l="0" t="0" r="0" b="0"/>
                      <wp:wrapNone/>
                      <wp:docPr id="54" name="Frame54"/>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4145" cy="175260"/>
                      <wp:effectExtent l="0" t="0" r="0" b="0"/>
                      <wp:wrapNone/>
                      <wp:docPr id="56" name="Frame5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8485" cy="175260"/>
                      <wp:effectExtent l="0" t="0" r="0" b="0"/>
                      <wp:wrapNone/>
                      <wp:docPr id="57" name="Frame5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Accumulated</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pPr>
            <w:r>
              <w:rPr/>
              <w:t>​</w:t>
            </w:r>
          </w:p>
        </w:tc>
      </w:tr>
      <w:tr>
        <w:trPr/>
        <w:tc>
          <w:tcPr>
            <w:tcW w:w="1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Additional</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Other</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Total</w:t>
            </w:r>
          </w:p>
        </w:tc>
      </w:tr>
      <w:tr>
        <w:trPr/>
        <w:tc>
          <w:tcPr>
            <w:tcW w:w="1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Common Stock</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Paid-In</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Comprehensive</w:t>
            </w:r>
          </w:p>
        </w:tc>
        <w:tc>
          <w:tcPr>
            <w:tcW w:w="346" w:type="dxa"/>
            <w:tcBorders/>
            <w:vAlign w:val="center"/>
          </w:tcPr>
          <w:p>
            <w:pPr>
              <w:pStyle w:val="TableContents"/>
              <w:bidi w:val="0"/>
              <w:spacing w:before="0" w:after="1"/>
              <w:ind w:left="0" w:right="0" w:hanging="0"/>
              <w:jc w:val="center"/>
              <w:rPr/>
            </w:pPr>
            <w:r>
              <w:rPr/>
              <w:t>​</w:t>
            </w:r>
          </w:p>
        </w:tc>
        <w:tc>
          <w:tcPr>
            <w:tcW w:w="1072"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Accumulated</w:t>
            </w:r>
          </w:p>
        </w:tc>
        <w:tc>
          <w:tcPr>
            <w:tcW w:w="346" w:type="dxa"/>
            <w:tcBorders/>
            <w:vAlign w:val="center"/>
          </w:tcPr>
          <w:p>
            <w:pPr>
              <w:pStyle w:val="TableContents"/>
              <w:bidi w:val="0"/>
              <w:spacing w:before="0" w:after="1"/>
              <w:ind w:left="0" w:right="0" w:hanging="0"/>
              <w:jc w:val="left"/>
              <w:rPr/>
            </w:pPr>
            <w:r>
              <w:rPr/>
              <w:t>​</w:t>
            </w:r>
          </w:p>
        </w:tc>
        <w:tc>
          <w:tcPr>
            <w:tcW w:w="1138" w:type="dxa"/>
            <w:gridSpan w:val="2"/>
            <w:tcBorders/>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Stockholders'</w:t>
            </w:r>
          </w:p>
        </w:tc>
      </w:tr>
      <w:tr>
        <w:trPr/>
        <w:tc>
          <w:tcPr>
            <w:tcW w:w="1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Shares</w:t>
            </w:r>
          </w:p>
        </w:tc>
        <w:tc>
          <w:tcPr>
            <w:tcW w:w="346" w:type="dxa"/>
            <w:tcBorders/>
            <w:vAlign w:val="center"/>
          </w:tcPr>
          <w:p>
            <w:pPr>
              <w:pStyle w:val="TableContents"/>
              <w:bidi w:val="0"/>
              <w:spacing w:before="0" w:after="1"/>
              <w:ind w:left="0" w:right="0" w:hanging="0"/>
              <w:jc w:val="center"/>
              <w:rPr/>
            </w:pPr>
            <w:r>
              <w:rPr/>
              <w:t>  ​ ​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Amount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Capital</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Loss</w:t>
            </w:r>
          </w:p>
        </w:tc>
        <w:tc>
          <w:tcPr>
            <w:tcW w:w="346" w:type="dxa"/>
            <w:tcBorders/>
            <w:vAlign w:val="center"/>
          </w:tcPr>
          <w:p>
            <w:pPr>
              <w:pStyle w:val="TableContents"/>
              <w:bidi w:val="0"/>
              <w:spacing w:before="0" w:after="1"/>
              <w:ind w:left="0" w:right="0" w:hanging="0"/>
              <w:jc w:val="center"/>
              <w:rPr/>
            </w:pPr>
            <w:r>
              <w:rPr/>
              <w:t>  ​ ​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Deficit</w:t>
            </w:r>
          </w:p>
        </w:tc>
        <w:tc>
          <w:tcPr>
            <w:tcW w:w="346" w:type="dxa"/>
            <w:tcBorders/>
            <w:vAlign w:val="center"/>
          </w:tcPr>
          <w:p>
            <w:pPr>
              <w:pStyle w:val="TableContents"/>
              <w:bidi w:val="0"/>
              <w:spacing w:before="0" w:after="1"/>
              <w:ind w:left="0" w:right="0" w:hanging="0"/>
              <w:jc w:val="center"/>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5"/>
              </w:rPr>
            </w:pPr>
            <w:r>
              <w:rPr>
                <w:rFonts w:ascii="Helvetica;sans-serif" w:hAnsi="Helvetica;sans-serif"/>
                <w:b/>
                <w:sz w:val="15"/>
              </w:rPr>
              <w:t>Equity (Deficit)</w:t>
            </w:r>
          </w:p>
        </w:tc>
      </w:tr>
      <w:tr>
        <w:trPr/>
        <w:tc>
          <w:tcPr>
            <w:tcW w:w="1773"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Balances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115,614,548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661"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82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1,419,266</w:t>
            </w:r>
          </w:p>
        </w:tc>
        <w:tc>
          <w:tcPr>
            <w:tcW w:w="3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862"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87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(1,550,993)</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911"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(131,990)</w:t>
            </w:r>
          </w:p>
        </w:tc>
      </w:tr>
      <w:tr>
        <w:trPr/>
        <w:tc>
          <w:tcPr>
            <w:tcW w:w="1773" w:type="dxa"/>
            <w:tcBorders/>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Net loss</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(56,569)</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(56,569)</w:t>
            </w:r>
          </w:p>
        </w:tc>
      </w:tr>
      <w:tr>
        <w:trPr/>
        <w:tc>
          <w:tcPr>
            <w:tcW w:w="1773"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Issuance of common stock upon vesting of RSUs</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474,410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w:t>
            </w:r>
          </w:p>
        </w:tc>
      </w:tr>
      <w:tr>
        <w:trPr/>
        <w:tc>
          <w:tcPr>
            <w:tcW w:w="1773" w:type="dxa"/>
            <w:tcBorders/>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Taxes paid related to net share settlement of RSUs</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(181,742)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(264)</w:t>
            </w:r>
          </w:p>
        </w:tc>
        <w:tc>
          <w:tcPr>
            <w:tcW w:w="34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(264)</w:t>
            </w:r>
          </w:p>
        </w:tc>
      </w:tr>
      <w:tr>
        <w:trPr/>
        <w:tc>
          <w:tcPr>
            <w:tcW w:w="1773"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5,353</w:t>
            </w:r>
          </w:p>
        </w:tc>
        <w:tc>
          <w:tcPr>
            <w:tcW w:w="346" w:type="dxa"/>
            <w:tcBorders/>
            <w:shd w:fill="CCEEFF" w:val="cle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5,353</w:t>
            </w:r>
          </w:p>
        </w:tc>
      </w:tr>
      <w:tr>
        <w:trPr/>
        <w:tc>
          <w:tcPr>
            <w:tcW w:w="1773" w:type="dxa"/>
            <w:tcBorders/>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Balances at March 31, 2025</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115,907,216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1,424,355</w:t>
            </w:r>
          </w:p>
        </w:tc>
        <w:tc>
          <w:tcPr>
            <w:tcW w:w="346"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(1,607,562)</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(183,470)</w:t>
            </w:r>
          </w:p>
        </w:tc>
      </w:tr>
      <w:tr>
        <w:trPr/>
        <w:tc>
          <w:tcPr>
            <w:tcW w:w="1773"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297,767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297,767</w:t>
            </w:r>
          </w:p>
        </w:tc>
      </w:tr>
      <w:tr>
        <w:trPr/>
        <w:tc>
          <w:tcPr>
            <w:tcW w:w="1773" w:type="dxa"/>
            <w:tcBorders/>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Issuance of common stock upon vesting of RSUs</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44,556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w:t>
            </w:r>
          </w:p>
        </w:tc>
      </w:tr>
      <w:tr>
        <w:trPr/>
        <w:tc>
          <w:tcPr>
            <w:tcW w:w="1773"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Taxes paid related to net share settlement of RSUs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(16,519)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(16)</w:t>
            </w:r>
          </w:p>
        </w:tc>
      </w:tr>
      <w:tr>
        <w:trPr/>
        <w:tc>
          <w:tcPr>
            <w:tcW w:w="1773" w:type="dxa"/>
            <w:tcBorders/>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Issuance of common stock under the ESPP</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287,473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188</w:t>
            </w:r>
          </w:p>
        </w:tc>
        <w:tc>
          <w:tcPr>
            <w:tcW w:w="34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188</w:t>
            </w:r>
          </w:p>
        </w:tc>
      </w:tr>
      <w:tr>
        <w:trPr/>
        <w:tc>
          <w:tcPr>
            <w:tcW w:w="1773" w:type="dxa"/>
            <w:tcBorders/>
            <w:shd w:fill="CCEEFF" w:val="cle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5,358</w:t>
            </w:r>
          </w:p>
        </w:tc>
        <w:tc>
          <w:tcPr>
            <w:tcW w:w="346" w:type="dxa"/>
            <w:tcBorders/>
            <w:shd w:fill="CCEEFF" w:val="cle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5,358</w:t>
            </w:r>
          </w:p>
        </w:tc>
      </w:tr>
      <w:tr>
        <w:trPr/>
        <w:tc>
          <w:tcPr>
            <w:tcW w:w="1773" w:type="dxa"/>
            <w:tcBorders/>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Balances at June 30, 2025</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116,222,726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1,429,885</w:t>
            </w:r>
          </w:p>
        </w:tc>
        <w:tc>
          <w:tcPr>
            <w:tcW w:w="346" w:type="dxa"/>
            <w:tcBorders/>
            <w:vAlign w:val="center"/>
          </w:tcPr>
          <w:p>
            <w:pPr>
              <w:pStyle w:val="TableContents"/>
              <w:bidi w:val="0"/>
              <w:spacing w:before="0" w:after="1"/>
              <w:ind w:left="0" w:right="0" w:hanging="0"/>
              <w:jc w:val="left"/>
              <w:rPr/>
            </w:pPr>
            <w:r>
              <w:rPr/>
              <w:t>​</w:t>
            </w:r>
          </w:p>
        </w:tc>
        <w:tc>
          <w:tcPr>
            <w:tcW w:w="399"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(275)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876"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5"/>
              </w:rPr>
            </w:pPr>
            <w:r>
              <w:rPr>
                <w:rFonts w:ascii="Helvetica;sans-serif" w:hAnsi="Helvetica;sans-serif"/>
                <w:sz w:val="15"/>
              </w:rPr>
              <w:t>(1,309,795)</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15"/>
              </w:rPr>
            </w:pPr>
            <w:r>
              <w:rPr>
                <w:rFonts w:ascii="Helvetica;sans-serif" w:hAnsi="Helvetica;sans-serif"/>
                <w:sz w:val="15"/>
              </w:rPr>
              <w:t>$</w:t>
            </w:r>
          </w:p>
        </w:tc>
        <w:tc>
          <w:tcPr>
            <w:tcW w:w="911" w:type="dxa"/>
            <w:tcBorders>
              <w:bottom w:val="double" w:sz="6" w:space="0" w:color="000000"/>
            </w:tcBorders>
            <w:tcMar>
              <w:bottom w:w="28" w:type="dxa"/>
            </w:tcMar>
            <w:vAlign w:val="center"/>
          </w:tcPr>
          <w:p>
            <w:pPr>
              <w:pStyle w:val="TableContents"/>
              <w:bidi w:val="0"/>
              <w:spacing w:before="0" w:after="1"/>
              <w:ind w:left="0" w:right="45" w:hanging="0"/>
              <w:jc w:val="right"/>
              <w:rPr>
                <w:rFonts w:ascii="Helvetica;sans-serif" w:hAnsi="Helvetica;sans-serif"/>
                <w:sz w:val="15"/>
              </w:rPr>
            </w:pPr>
            <w:r>
              <w:rPr>
                <w:rFonts w:ascii="Helvetica;sans-serif" w:hAnsi="Helvetica;sans-serif"/>
                <w:sz w:val="15"/>
              </w:rPr>
              <w:t>119,827</w:t>
            </w:r>
          </w:p>
        </w:tc>
      </w:tr>
    </w:tbl>
    <w:p>
      <w:pPr>
        <w:pStyle w:val="TextBody"/>
        <w:bidi w:val="0"/>
        <w:spacing w:before="0" w:after="240"/>
        <w:ind w:left="0" w:right="0" w:hanging="0"/>
        <w:jc w:val="left"/>
        <w:rPr/>
      </w:pPr>
      <w:r>
        <w:rPr/>
        <w:t>​</w:t>
      </w:r>
    </w:p>
    <w:p>
      <w:pPr>
        <w:pStyle w:val="TextBody"/>
        <w:bidi w:val="0"/>
        <w:spacing w:before="0" w:after="240"/>
        <w:ind w:left="720" w:right="0" w:hanging="0"/>
        <w:jc w:val="left"/>
        <w:rPr/>
      </w:pPr>
      <w:r>
        <w:rPr/>
        <w:t>​</w:t>
      </w:r>
    </w:p>
    <w:p>
      <w:pPr>
        <w:pStyle w:val="TextBody"/>
        <w:bidi w:val="0"/>
        <w:spacing w:before="0" w:after="0"/>
        <w:ind w:left="0" w:right="0" w:firstLine="490"/>
        <w:jc w:val="center"/>
        <w:rPr>
          <w:rFonts w:ascii="Helvetica;sans-serif" w:hAnsi="Helvetica;sans-serif"/>
          <w:sz w:val="20"/>
        </w:rPr>
      </w:pPr>
      <w:r>
        <w:rPr>
          <w:rFonts w:ascii="Helvetica;sans-serif" w:hAnsi="Helvetica;sans-serif"/>
          <w:sz w:val="20"/>
        </w:rPr>
        <w:t>See accompanying notes to these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Helvetica;sans-serif" w:hAnsi="Helvetica;sans-serif"/>
          <w:b/>
          <w:sz w:val="20"/>
        </w:rPr>
      </w:pPr>
      <w:bookmarkStart w:id="601" w:name="CashFlows"/>
      <w:bookmarkStart w:id="602" w:name="_5884de4a_2691_4e07_8148_3089525816d9"/>
      <w:bookmarkEnd w:id="601"/>
      <w:bookmarkEnd w:id="602"/>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b/>
          <w:sz w:val="20"/>
        </w:rPr>
      </w:pPr>
      <w:bookmarkStart w:id="603" w:name="CondensedConsolidatedStatementsofCashFlo"/>
      <w:bookmarkEnd w:id="603"/>
      <w:r>
        <w:rPr>
          <w:rFonts w:ascii="Helvetica;sans-serif" w:hAnsi="Helvetica;sans-serif"/>
          <w:b/>
          <w:sz w:val="20"/>
        </w:rPr>
        <w:t>Condensed Consolidated Statements of Cash Flows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 thousands)</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04" w:name="Tc_gCe9aO5azUKCNeiByiPJHg_43_5"/>
      <w:bookmarkStart w:id="605" w:name="Tc_fZS4DjWiAUG-ULYqIj6wDQ_43_2"/>
      <w:bookmarkStart w:id="606" w:name="Tc_ZqmrjcJ8wUKrNxgtqqxtHw_43_0"/>
      <w:bookmarkStart w:id="607" w:name="Tc_3NVYdenquECVgX08zPRhVw_42_0"/>
      <w:bookmarkStart w:id="608" w:name="Tc_UVBPpkk4nE2GNRv6DLFoRA_41_0"/>
      <w:bookmarkStart w:id="609" w:name="Tc_r56638PbdEis_AEbu-05OA_39_0"/>
      <w:bookmarkStart w:id="610" w:name="Tc_6rWQQ2USRkGdRJdhLW9UqQ_38_0"/>
      <w:bookmarkStart w:id="611" w:name="Tc_pIah1Lhz30eAmgyfUQrZyQ_37_0"/>
      <w:bookmarkStart w:id="612" w:name="Tc_3EFaH0Vq4k23DvXiHZtHyA_36_0"/>
      <w:bookmarkStart w:id="613" w:name="Tc_jqg-7jBjNECs-8_TOTGcaw_35_0"/>
      <w:bookmarkStart w:id="614" w:name="Tc_c_uTLoJMz06BbTFUWr4ZVQ_34_3"/>
      <w:bookmarkStart w:id="615" w:name="Tc_wOmIgxCdhUiZNGKj9ZeS1Q_34_0"/>
      <w:bookmarkStart w:id="616" w:name="Tc_Nt0GcQuyyUiydm8iBCri1g_33_6"/>
      <w:bookmarkStart w:id="617" w:name="Tc_qt2k00qdtUOGvkWRA-Oocg_33_0"/>
      <w:bookmarkStart w:id="618" w:name="Tc_u5maO8U9Bk2gOfqYPq3qJQ_32_0"/>
      <w:bookmarkStart w:id="619" w:name="Tc_lFJhgIEdjEqhpGSoinWObA_30_0"/>
      <w:bookmarkStart w:id="620" w:name="Tc_aKx2CCFPfE2hYXG-LOVoNg_29_0"/>
      <w:bookmarkStart w:id="621" w:name="Tc_s4KiAvCgHkmMa2ZjvFGiWA_28_3"/>
      <w:bookmarkStart w:id="622" w:name="Tc_znrEJmVE-Eq6gAQGvMOklQ_28_0"/>
      <w:bookmarkStart w:id="623" w:name="Tc_TotfVcJW602h4U4VVWXIeA_27_3"/>
      <w:bookmarkStart w:id="624" w:name="Tc_zKEtHvYjaUuDnWK-umsJAA_27_0"/>
      <w:bookmarkStart w:id="625" w:name="Tc_228iOHQtA0eEw1WjfW_-BA_26_6"/>
      <w:bookmarkStart w:id="626" w:name="Tc_z5PCF0dJaEmxDkJErfZKIA_26_0"/>
      <w:bookmarkStart w:id="627" w:name="Tc_WOgNVbP_oEmC1DVVfNJmxQ_25_0"/>
      <w:bookmarkStart w:id="628" w:name="Tc_fxWpKq_rTki2xRuQBqJAXQ_24_0"/>
      <w:bookmarkStart w:id="629" w:name="Tc_FbLZQn9ddEi785Rsioq2sw_22_0"/>
      <w:bookmarkStart w:id="630" w:name="Tc_XxVPGNvaLkSLoX0nau3epA_21_0"/>
      <w:bookmarkStart w:id="631" w:name="Tc_lvCYTyk3e0eu16_v2hPNXg_20_0"/>
      <w:bookmarkStart w:id="632" w:name="Tc_f2VTRqp34kKCDA9XDo7otg_19_0"/>
      <w:bookmarkStart w:id="633" w:name="Tc_OlCMc5JdjESJw-7rsJTFhQ_18_0"/>
      <w:bookmarkStart w:id="634" w:name="Tc_T2UAnSQcqEGlacHH0JOS8Q_17_0"/>
      <w:bookmarkStart w:id="635" w:name="Tc_0Yg7kpGn7kSk-Xg1tpBF0Q_16_0"/>
      <w:bookmarkStart w:id="636" w:name="Tc_iB7-w1UHI0mwGmiwNJmwBg_15_0"/>
      <w:bookmarkStart w:id="637" w:name="Tc_wO_3EX6Bgk-Q0G1-1krNMg_14_0"/>
      <w:bookmarkStart w:id="638" w:name="Tc_rL4rRnTiN0C0kqiOk31i5A_13_0"/>
      <w:bookmarkStart w:id="639" w:name="Tc_CgVAyiEnk0qDsWzFl60ecg_12_0"/>
      <w:bookmarkStart w:id="640" w:name="Tc_j6YvYaWm80-BVUMnJANftw_11_3"/>
      <w:bookmarkStart w:id="641" w:name="Tc_rThFUWBhQUKE3PSATozPgw_11_0"/>
      <w:bookmarkStart w:id="642" w:name="Tc_qdpi6P7VikilcA6i_j6-sw_10_0"/>
      <w:bookmarkStart w:id="643" w:name="Tc_-FCVYwzTg0uieNRMnhaxJw_9_3"/>
      <w:bookmarkStart w:id="644" w:name="Tc_euCbaSJrvkewARa2ZoXNSQ_9_0"/>
      <w:bookmarkStart w:id="645" w:name="Tc_xD667ibro0CynVw2rg8b-A_8_0"/>
      <w:bookmarkStart w:id="646" w:name="Tc_v2LNyVl35EeJme0n-gd5vw_7_0"/>
      <w:bookmarkStart w:id="647" w:name="Tc_xaaH71NPzUOQh1sRRcsTfw_6_0"/>
      <w:bookmarkStart w:id="648" w:name="Tc_IFck8aDZMEu6QsWH1WTk9g_5_5"/>
      <w:bookmarkStart w:id="649" w:name="Tc_lyquHPSJzkOWQ7o-0-cnBQ_5_2"/>
      <w:bookmarkStart w:id="650" w:name="Tc_Gdihdt7m0Em8DhsHvzL91w_5_0"/>
      <w:bookmarkStart w:id="651" w:name="Tc_CecVxlUttESsnt2gmqTOuA_4_0"/>
      <w:bookmarkStart w:id="652" w:name="Tc_CgDcZNrPOEaagMlXzPQY_w_3_5"/>
      <w:bookmarkStart w:id="653" w:name="Tc_3mxYBn8vTUO5oOttx_KOMA_3_2"/>
      <w:bookmarkStart w:id="654" w:name="Tc_LRae9tW7uECqvKjhzXnd1A_2_2"/>
      <w:bookmarkStart w:id="655" w:name="Tc_qVpkY2T440Ksa7sqQch1Fw_1_2"/>
      <w:bookmarkStart w:id="656" w:name="_b850b476_1351_4202_800a_f0e4f5b149b1"/>
      <w:bookmarkStart w:id="657" w:name="Tc_gCe9aO5azUKCNeiByiPJHg_43_5"/>
      <w:bookmarkStart w:id="658" w:name="Tc_fZS4DjWiAUG-ULYqIj6wDQ_43_2"/>
      <w:bookmarkStart w:id="659" w:name="Tc_ZqmrjcJ8wUKrNxgtqqxtHw_43_0"/>
      <w:bookmarkStart w:id="660" w:name="Tc_3NVYdenquECVgX08zPRhVw_42_0"/>
      <w:bookmarkStart w:id="661" w:name="Tc_UVBPpkk4nE2GNRv6DLFoRA_41_0"/>
      <w:bookmarkStart w:id="662" w:name="Tc_r56638PbdEis_AEbu-05OA_39_0"/>
      <w:bookmarkStart w:id="663" w:name="Tc_6rWQQ2USRkGdRJdhLW9UqQ_38_0"/>
      <w:bookmarkStart w:id="664" w:name="Tc_pIah1Lhz30eAmgyfUQrZyQ_37_0"/>
      <w:bookmarkStart w:id="665" w:name="Tc_3EFaH0Vq4k23DvXiHZtHyA_36_0"/>
      <w:bookmarkStart w:id="666" w:name="Tc_jqg-7jBjNECs-8_TOTGcaw_35_0"/>
      <w:bookmarkStart w:id="667" w:name="Tc_c_uTLoJMz06BbTFUWr4ZVQ_34_3"/>
      <w:bookmarkStart w:id="668" w:name="Tc_wOmIgxCdhUiZNGKj9ZeS1Q_34_0"/>
      <w:bookmarkStart w:id="669" w:name="Tc_Nt0GcQuyyUiydm8iBCri1g_33_6"/>
      <w:bookmarkStart w:id="670" w:name="Tc_qt2k00qdtUOGvkWRA-Oocg_33_0"/>
      <w:bookmarkStart w:id="671" w:name="Tc_u5maO8U9Bk2gOfqYPq3qJQ_32_0"/>
      <w:bookmarkStart w:id="672" w:name="Tc_lFJhgIEdjEqhpGSoinWObA_30_0"/>
      <w:bookmarkStart w:id="673" w:name="Tc_aKx2CCFPfE2hYXG-LOVoNg_29_0"/>
      <w:bookmarkStart w:id="674" w:name="Tc_s4KiAvCgHkmMa2ZjvFGiWA_28_3"/>
      <w:bookmarkStart w:id="675" w:name="Tc_znrEJmVE-Eq6gAQGvMOklQ_28_0"/>
      <w:bookmarkStart w:id="676" w:name="Tc_TotfVcJW602h4U4VVWXIeA_27_3"/>
      <w:bookmarkStart w:id="677" w:name="Tc_zKEtHvYjaUuDnWK-umsJAA_27_0"/>
      <w:bookmarkStart w:id="678" w:name="Tc_228iOHQtA0eEw1WjfW_-BA_26_6"/>
      <w:bookmarkStart w:id="679" w:name="Tc_z5PCF0dJaEmxDkJErfZKIA_26_0"/>
      <w:bookmarkStart w:id="680" w:name="Tc_WOgNVbP_oEmC1DVVfNJmxQ_25_0"/>
      <w:bookmarkStart w:id="681" w:name="Tc_fxWpKq_rTki2xRuQBqJAXQ_24_0"/>
      <w:bookmarkStart w:id="682" w:name="Tc_FbLZQn9ddEi785Rsioq2sw_22_0"/>
      <w:bookmarkStart w:id="683" w:name="Tc_XxVPGNvaLkSLoX0nau3epA_21_0"/>
      <w:bookmarkStart w:id="684" w:name="Tc_lvCYTyk3e0eu16_v2hPNXg_20_0"/>
      <w:bookmarkStart w:id="685" w:name="Tc_f2VTRqp34kKCDA9XDo7otg_19_0"/>
      <w:bookmarkStart w:id="686" w:name="Tc_OlCMc5JdjESJw-7rsJTFhQ_18_0"/>
      <w:bookmarkStart w:id="687" w:name="Tc_T2UAnSQcqEGlacHH0JOS8Q_17_0"/>
      <w:bookmarkStart w:id="688" w:name="Tc_0Yg7kpGn7kSk-Xg1tpBF0Q_16_0"/>
      <w:bookmarkStart w:id="689" w:name="Tc_iB7-w1UHI0mwGmiwNJmwBg_15_0"/>
      <w:bookmarkStart w:id="690" w:name="Tc_wO_3EX6Bgk-Q0G1-1krNMg_14_0"/>
      <w:bookmarkStart w:id="691" w:name="Tc_rL4rRnTiN0C0kqiOk31i5A_13_0"/>
      <w:bookmarkStart w:id="692" w:name="Tc_CgVAyiEnk0qDsWzFl60ecg_12_0"/>
      <w:bookmarkStart w:id="693" w:name="Tc_j6YvYaWm80-BVUMnJANftw_11_3"/>
      <w:bookmarkStart w:id="694" w:name="Tc_rThFUWBhQUKE3PSATozPgw_11_0"/>
      <w:bookmarkStart w:id="695" w:name="Tc_qdpi6P7VikilcA6i_j6-sw_10_0"/>
      <w:bookmarkStart w:id="696" w:name="Tc_-FCVYwzTg0uieNRMnhaxJw_9_3"/>
      <w:bookmarkStart w:id="697" w:name="Tc_euCbaSJrvkewARa2ZoXNSQ_9_0"/>
      <w:bookmarkStart w:id="698" w:name="Tc_xD667ibro0CynVw2rg8b-A_8_0"/>
      <w:bookmarkStart w:id="699" w:name="Tc_v2LNyVl35EeJme0n-gd5vw_7_0"/>
      <w:bookmarkStart w:id="700" w:name="Tc_xaaH71NPzUOQh1sRRcsTfw_6_0"/>
      <w:bookmarkStart w:id="701" w:name="Tc_IFck8aDZMEu6QsWH1WTk9g_5_5"/>
      <w:bookmarkStart w:id="702" w:name="Tc_lyquHPSJzkOWQ7o-0-cnBQ_5_2"/>
      <w:bookmarkStart w:id="703" w:name="Tc_Gdihdt7m0Em8DhsHvzL91w_5_0"/>
      <w:bookmarkStart w:id="704" w:name="Tc_CecVxlUttESsnt2gmqTOuA_4_0"/>
      <w:bookmarkStart w:id="705" w:name="Tc_CgDcZNrPOEaagMlXzPQY_w_3_5"/>
      <w:bookmarkStart w:id="706" w:name="Tc_3mxYBn8vTUO5oOttx_KOMA_3_2"/>
      <w:bookmarkStart w:id="707" w:name="Tc_LRae9tW7uECqvKjhzXnd1A_2_2"/>
      <w:bookmarkStart w:id="708" w:name="Tc_qVpkY2T440Ksa7sqQch1Fw_1_2"/>
      <w:bookmarkStart w:id="709" w:name="_b850b476_1351_4202_800a_f0e4f5b149b1"/>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tbl>
      <w:tblPr>
        <w:tblW w:w="8002" w:type="dxa"/>
        <w:jc w:val="left"/>
        <w:tblInd w:w="0" w:type="dxa"/>
        <w:tblLayout w:type="fixed"/>
        <w:tblCellMar>
          <w:top w:w="0" w:type="dxa"/>
          <w:left w:w="0" w:type="dxa"/>
          <w:bottom w:w="0" w:type="dxa"/>
          <w:right w:w="0" w:type="dxa"/>
        </w:tblCellMar>
      </w:tblPr>
      <w:tblGrid>
        <w:gridCol w:w="5521"/>
        <w:gridCol w:w="346"/>
        <w:gridCol w:w="181"/>
        <w:gridCol w:w="691"/>
        <w:gridCol w:w="346"/>
        <w:gridCol w:w="181"/>
        <w:gridCol w:w="736"/>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505835" cy="175260"/>
                      <wp:effectExtent l="0" t="0" r="0" b="0"/>
                      <wp:wrapNone/>
                      <wp:docPr id="58" name="Frame58"/>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60" name="Frame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38785" cy="175260"/>
                      <wp:effectExtent l="0" t="0" r="0" b="0"/>
                      <wp:wrapNone/>
                      <wp:docPr id="61" name="Frame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4935" cy="175260"/>
                      <wp:effectExtent l="0" t="0" r="0" b="0"/>
                      <wp:wrapNone/>
                      <wp:docPr id="63" name="Frame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67360" cy="175260"/>
                      <wp:effectExtent l="0" t="0" r="0" b="0"/>
                      <wp:wrapNone/>
                      <wp:docPr id="64" name="Frame6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 xml:space="preserve">Six Months Ended </w:t>
            </w:r>
          </w:p>
        </w:tc>
      </w:tr>
      <w:tr>
        <w:trPr/>
        <w:tc>
          <w:tcPr>
            <w:tcW w:w="5521"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June 30, </w:t>
            </w:r>
          </w:p>
        </w:tc>
      </w:tr>
      <w:tr>
        <w:trPr/>
        <w:tc>
          <w:tcPr>
            <w:tcW w:w="5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2025</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Net income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(58,958)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241,198</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Adjustments to reconcile net income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1,743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2,062</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4,968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10,793</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Loss on debt extinguishment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10,286</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(Gain) loss on Sale Transactions, net (Note 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(339,102)</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Change in fair value of derivatives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12,608</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Other non-cash adjustments,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(12,030)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2,490</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Trade 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3,940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106,161</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Inventory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(10,875)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(18,474)</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Prepaids and other current and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4,568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(473)</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Accounts payable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4,253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833</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Accrued rebates, fees and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(68,053)</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TSA related operating assets and liabilities,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(42,174)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(10,547)</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(5,299)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(7,329)</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Accrued and other current and non-current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(8,446)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(14,911)</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(119,976)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(72,458)</w:t>
            </w:r>
          </w:p>
        </w:tc>
      </w:tr>
      <w:tr>
        <w:trPr/>
        <w:tc>
          <w:tcPr>
            <w:tcW w:w="5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Purchases of investments in marketable securities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(20,285)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(20,726)</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Proceeds from maturities of investments in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81,671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Net cash received related to the Sale Transactions (Note 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478,681</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Milestone payment to Junshi Biosciences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(12,500)</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Other investing activities,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(303)</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Net cash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60,286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445,152</w:t>
            </w:r>
          </w:p>
        </w:tc>
      </w:tr>
      <w:tr>
        <w:trPr/>
        <w:tc>
          <w:tcPr>
            <w:tcW w:w="5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Proceeds from issuance of common stock under Public Offering, net of issuance costs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53,650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Partial repayment of Revenue Purchase and Sale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(47,652)</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Proceeds from purchases under the employee stock purchase plan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188</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Taxes paid related to net share settlement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(280)</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Repayment and redemption of 2026 Convertible Notes, including transaction costs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(233,185)</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Other financing activities,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(859)</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53,734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(281,788)</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Net increase (decrease)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(5,956)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90,906</w:t>
            </w:r>
          </w:p>
        </w:tc>
      </w:tr>
      <w:tr>
        <w:trPr/>
        <w:tc>
          <w:tcPr>
            <w:tcW w:w="552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89,119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126,250</w:t>
            </w:r>
          </w:p>
        </w:tc>
      </w:tr>
      <w:tr>
        <w:trPr/>
        <w:tc>
          <w:tcPr>
            <w:tcW w:w="552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83,163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736" w:type="dxa"/>
            <w:tcBorders>
              <w:bottom w:val="double" w:sz="6" w:space="0" w:color="000000"/>
            </w:tcBorders>
            <w:tcMar>
              <w:bottom w:w="28" w:type="dxa"/>
            </w:tcMar>
            <w:vAlign w:val="center"/>
          </w:tcPr>
          <w:p>
            <w:pPr>
              <w:pStyle w:val="TableContents"/>
              <w:bidi w:val="0"/>
              <w:spacing w:before="0" w:after="0"/>
              <w:ind w:left="0" w:right="45" w:hanging="0"/>
              <w:jc w:val="right"/>
              <w:rPr>
                <w:rFonts w:ascii="Helvetica;sans-serif" w:hAnsi="Helvetica;sans-serif"/>
                <w:sz w:val="14"/>
              </w:rPr>
            </w:pPr>
            <w:r>
              <w:rPr>
                <w:rFonts w:ascii="Helvetica;sans-serif" w:hAnsi="Helvetica;sans-serif"/>
                <w:sz w:val="14"/>
              </w:rPr>
              <w:t>217,156</w:t>
            </w:r>
          </w:p>
        </w:tc>
      </w:tr>
    </w:tbl>
    <w:p>
      <w:pPr>
        <w:pStyle w:val="TextBody"/>
        <w:bidi w:val="0"/>
        <w:spacing w:before="0" w:after="0"/>
        <w:ind w:left="0" w:right="0" w:hanging="0"/>
        <w:jc w:val="left"/>
        <w:rPr/>
      </w:pPr>
      <w:r>
        <w:rPr/>
        <w:t>​</w:t>
      </w:r>
    </w:p>
    <w:p>
      <w:pPr>
        <w:pStyle w:val="TextBody"/>
        <w:bidi w:val="0"/>
        <w:spacing w:before="0" w:after="0"/>
        <w:ind w:left="0" w:right="0" w:firstLine="490"/>
        <w:jc w:val="center"/>
        <w:rPr>
          <w:rFonts w:ascii="Helvetica;sans-serif" w:hAnsi="Helvetica;sans-serif"/>
          <w:sz w:val="20"/>
        </w:rPr>
      </w:pPr>
      <w:r>
        <w:rPr>
          <w:rFonts w:ascii="Helvetica;sans-serif" w:hAnsi="Helvetica;sans-serif"/>
          <w:sz w:val="20"/>
        </w:rPr>
        <w:t>See accompanying notes to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Helvetica;sans-serif" w:hAnsi="Helvetica;sans-serif"/>
          <w:b/>
          <w:sz w:val="20"/>
        </w:rPr>
      </w:pPr>
      <w:bookmarkStart w:id="710" w:name="_630273fb_705f_489c_a932_c30dc536ac4a"/>
      <w:bookmarkEnd w:id="710"/>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b/>
          <w:sz w:val="20"/>
        </w:rPr>
      </w:pPr>
      <w:bookmarkStart w:id="711" w:name="NotestoCondensedConsolidatedFinancialSta"/>
      <w:bookmarkEnd w:id="711"/>
      <w:r>
        <w:rPr>
          <w:rFonts w:ascii="Helvetica;sans-serif" w:hAnsi="Helvetica;sans-serif"/>
          <w:b/>
          <w:sz w:val="20"/>
        </w:rPr>
        <w:t>Notes to Condensed Consolidated Financial Statements</w:t>
      </w:r>
    </w:p>
    <w:p>
      <w:pPr>
        <w:pStyle w:val="TextBody"/>
        <w:bidi w:val="0"/>
        <w:spacing w:before="0" w:after="240"/>
        <w:ind w:left="0" w:right="0" w:hanging="0"/>
        <w:jc w:val="center"/>
        <w:rPr>
          <w:rFonts w:ascii="Helvetica;sans-serif" w:hAnsi="Helvetica;sans-serif"/>
          <w:b/>
          <w:sz w:val="20"/>
        </w:rPr>
      </w:pPr>
      <w:r>
        <w:rPr>
          <w:rFonts w:ascii="Helvetica;sans-serif" w:hAnsi="Helvetica;sans-serif"/>
          <w:b/>
          <w:sz w:val="20"/>
        </w:rPr>
        <w:t>(unaudited)</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1.       Organization and Summary of Significant Accounting Policies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Organization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Coherus Oncology, Inc. (the “Company” or “Coherus”) is a fully integrated commercial-stage innovative oncology company with an approved next-generation programmed death receptor-1 (“PD-1”) inhibitor, LOQTORZI® (toripalimab-tpzi), and a pipeline that includes two mid-stage clinical candidates targeting liver, prostate, head &amp; neck, colorectal and other cancers. The Company’s strategy is to grow sales of LOQTORZI in Nasopharyngeal Carcinoma (“NPC”) while advancing the development of its two pipeline candidates in combination with LOQTORZI, and through strategic partnerships. The Company has global rights to both clinical-stage candidates and plans to execute ex-U.S. licensing deals as the clinical data supports such transactions.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UDENYCA Sale represented the last and most significant divestiture of the Company’s biosimilar businesses, which comprised the UDENYCA, YUSIMRY and CIMERLI franchises. </w:t>
      </w:r>
      <w:r>
        <w:rPr>
          <w:rFonts w:ascii="Helvetica;sans-serif" w:hAnsi="Helvetica;sans-serif"/>
          <w:sz w:val="20"/>
          <w:shd w:fill="FFFFFF" w:val="clear"/>
        </w:rPr>
        <w:t xml:space="preserve">Accordingly, </w:t>
      </w:r>
      <w:r>
        <w:rPr>
          <w:rFonts w:ascii="Helvetica;sans-serif" w:hAnsi="Helvetica;sans-serif"/>
          <w:sz w:val="20"/>
        </w:rPr>
        <w:t>the associated results of operations have been classified as discontinued operations in the condensed consolidated financial statements for all periods presented. Refer to Note 6. Discontinued Operations for more information.</w:t>
      </w:r>
      <w:r>
        <w:rPr>
          <w:rFonts w:ascii="Helvetica;sans-serif" w:hAnsi="Helvetica;sans-serif"/>
          <w:sz w:val="20"/>
          <w:shd w:fill="FFFFFF" w:val="clear"/>
        </w:rPr>
        <w:t> </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Liquidity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These condensed consolidated financial statements have been prepared assuming that the Company will continue as a going concern. As of June 30, 2026, the Company had cash, cash equivalents and marketable securities of $105.3 million and an accumulated deficit of $1.4 billion. Management believes that its cash, cash equivalents and marketable securities are sufficient to continue operating activities for at least 12 months following the issuance date of these condensed consolidated financial statements. The Company does not expect its existing cash, cash equivalents and marketable securities to be sufficient to fund the completion of its clinical trials through commercialization and will need additional funding to support its continuing operations and pursue its long-term business plan.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Since inception, the Company has generally incurred losses and negative net cash flows from operations. The Company anticipates incurring additional losses until such time, if ever, that it can generate increased sales through sources which include LOQTORZI, the Company’s drug candidates currently in development, tagmokitug and casdozokitug, and strategic partnerships to generate sales. The Company’s operations have historically been financed primarily through the sale of the Company’s common stock, issuance and incurrence of debt, the Revenue Purchase and Sale Agreement, proceeds from biosimilar product divestitures and sales of the Company’s products. Future capital requirements will depend on many factors, including the timing and extent of cash proceeds from LOQTORZI sales and the related distribution and marketing costs, whether the Company receives either of the Earnout Payments from the sale of the UDENYCA Business, and the timing and extent of spending on research and development. The Company will require additional capital for the development efforts of the Company’s drug candidates, but the Company cannot be certain that any of its product candidates will be successful in clinical trials or receive regulatory approval, which is necessary before they can be commercialized. The Company’s operations are dependent on the growth of LOQTORZI sales, which can be adversely impacted by size of the applicable markets and the degree of market acceptance and adoption by prescribing physicians, healthcare providers and the patients to whom the Company’s medicines are prescribed. There can be no assurance that, in the event the Company requires additional financing, such financing will be available at terms acceptable to the Company, if at all. If additional capital is not available, a failure to generate sufficient cash flows from operations could have a material adverse effect on the Company’s ability to achieve its business objectives and remain in compliance with certain covenants contained in the 2029 Term Loan.</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Basis of Consolidation and Presentation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accompanying unaudited condensed consolidated financial statements include the accounts of Coherus and its wholly-owned subsidiaries. All intercompany transactions and balances have been eliminated upon consolidation. The accompanying unaudited condensed consolidated financial statements have been prepared in accordance with United States generally accepted accounting principles (“U.S. GAAP”) for interim financial information and in accordance with the instructions to Form 10-Q and Rule 10-01 of Regulation S-X. Accordingly, they do not include all the information and notes required by U.S. GAAP for complete financial statements. These unaudited condensed consolidated financial statements reflect all adjustments, including normal recurring accruals that the Company believes are necessary to fairly state the financial position and the results of the Company’s operations and cash flows for interim periods in accordance with U.S. GAAP. Interim-period results are not necessarily indicative of results of operations or cash flows for a full year or any subsequent interim period.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accompanying unaudited condensed consolidated financial statements should be read in conjunction with the Company’s audited financial statements and notes thereto included in the Company’s Annual Report on Form 10-K for the year ended December 31, 2025 (the “2025 Form 10-K”) filed with the SEC.</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Beginning in the first quarter of 2026, the Company changed its presentation of comprehensive income (loss) from two separate statements to one combined statement of operations and comprehensive income (loss). The change affects presentation only and has no impact on comprehensive income (loss). Certain amounts in prior year’s condensed consolidated balance sheet and statement of cash flows have been reclassified to conform with the current period presentation, and these changes had no impact to net income (loss) or the net cash used in operating activities.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Use of Estimates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preparation of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are believed to be reasonable under the circumstances. These estimates form the basis for making judgments about the carrying values of assets and liabilities when these values are not readily apparent from other sources. Estimates are assessed each period and updated to reflect current information. Accounting estimates and judgments are inherently uncertain and therefore actual results could differ from these estimates.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Restricted Cash</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As of June 30, 2026 and December 31, 2025, restricted cash consisted of a $0.2 million deposit for a letter of credit provided to secure a lease obligation, which was included in other assets, non-current in the condensed consolidated balance sheets.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Segment Reporting and Geographic Disclosures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The Company has one reportable and operating segment, which is engaged in developing and commercializing human pharmaceutical products. The Company’s chief executive officer, as the chief operating decision maker (“CODM”), manages and allocates resources to the operations of the Company on an entity-wide basis. Managing and allocating resources on an entity-wide basis enables the CODM to assess the overall level of resources available and how to best deploy these resources across functions. The CODM assesses operating performance and makes operating decisions primarily based on net income (loss), revenues, cash on-hand and investments, and cash flows. All expense categories on the condensed consolidated statements of operations are significant, and there are no other significant segment expenses that would require disclosure. Asset information is not regularly provided to the CODM for assessing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performance and allocating resources other than cash, cash equivalents and investments in marketable securities. Primarily, all revenue is generated and all long-lived assets are maintained in the United States.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Royalty and Other Revenue Recognition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Royalty revenue from licensees, which is based on sales to third parties of licensed products, is recorded when the third-party sale occurs and the performance obligation to which some or all of the royalty has been allocated has been satisfied (or partially satisfied) and is classified in other revenue within net revenue. In arrangements where the Company acts as an agent, these transactions are recognized on a net basis in the Company's condensed consolidated statements of operations. </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Recent Accounting Pronouncements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following are recent accounting pronouncements that the Company has not yet adopted:</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In November 2024, the FASB issued ASU 2024-03</w:t>
      </w:r>
      <w:r>
        <w:rPr>
          <w:rFonts w:ascii="Helvetica;sans-serif" w:hAnsi="Helvetica;sans-serif"/>
          <w:i/>
          <w:sz w:val="20"/>
        </w:rPr>
        <w:t>, Income Statement - Reporting Comprehensive Income - Expense Disaggregation (Subtopic 220-40): Disaggregation of Income Statement Expenses, </w:t>
      </w:r>
      <w:r>
        <w:rPr>
          <w:rFonts w:ascii="Helvetica;sans-serif" w:hAnsi="Helvetica;sans-serif"/>
          <w:sz w:val="20"/>
        </w:rPr>
        <w:t xml:space="preserve">which requires public entities to disclose certain disaggregated costs and expenses on an annual and interim basis in the notes to the financial statements. It also requires disclosure of the total amount of selling expenses, and the Company’s definition of selling expenses. The Company is currently evaluating the disclosure requirements of this standard and any changes to processes and controls that may be necessary to support adoption. The Company expects the guidance to impact its financial statement disclosures but does not expect adoption to have an impact on its condensed consolidated financial position, results of operations, or cash flows. This standard is effective for annual reporting periods beginning after December 15, 2026, and interim reporting periods beginning after December 15, 2027. Early adoption is permitted and is effective on either a prospective or retrospective basis. </w:t>
      </w:r>
    </w:p>
    <w:p>
      <w:pPr>
        <w:pStyle w:val="TextBody"/>
        <w:bidi w:val="0"/>
        <w:spacing w:before="0" w:after="240"/>
        <w:ind w:left="0" w:right="0" w:firstLine="490"/>
        <w:jc w:val="both"/>
        <w:rPr/>
      </w:pPr>
      <w:r>
        <w:rPr/>
        <w: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The Company has reviewed other recent accounting pronouncements and concluded they are either not applicable to the business or that no material effect is expected on the condensed consolidated financial statements as a result of future adoption.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Helvetica;sans-serif" w:hAnsi="Helvetica;sans-serif"/>
          <w:b/>
          <w:sz w:val="20"/>
        </w:rPr>
      </w:pPr>
      <w:bookmarkStart w:id="712" w:name="Tc_6J6ycUWgzE--UWoSYdRSZw_6_11"/>
      <w:bookmarkStart w:id="713" w:name="Tc_772nU2wiYUOOKhHqLz892g_6_8"/>
      <w:bookmarkStart w:id="714" w:name="Tc_CuLeFJvch0qmWGk6X57vAw_6_5"/>
      <w:bookmarkStart w:id="715" w:name="Tc_1H8RoqFRi0i1lFykWEAfqQ_6_2"/>
      <w:bookmarkStart w:id="716" w:name="Tc_S40MeK1iWUCCYsmZuv4kSg_6_0"/>
      <w:bookmarkStart w:id="717" w:name="Tc_9_Q6Exq8P02H_cMtDfRKNQ_5_0"/>
      <w:bookmarkStart w:id="718" w:name="Tc_k9pMos-H6EuqC62x7pmTZQ_4_11"/>
      <w:bookmarkStart w:id="719" w:name="Tc_HLcXu43QEku15wmDXtZwaA_4_8"/>
      <w:bookmarkStart w:id="720" w:name="Tc_DLCHj1NKPkq-TEt8sI4Eaw_4_5"/>
      <w:bookmarkStart w:id="721" w:name="Tc_TCJl6j5tE0ewRvUFrjHWqg_4_2"/>
      <w:bookmarkStart w:id="722" w:name="Tc_ePy_U_7e2EymR3FtqDzE7A_4_0"/>
      <w:bookmarkStart w:id="723" w:name="Tc__QGuHRBvbUCff6sieF94NQ_3_11"/>
      <w:bookmarkStart w:id="724" w:name="Tc_Gqv9EXl60UW5r-iNU8bGPg_3_8"/>
      <w:bookmarkStart w:id="725" w:name="Tc_0hRPFPgKWUyf40hzNOSFCw_3_5"/>
      <w:bookmarkStart w:id="726" w:name="Tc_YqmPTtDzukadTiI3kP4zzg_3_2"/>
      <w:bookmarkStart w:id="727" w:name="Tc_ekA7p5FefUCLgj4Ow5Q64w_3_0"/>
      <w:bookmarkStart w:id="728" w:name="Tc_A-S_GfTDoEeG_6N4Ojlm9A_2_8"/>
      <w:bookmarkStart w:id="729" w:name="Tc_QHhcxzNHyUeRaujOTCXiDw_2_2"/>
      <w:bookmarkStart w:id="730" w:name="Tc_f15665hki06g00U_7IAsHA_1_8"/>
      <w:bookmarkStart w:id="731" w:name="Tc_umMUmkx3hkSolQoGofAf7Q_1_2"/>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r>
        <w:rPr>
          <w:rFonts w:ascii="Helvetica;sans-serif" w:hAnsi="Helvetica;sans-serif"/>
          <w:b/>
          <w:sz w:val="20"/>
        </w:rPr>
        <w:t xml:space="preserve">2.        Revenue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Company launched LOQTORZI in January 2024. Net revenue for sales of UDENYCA, YUSIMRY and CIMERLI are classified within discontinued operations (refer to Note 6. Discontinued Operations). All LOQTORZI net product revenue was generated in the United States. The Company’s net revenue from continuing operations was as follows: </w:t>
      </w:r>
    </w:p>
    <w:p>
      <w:pPr>
        <w:pStyle w:val="TextBody"/>
        <w:bidi w:val="0"/>
        <w:spacing w:before="0" w:after="0"/>
        <w:ind w:left="0" w:right="0" w:hanging="0"/>
        <w:jc w:val="left"/>
        <w:rPr/>
      </w:pPr>
      <w:r>
        <w:rPr/>
        <w:t>​</w:t>
      </w:r>
    </w:p>
    <w:tbl>
      <w:tblPr>
        <w:tblW w:w="6308" w:type="dxa"/>
        <w:jc w:val="left"/>
        <w:tblInd w:w="0" w:type="dxa"/>
        <w:tblLayout w:type="fixed"/>
        <w:tblCellMar>
          <w:top w:w="0" w:type="dxa"/>
          <w:left w:w="0" w:type="dxa"/>
          <w:bottom w:w="0" w:type="dxa"/>
          <w:right w:w="0" w:type="dxa"/>
        </w:tblCellMar>
      </w:tblPr>
      <w:tblGrid>
        <w:gridCol w:w="1636"/>
        <w:gridCol w:w="346"/>
        <w:gridCol w:w="211"/>
        <w:gridCol w:w="691"/>
        <w:gridCol w:w="109"/>
        <w:gridCol w:w="211"/>
        <w:gridCol w:w="691"/>
        <w:gridCol w:w="109"/>
        <w:gridCol w:w="211"/>
        <w:gridCol w:w="691"/>
        <w:gridCol w:w="346"/>
        <w:gridCol w:w="211"/>
        <w:gridCol w:w="691"/>
        <w:gridCol w:w="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38860" cy="175260"/>
                      <wp:effectExtent l="0" t="0" r="0" b="0"/>
                      <wp:wrapNone/>
                      <wp:docPr id="65" name="Frame6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38785" cy="175260"/>
                      <wp:effectExtent l="0" t="0" r="0" b="0"/>
                      <wp:wrapNone/>
                      <wp:docPr id="68" name="Frame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74" name="Frame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785" cy="175260"/>
                      <wp:effectExtent l="0" t="0" r="0" b="0"/>
                      <wp:wrapNone/>
                      <wp:docPr id="77" name="Frame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7790" cy="175260"/>
                      <wp:effectExtent l="0" t="0" r="0" b="0"/>
                      <wp:wrapNone/>
                      <wp:docPr id="78" name="Frame7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3"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Six Months Ended </w:t>
            </w:r>
          </w:p>
        </w:tc>
        <w:tc>
          <w:tcPr>
            <w:tcW w:w="154"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154" w:type="dxa"/>
            <w:tcBorders/>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163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LOQTORZI</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13,613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9,959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25,416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17,307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636"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Other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694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295</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1,201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546</w:t>
            </w:r>
          </w:p>
        </w:tc>
        <w:tc>
          <w:tcPr>
            <w:tcW w:w="154" w:type="dxa"/>
            <w:tcBorders/>
            <w:vAlign w:val="center"/>
          </w:tcPr>
          <w:p>
            <w:pPr>
              <w:pStyle w:val="TableContents"/>
              <w:bidi w:val="0"/>
              <w:spacing w:before="0" w:after="1"/>
              <w:ind w:left="0" w:right="0" w:hanging="0"/>
              <w:jc w:val="left"/>
              <w:rPr/>
            </w:pPr>
            <w:r>
              <w:rPr/>
              <w:t>​</w:t>
            </w:r>
          </w:p>
        </w:tc>
      </w:tr>
      <w:tr>
        <w:trPr/>
        <w:tc>
          <w:tcPr>
            <w:tcW w:w="163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Total 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14,307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10,254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26,617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17,853</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49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90"/>
        <w:jc w:val="both"/>
        <w:rPr>
          <w:rFonts w:ascii="Helvetica;sans-serif" w:hAnsi="Helvetica;sans-serif"/>
          <w:sz w:val="20"/>
        </w:rPr>
      </w:pPr>
      <w:bookmarkStart w:id="732" w:name="Tc_DHMDmU6Tq026iAhdBZg_qQ_11_11"/>
      <w:bookmarkStart w:id="733" w:name="Tc_uIMn_oGuhkqjKdkpajxVRw_11_8"/>
      <w:bookmarkStart w:id="734" w:name="Tc_OGJeIaG3vk6dY1j98Au2rw_11_5"/>
      <w:bookmarkStart w:id="735" w:name="Tc_YD6QyUjFZk-wh6tjPIs5HQ_11_2"/>
      <w:bookmarkStart w:id="736" w:name="Tc_ofu9VnBfcUSpdaLKL4jtKg_11_0"/>
      <w:bookmarkStart w:id="737" w:name="Tc_X72yuUon_kWINC6jRam_lg_10_0"/>
      <w:bookmarkStart w:id="738" w:name="Tc_Ydg_vVuNC0CIkrDRqRr0hg_9_0"/>
      <w:bookmarkStart w:id="739" w:name="Tc_o5gTK9IIKEK6Ah7yRr8-CQ_8_0"/>
      <w:bookmarkStart w:id="740" w:name="Tc_JI70vyMUt06jcvaKW1KXuQ_7_0"/>
      <w:bookmarkStart w:id="741" w:name="Tc_r2fpRp3NdUOPj1PTpWlqDg_6_11"/>
      <w:bookmarkStart w:id="742" w:name="Tc_68w-P2SH8Ei6aQvRKw7mAw_6_8"/>
      <w:bookmarkStart w:id="743" w:name="Tc_wwptpi2k_UuO23_FP7FCHg_6_5"/>
      <w:bookmarkStart w:id="744" w:name="Tc_iZZzh__bZUWSam1huKgbfQ_6_2"/>
      <w:bookmarkStart w:id="745" w:name="Tc_eBdYinPUg0qVlgp8fwA13Q_6_0"/>
      <w:bookmarkStart w:id="746" w:name="Tc_i3Xxey3VdEWs89b1wOS0vw_5_11"/>
      <w:bookmarkStart w:id="747" w:name="Tc_RtQyWP1Byked6xpxejyiDw_5_8"/>
      <w:bookmarkStart w:id="748" w:name="Tc_ERLEoOSW_0Gj9pi3OOjrfg_5_5"/>
      <w:bookmarkStart w:id="749" w:name="Tc_vRja6qS5pE2Lqq-q0ceF_A_5_2"/>
      <w:bookmarkStart w:id="750" w:name="Tc_dYm6WjM0V0qtk_CyLwXESw_5_0"/>
      <w:bookmarkStart w:id="751" w:name="Tc_Q-SAl0SlzkaDsYwwDzaUlQ_4_8"/>
      <w:bookmarkStart w:id="752" w:name="Tc_Wp6Ii_LPgk-pkX05PREB7A_4_2"/>
      <w:bookmarkStart w:id="753" w:name="Tc_ilw4VgTkVk6MLmyjiJ-zQA_3_8"/>
      <w:bookmarkStart w:id="754" w:name="Tc_yYdIkofnM0K-mJyj0AQCzA_3_2"/>
      <w:bookmarkStart w:id="755" w:name="Tc_bFgk0VM70EOQnxtx7v0Ldg_2_8"/>
      <w:bookmarkStart w:id="756" w:name="Tc_44fISoIVDUGqswh6yOb5Vg_2_2"/>
      <w:bookmarkStart w:id="757" w:name="Tc_JOHRGRbZtkKw9bnRoMCp6A_1_2"/>
      <w:bookmarkStart w:id="758" w:name="_2de59c64_6d56_44b8_ac83_c56e4e56194e"/>
      <w:bookmarkStart w:id="759" w:name="Tc_I3eaACfy4kqbRQmr_DdJDg_6_12"/>
      <w:bookmarkStart w:id="760" w:name="Tc_k1daZnjUskSvhJtCRBLAcg_6_9"/>
      <w:bookmarkStart w:id="761" w:name="Tc_Xar-csQ1a0yN-zdRK5qE2w_6_6"/>
      <w:bookmarkStart w:id="762" w:name="Tc_NCb94oDsJEyAqORDgsADsg_6_3"/>
      <w:bookmarkStart w:id="763" w:name="Tc_3CgLgX-MT0m9eXXy4ON56Q_6_0"/>
      <w:bookmarkStart w:id="764" w:name="Tc_zEuulXeXqEmFtwkl57RC0A_5_12"/>
      <w:bookmarkStart w:id="765" w:name="Tc__qG0obRIeEy5Y6VXP69byg_5_9"/>
      <w:bookmarkStart w:id="766" w:name="Tc_l8NU42IIvUa-S-uxXXM3kw_5_6"/>
      <w:bookmarkStart w:id="767" w:name="Tc_exazYSN5JU-D8cgIVVsIFg_5_3"/>
      <w:bookmarkStart w:id="768" w:name="Tc_YOlg38sCzUWY01psFM3z7Q_5_0"/>
      <w:bookmarkStart w:id="769" w:name="Tc_weXmgliC50OvpyLh5JIb-Q_4_12"/>
      <w:bookmarkStart w:id="770" w:name="Tc_963Q_7YCDECe3SDdFn2pmg_4_9"/>
      <w:bookmarkStart w:id="771" w:name="Tc_kDqMkFJfmE-tcz2JRGhwng_4_6"/>
      <w:bookmarkStart w:id="772" w:name="Tc_Hy905IvG70OGHIrrsY--ZA_4_3"/>
      <w:bookmarkStart w:id="773" w:name="Tc_kvZn2VrJ8060awLGM5VlwQ_4_0"/>
      <w:bookmarkStart w:id="774" w:name="Tc_HRsCH8b6vUGpMrHiqofCvQ_3_11"/>
      <w:bookmarkStart w:id="775" w:name="Tc_rDABrRHkC0G-yZPJap9p7w_3_8"/>
      <w:bookmarkStart w:id="776" w:name="Tc_k3iIko7SUk2b5o5luN_6Zg_3_5"/>
      <w:bookmarkStart w:id="777" w:name="Tc_iIk_GvNkHU20RzYRJsAasA_3_2"/>
      <w:bookmarkStart w:id="778" w:name="Tc_eiUNxofKYkSGjHpOhs5kRw_2_8"/>
      <w:bookmarkStart w:id="779" w:name="Tc_dPShnzOmHEWzvwH09Q8aKA_2_2"/>
      <w:bookmarkStart w:id="780" w:name="Tc_zP7pqm3i7kK0ohMlbEJykg_1_8"/>
      <w:bookmarkStart w:id="781" w:name="Tc_qgfmX_yqE0KBATTY4wQLvQ_1_2"/>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Pr>
          <w:rFonts w:ascii="Helvetica;sans-serif" w:hAnsi="Helvetica;sans-serif"/>
          <w:sz w:val="20"/>
        </w:rPr>
        <w:t>For continuing operations, gross product revenues by significant customers as a percentage of total gross product revenues were as follows:</w:t>
      </w:r>
    </w:p>
    <w:p>
      <w:pPr>
        <w:pStyle w:val="TextBody"/>
        <w:bidi w:val="0"/>
        <w:spacing w:before="0" w:after="0"/>
        <w:ind w:left="0" w:right="0" w:hanging="0"/>
        <w:jc w:val="left"/>
        <w:rPr/>
      </w:pPr>
      <w:r>
        <w:rPr/>
        <w:t>​</w:t>
      </w:r>
    </w:p>
    <w:tbl>
      <w:tblPr>
        <w:tblW w:w="6274" w:type="dxa"/>
        <w:jc w:val="left"/>
        <w:tblInd w:w="0" w:type="dxa"/>
        <w:tblLayout w:type="fixed"/>
        <w:tblCellMar>
          <w:top w:w="0" w:type="dxa"/>
          <w:left w:w="0" w:type="dxa"/>
          <w:bottom w:w="0" w:type="dxa"/>
          <w:right w:w="0" w:type="dxa"/>
        </w:tblCellMar>
      </w:tblPr>
      <w:tblGrid>
        <w:gridCol w:w="2101"/>
        <w:gridCol w:w="346"/>
        <w:gridCol w:w="520"/>
        <w:gridCol w:w="319"/>
        <w:gridCol w:w="121"/>
        <w:gridCol w:w="520"/>
        <w:gridCol w:w="319"/>
        <w:gridCol w:w="109"/>
        <w:gridCol w:w="558"/>
        <w:gridCol w:w="342"/>
        <w:gridCol w:w="130"/>
        <w:gridCol w:w="558"/>
        <w:gridCol w:w="33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4135" cy="175260"/>
                      <wp:effectExtent l="0" t="0" r="0" b="0"/>
                      <wp:wrapNone/>
                      <wp:docPr id="79" name="Frame79"/>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30200" cy="175260"/>
                      <wp:effectExtent l="0" t="0" r="0" b="0"/>
                      <wp:wrapNone/>
                      <wp:docPr id="81" name="Frame81"/>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2565" cy="175260"/>
                      <wp:effectExtent l="0" t="0" r="0" b="0"/>
                      <wp:wrapNone/>
                      <wp:docPr id="82" name="Frame8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6835" cy="175260"/>
                      <wp:effectExtent l="0" t="0" r="0" b="0"/>
                      <wp:wrapNone/>
                      <wp:docPr id="83" name="Frame83"/>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30200" cy="175260"/>
                      <wp:effectExtent l="0" t="0" r="0" b="0"/>
                      <wp:wrapNone/>
                      <wp:docPr id="84" name="Frame8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2565" cy="175260"/>
                      <wp:effectExtent l="0" t="0" r="0" b="0"/>
                      <wp:wrapNone/>
                      <wp:docPr id="85" name="Frame8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54330" cy="175260"/>
                      <wp:effectExtent l="0" t="0" r="0" b="0"/>
                      <wp:wrapNone/>
                      <wp:docPr id="87" name="Frame87"/>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7170" cy="175260"/>
                      <wp:effectExtent l="0" t="0" r="0" b="0"/>
                      <wp:wrapNone/>
                      <wp:docPr id="88" name="Frame8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2550" cy="175260"/>
                      <wp:effectExtent l="0" t="0" r="0" b="0"/>
                      <wp:wrapNone/>
                      <wp:docPr id="89" name="Frame89"/>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54330" cy="175260"/>
                      <wp:effectExtent l="0" t="0" r="0" b="0"/>
                      <wp:wrapNone/>
                      <wp:docPr id="90" name="Frame90"/>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0185" cy="175260"/>
                      <wp:effectExtent l="0" t="0" r="0" b="0"/>
                      <wp:wrapNone/>
                      <wp:docPr id="91" name="Frame9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99"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588" w:type="dxa"/>
            <w:gridSpan w:val="4"/>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c>
          <w:tcPr>
            <w:tcW w:w="331"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8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1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3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19" w:type="dxa"/>
            <w:tcBorders/>
            <w:vAlign w:val="center"/>
          </w:tcPr>
          <w:p>
            <w:pPr>
              <w:pStyle w:val="TableContents"/>
              <w:bidi w:val="0"/>
              <w:spacing w:before="0" w:after="0"/>
              <w:ind w:left="0" w:right="0" w:hanging="0"/>
              <w:jc w:val="left"/>
              <w:rPr/>
            </w:pPr>
            <w:r>
              <w:rPr/>
              <w:t> </w:t>
            </w:r>
          </w:p>
        </w:tc>
        <w:tc>
          <w:tcPr>
            <w:tcW w:w="121" w:type="dxa"/>
            <w:tcBorders/>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2" w:type="dxa"/>
            <w:tcBorders/>
            <w:vAlign w:val="center"/>
          </w:tcPr>
          <w:p>
            <w:pPr>
              <w:pStyle w:val="TableContents"/>
              <w:bidi w:val="0"/>
              <w:spacing w:before="0" w:after="0"/>
              <w:ind w:left="0" w:right="0" w:hanging="0"/>
              <w:jc w:val="left"/>
              <w:rPr/>
            </w:pPr>
            <w:r>
              <w:rPr/>
              <w:t> </w:t>
            </w:r>
          </w:p>
        </w:tc>
        <w:tc>
          <w:tcPr>
            <w:tcW w:w="130" w:type="dxa"/>
            <w:tcBorders/>
            <w:vAlign w:val="center"/>
          </w:tcPr>
          <w:p>
            <w:pPr>
              <w:pStyle w:val="TableContents"/>
              <w:bidi w:val="0"/>
              <w:spacing w:before="0" w:after="0"/>
              <w:ind w:left="0" w:right="0" w:hanging="0"/>
              <w:jc w:val="center"/>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3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McKesson Corporation</w:t>
            </w:r>
          </w:p>
        </w:tc>
        <w:tc>
          <w:tcPr>
            <w:tcW w:w="346"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w:t>
            </w:r>
          </w:p>
        </w:tc>
        <w:tc>
          <w:tcPr>
            <w:tcW w:w="31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2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w:t>
            </w:r>
          </w:p>
        </w:tc>
        <w:tc>
          <w:tcPr>
            <w:tcW w:w="31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40</w:t>
            </w:r>
          </w:p>
        </w:tc>
        <w:tc>
          <w:tcPr>
            <w:tcW w:w="342"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30"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45</w:t>
            </w:r>
          </w:p>
        </w:tc>
        <w:tc>
          <w:tcPr>
            <w:tcW w:w="33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r>
      <w:tr>
        <w:trPr/>
        <w:tc>
          <w:tcPr>
            <w:tcW w:w="210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xml:space="preserve">Cencora, Inc. </w:t>
            </w:r>
          </w:p>
        </w:tc>
        <w:tc>
          <w:tcPr>
            <w:tcW w:w="3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40</w:t>
            </w:r>
          </w:p>
        </w:tc>
        <w:tc>
          <w:tcPr>
            <w:tcW w:w="31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2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39</w:t>
            </w:r>
          </w:p>
        </w:tc>
        <w:tc>
          <w:tcPr>
            <w:tcW w:w="31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41</w:t>
            </w:r>
          </w:p>
        </w:tc>
        <w:tc>
          <w:tcPr>
            <w:tcW w:w="34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30"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w:t>
            </w:r>
          </w:p>
        </w:tc>
        <w:tc>
          <w:tcPr>
            <w:tcW w:w="33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r>
      <w:tr>
        <w:trPr/>
        <w:tc>
          <w:tcPr>
            <w:tcW w:w="210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Cardinal Health, Inc.</w:t>
            </w:r>
          </w:p>
        </w:tc>
        <w:tc>
          <w:tcPr>
            <w:tcW w:w="346"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w:t>
            </w:r>
          </w:p>
        </w:tc>
        <w:tc>
          <w:tcPr>
            <w:tcW w:w="31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2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w:t>
            </w:r>
          </w:p>
        </w:tc>
        <w:tc>
          <w:tcPr>
            <w:tcW w:w="31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w:t>
            </w:r>
          </w:p>
        </w:tc>
        <w:tc>
          <w:tcPr>
            <w:tcW w:w="342"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30"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w:t>
            </w:r>
          </w:p>
        </w:tc>
        <w:tc>
          <w:tcPr>
            <w:tcW w:w="33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Product Sales Discounts and Allowances</w:t>
      </w:r>
    </w:p>
    <w:p>
      <w:pPr>
        <w:pStyle w:val="TextBody"/>
        <w:bidi w:val="0"/>
        <w:spacing w:before="0" w:after="240"/>
        <w:ind w:left="0" w:right="0" w:firstLine="490"/>
        <w:jc w:val="both"/>
        <w:rPr>
          <w:rFonts w:ascii="Helvetica;sans-serif" w:hAnsi="Helvetica;sans-serif"/>
          <w:sz w:val="20"/>
        </w:rPr>
      </w:pPr>
      <w:r>
        <w:rPr>
          <w:rFonts w:ascii="Helvetica;sans-serif" w:hAnsi="Helvetica;sans-serif"/>
          <w:color w:val="212529"/>
          <w:sz w:val="20"/>
          <w:shd w:fill="FFFFFF" w:val="clear"/>
        </w:rPr>
        <w:t xml:space="preserve">The total provision related to sales made in the prior period was $(13.0) million and $(8.7) million for the three months ended June 30, 2026 and 2025, respectively. </w:t>
      </w:r>
      <w:r>
        <w:rPr>
          <w:rFonts w:ascii="Helvetica;sans-serif" w:hAnsi="Helvetica;sans-serif"/>
          <w:sz w:val="20"/>
        </w:rPr>
        <w:t>Chargebacks and discounts for prompt payment are recorded as a reduction in trade receivables, and the remaining reserve balances are classified as current liabilities on the condensed consolidated balance sheets.</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 xml:space="preserve">In connection with the sales of the CIMERLI ophthalmology franchise and the YUSIMRY franchise in 2024 and the UDENYCA franchise in 2025, the Company retained and continued to be responsible for sales discounts and allowance liabilities incurred prior to March 1, 2024 for CIMERLI, June 26, 2024 for YUSIMRY and April 11, 2025 for UDENYCA.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 xml:space="preserve">Sales discounts and allowances incurred on behalf of the respective counterparties following the close of the Sale Transactions in accordance with the Company’s Transition Services Agreement (the “CIMERLI TSA”) with Sandoz Inc. (“Sandoz”) for CIMERLI, the Company’s Transition Services Agreement (the “YUSIMRY TSA”) with Hong Kong King-Friend Industrial Company Ltd. (“HKF”) for YUSIMRY and the Company’s Transition Services Agreement with </w:t>
      </w:r>
      <w:r>
        <w:rPr>
          <w:rFonts w:ascii="Helvetica;sans-serif" w:hAnsi="Helvetica;sans-serif"/>
          <w:sz w:val="20"/>
        </w:rPr>
        <w:t xml:space="preserve">Intas Pharmaceuticals Ltd. (“Intas”) </w:t>
      </w:r>
      <w:r>
        <w:rPr>
          <w:rFonts w:ascii="Helvetica;sans-serif" w:hAnsi="Helvetica;sans-serif"/>
          <w:sz w:val="20"/>
          <w:shd w:fill="FFFFFF" w:val="clear"/>
        </w:rPr>
        <w:t xml:space="preserve">(the “UDENYCA TSA” and, together with the CIMERLI TSA and the YUSIMRY TSA, collectively the “TSA” or the “TSAs”) for UDENYCA are reflected within </w:t>
      </w:r>
      <w:r>
        <w:rPr>
          <w:rFonts w:ascii="Helvetica;sans-serif" w:hAnsi="Helvetica;sans-serif"/>
          <w:sz w:val="20"/>
        </w:rPr>
        <w:t xml:space="preserve">TSA receivables, net and </w:t>
      </w:r>
      <w:r>
        <w:rPr>
          <w:rFonts w:ascii="Helvetica;sans-serif" w:hAnsi="Helvetica;sans-serif"/>
          <w:sz w:val="20"/>
          <w:shd w:fill="FFFFFF" w:val="clear"/>
        </w:rPr>
        <w:t xml:space="preserve">TSA payables and accrued liabilities </w:t>
      </w:r>
      <w:r>
        <w:rPr>
          <w:rFonts w:ascii="Helvetica;sans-serif" w:hAnsi="Helvetica;sans-serif"/>
          <w:sz w:val="20"/>
        </w:rPr>
        <w:t>in the condensed consolidated balance sheets and are excluded from the below table (see Note 6. Discontinued Operations).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The activities and ending reserve balances for each significant category of discounts and allowances that constitute variable consideration were as follows: </w:t>
      </w:r>
    </w:p>
    <w:p>
      <w:pPr>
        <w:pStyle w:val="TextBody"/>
        <w:bidi w:val="0"/>
        <w:spacing w:before="0" w:after="0"/>
        <w:ind w:left="0" w:right="0" w:hanging="0"/>
        <w:jc w:val="left"/>
        <w:rPr/>
      </w:pPr>
      <w:r>
        <w:rPr/>
        <w:t>​</w:t>
      </w:r>
    </w:p>
    <w:tbl>
      <w:tblPr>
        <w:tblW w:w="9341" w:type="dxa"/>
        <w:jc w:val="left"/>
        <w:tblInd w:w="0" w:type="dxa"/>
        <w:tblLayout w:type="fixed"/>
        <w:tblCellMar>
          <w:top w:w="0" w:type="dxa"/>
          <w:left w:w="0" w:type="dxa"/>
          <w:bottom w:w="0" w:type="dxa"/>
          <w:right w:w="0" w:type="dxa"/>
        </w:tblCellMar>
      </w:tblPr>
      <w:tblGrid>
        <w:gridCol w:w="3526"/>
        <w:gridCol w:w="346"/>
        <w:gridCol w:w="309"/>
        <w:gridCol w:w="952"/>
        <w:gridCol w:w="346"/>
        <w:gridCol w:w="211"/>
        <w:gridCol w:w="811"/>
        <w:gridCol w:w="346"/>
        <w:gridCol w:w="252"/>
        <w:gridCol w:w="829"/>
        <w:gridCol w:w="346"/>
        <w:gridCol w:w="211"/>
        <w:gridCol w:w="85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39010" cy="175260"/>
                      <wp:effectExtent l="0" t="0" r="0" b="0"/>
                      <wp:wrapNone/>
                      <wp:docPr id="92" name="Frame9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6215" cy="175260"/>
                      <wp:effectExtent l="0" t="0" r="0" b="0"/>
                      <wp:wrapNone/>
                      <wp:docPr id="94" name="Frame94"/>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04520" cy="175260"/>
                      <wp:effectExtent l="0" t="0" r="0" b="0"/>
                      <wp:wrapNone/>
                      <wp:docPr id="95" name="Frame95"/>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14985" cy="175260"/>
                      <wp:effectExtent l="0" t="0" r="0" b="0"/>
                      <wp:wrapNone/>
                      <wp:docPr id="98" name="Frame9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60020" cy="175260"/>
                      <wp:effectExtent l="0" t="0" r="0" b="0"/>
                      <wp:wrapNone/>
                      <wp:docPr id="100" name="Frame10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26415" cy="175260"/>
                      <wp:effectExtent l="0" t="0" r="0" b="0"/>
                      <wp:wrapNone/>
                      <wp:docPr id="101" name="Frame101"/>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43560" cy="175260"/>
                      <wp:effectExtent l="0" t="0" r="0" b="0"/>
                      <wp:wrapNone/>
                      <wp:docPr id="104" name="Frame10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6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 June 30, 2026</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Chargebacks</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Other Fees,</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and Discounts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Co-pay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for Prompt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Assistance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352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Payment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Rebates</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and Returns</w:t>
            </w:r>
          </w:p>
        </w:tc>
        <w:tc>
          <w:tcPr>
            <w:tcW w:w="346" w:type="dxa"/>
            <w:tcBorders/>
            <w:vAlign w:val="center"/>
          </w:tcPr>
          <w:p>
            <w:pPr>
              <w:pStyle w:val="TableContents"/>
              <w:bidi w:val="0"/>
              <w:spacing w:before="0" w:after="1"/>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Total</w:t>
            </w:r>
          </w:p>
        </w:tc>
      </w:tr>
      <w:tr>
        <w:trPr/>
        <w:tc>
          <w:tcPr>
            <w:tcW w:w="352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Balances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5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2,446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1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20,323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29"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10,074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5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32,843</w:t>
            </w:r>
          </w:p>
        </w:tc>
      </w:tr>
      <w:tr>
        <w:trPr/>
        <w:tc>
          <w:tcPr>
            <w:tcW w:w="3526"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Provision related to sales made in:</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352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Current year</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5,933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1,219</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8,755</w:t>
            </w:r>
          </w:p>
        </w:tc>
      </w:tr>
      <w:tr>
        <w:trPr/>
        <w:tc>
          <w:tcPr>
            <w:tcW w:w="3526"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Prior years - increase (decrease)</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(10,923)</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(774)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(12,111)</w:t>
            </w:r>
          </w:p>
        </w:tc>
      </w:tr>
      <w:tr>
        <w:trPr/>
        <w:tc>
          <w:tcPr>
            <w:tcW w:w="352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Payments and customer credits issued</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(5,162)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(4,686)</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(1,942)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(11,790)</w:t>
            </w:r>
          </w:p>
        </w:tc>
      </w:tr>
      <w:tr>
        <w:trPr/>
        <w:tc>
          <w:tcPr>
            <w:tcW w:w="3526"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Balances at June 30, 2026</w:t>
            </w:r>
          </w:p>
        </w:tc>
        <w:tc>
          <w:tcPr>
            <w:tcW w:w="346" w:type="dxa"/>
            <w:tcBorders/>
            <w:vAlign w:val="center"/>
          </w:tcPr>
          <w:p>
            <w:pPr>
              <w:pStyle w:val="TableContents"/>
              <w:bidi w:val="0"/>
              <w:spacing w:before="0" w:after="1"/>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52"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2,803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5,933</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8,961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17,697</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82" w:name="Tc_U9DT0cnuXESqRz9nTwO3Yg_11_11"/>
      <w:bookmarkStart w:id="783" w:name="Tc_1gW7S_SszEa65cpchnFd6Q_11_8"/>
      <w:bookmarkStart w:id="784" w:name="Tc_J5a_0ORS6ke309P2bWmluw_11_5"/>
      <w:bookmarkStart w:id="785" w:name="Tc_VaTCMYJ1E0moEpUzVWRixw_11_2"/>
      <w:bookmarkStart w:id="786" w:name="Tc_I3-iZHGWykyW3b5T_2ZmeQ_11_0"/>
      <w:bookmarkStart w:id="787" w:name="Tc_84zlEW8O6ka91aH7OGhZfA_10_0"/>
      <w:bookmarkStart w:id="788" w:name="Tc_HpGxJMLnkkO0yISwJ3Zq0g_9_0"/>
      <w:bookmarkStart w:id="789" w:name="Tc_3ox1BS99g06tB17mgb7i7A_8_0"/>
      <w:bookmarkStart w:id="790" w:name="Tc_9PMBdIU5mkKFnAYj3Hr-5w_7_0"/>
      <w:bookmarkStart w:id="791" w:name="Tc_dB1rY0aku0SFoqnn33pyWQ_6_11"/>
      <w:bookmarkStart w:id="792" w:name="Tc_bta1ypU3GEqsQB4qmv1YOQ_6_8"/>
      <w:bookmarkStart w:id="793" w:name="Tc_UxpAxl23k0WQHTUrxCxsUA_6_5"/>
      <w:bookmarkStart w:id="794" w:name="Tc_2tIYTQSMUEOEYZTsLItFSw_6_2"/>
      <w:bookmarkStart w:id="795" w:name="Tc_w5P2yoCbCEqsDIF2M_hS1w_6_0"/>
      <w:bookmarkStart w:id="796" w:name="Tc_M1EoIqHvZEGRdWGgUBMXnw_5_11"/>
      <w:bookmarkStart w:id="797" w:name="Tc_uyOb9N8JHEesMxibjSHHgg_5_8"/>
      <w:bookmarkStart w:id="798" w:name="Tc_-NtouP6dykSk9TjXAgjJVg_5_5"/>
      <w:bookmarkStart w:id="799" w:name="Tc_OO82UodfJU2rh7xWqwjq5w_5_2"/>
      <w:bookmarkStart w:id="800" w:name="Tc_5D2ss6Y7v0CZITxS8c3RoA_5_0"/>
      <w:bookmarkStart w:id="801" w:name="Tc_WtDJ5fiNS0-B6JCvkvNv-A_4_8"/>
      <w:bookmarkStart w:id="802" w:name="Tc_wMdJbG-TbkCpoFWTs-IubQ_4_2"/>
      <w:bookmarkStart w:id="803" w:name="Tc_jOHkDAwLcE68vhhSuJbsXA_3_8"/>
      <w:bookmarkStart w:id="804" w:name="Tc_S0VG48i_vk66I0clFa6fpQ_3_2"/>
      <w:bookmarkStart w:id="805" w:name="Tc_0NnZxKWDnkKFGUdRqvwBuA_2_8"/>
      <w:bookmarkStart w:id="806" w:name="Tc_WQ6rmVaUOEuN_dBM8ujXog_2_2"/>
      <w:bookmarkStart w:id="807" w:name="Tc_W_dClzGMSkWeWjPhCOWlpA_1_2"/>
      <w:bookmarkStart w:id="808" w:name="_d8abf526_58d4_4c59_8e73_5e5387579062"/>
      <w:bookmarkStart w:id="809" w:name="Tc_U9DT0cnuXESqRz9nTwO3Yg_11_11"/>
      <w:bookmarkStart w:id="810" w:name="Tc_1gW7S_SszEa65cpchnFd6Q_11_8"/>
      <w:bookmarkStart w:id="811" w:name="Tc_J5a_0ORS6ke309P2bWmluw_11_5"/>
      <w:bookmarkStart w:id="812" w:name="Tc_VaTCMYJ1E0moEpUzVWRixw_11_2"/>
      <w:bookmarkStart w:id="813" w:name="Tc_I3-iZHGWykyW3b5T_2ZmeQ_11_0"/>
      <w:bookmarkStart w:id="814" w:name="Tc_84zlEW8O6ka91aH7OGhZfA_10_0"/>
      <w:bookmarkStart w:id="815" w:name="Tc_HpGxJMLnkkO0yISwJ3Zq0g_9_0"/>
      <w:bookmarkStart w:id="816" w:name="Tc_3ox1BS99g06tB17mgb7i7A_8_0"/>
      <w:bookmarkStart w:id="817" w:name="Tc_9PMBdIU5mkKFnAYj3Hr-5w_7_0"/>
      <w:bookmarkStart w:id="818" w:name="Tc_dB1rY0aku0SFoqnn33pyWQ_6_11"/>
      <w:bookmarkStart w:id="819" w:name="Tc_bta1ypU3GEqsQB4qmv1YOQ_6_8"/>
      <w:bookmarkStart w:id="820" w:name="Tc_UxpAxl23k0WQHTUrxCxsUA_6_5"/>
      <w:bookmarkStart w:id="821" w:name="Tc_2tIYTQSMUEOEYZTsLItFSw_6_2"/>
      <w:bookmarkStart w:id="822" w:name="Tc_w5P2yoCbCEqsDIF2M_hS1w_6_0"/>
      <w:bookmarkStart w:id="823" w:name="Tc_M1EoIqHvZEGRdWGgUBMXnw_5_11"/>
      <w:bookmarkStart w:id="824" w:name="Tc_uyOb9N8JHEesMxibjSHHgg_5_8"/>
      <w:bookmarkStart w:id="825" w:name="Tc_-NtouP6dykSk9TjXAgjJVg_5_5"/>
      <w:bookmarkStart w:id="826" w:name="Tc_OO82UodfJU2rh7xWqwjq5w_5_2"/>
      <w:bookmarkStart w:id="827" w:name="Tc_5D2ss6Y7v0CZITxS8c3RoA_5_0"/>
      <w:bookmarkStart w:id="828" w:name="Tc_WtDJ5fiNS0-B6JCvkvNv-A_4_8"/>
      <w:bookmarkStart w:id="829" w:name="Tc_wMdJbG-TbkCpoFWTs-IubQ_4_2"/>
      <w:bookmarkStart w:id="830" w:name="Tc_jOHkDAwLcE68vhhSuJbsXA_3_8"/>
      <w:bookmarkStart w:id="831" w:name="Tc_S0VG48i_vk66I0clFa6fpQ_3_2"/>
      <w:bookmarkStart w:id="832" w:name="Tc_0NnZxKWDnkKFGUdRqvwBuA_2_8"/>
      <w:bookmarkStart w:id="833" w:name="Tc_WQ6rmVaUOEuN_dBM8ujXog_2_2"/>
      <w:bookmarkStart w:id="834" w:name="Tc_W_dClzGMSkWeWjPhCOWlpA_1_2"/>
      <w:bookmarkStart w:id="835" w:name="_d8abf526_58d4_4c59_8e73_5e5387579062"/>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tbl>
      <w:tblPr>
        <w:tblW w:w="9446" w:type="dxa"/>
        <w:jc w:val="left"/>
        <w:tblInd w:w="0" w:type="dxa"/>
        <w:tblLayout w:type="fixed"/>
        <w:tblCellMar>
          <w:top w:w="0" w:type="dxa"/>
          <w:left w:w="0" w:type="dxa"/>
          <w:bottom w:w="0" w:type="dxa"/>
          <w:right w:w="0" w:type="dxa"/>
        </w:tblCellMar>
      </w:tblPr>
      <w:tblGrid>
        <w:gridCol w:w="3526"/>
        <w:gridCol w:w="346"/>
        <w:gridCol w:w="248"/>
        <w:gridCol w:w="1013"/>
        <w:gridCol w:w="346"/>
        <w:gridCol w:w="211"/>
        <w:gridCol w:w="811"/>
        <w:gridCol w:w="346"/>
        <w:gridCol w:w="233"/>
        <w:gridCol w:w="848"/>
        <w:gridCol w:w="346"/>
        <w:gridCol w:w="211"/>
        <w:gridCol w:w="96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39010" cy="175260"/>
                      <wp:effectExtent l="0" t="0" r="0" b="0"/>
                      <wp:wrapNone/>
                      <wp:docPr id="105" name="Frame105"/>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7480" cy="175260"/>
                      <wp:effectExtent l="0" t="0" r="0" b="0"/>
                      <wp:wrapNone/>
                      <wp:docPr id="107" name="Frame10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3255" cy="175260"/>
                      <wp:effectExtent l="0" t="0" r="0" b="0"/>
                      <wp:wrapNone/>
                      <wp:docPr id="108" name="Frame108"/>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14985" cy="175260"/>
                      <wp:effectExtent l="0" t="0" r="0" b="0"/>
                      <wp:wrapNone/>
                      <wp:docPr id="111" name="Frame11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7955" cy="175260"/>
                      <wp:effectExtent l="0" t="0" r="0" b="0"/>
                      <wp:wrapNone/>
                      <wp:docPr id="113" name="Frame11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38480" cy="175260"/>
                      <wp:effectExtent l="0" t="0" r="0" b="0"/>
                      <wp:wrapNone/>
                      <wp:docPr id="114" name="Frame114"/>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0235" cy="175260"/>
                      <wp:effectExtent l="0" t="0" r="0" b="0"/>
                      <wp:wrapNone/>
                      <wp:docPr id="117" name="Frame11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7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 2025</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Chargebacks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Other Fees,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and Discounts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Co-pay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for Prompt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Assistance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Payment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Rebates</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and Returns</w:t>
            </w:r>
          </w:p>
        </w:tc>
        <w:tc>
          <w:tcPr>
            <w:tcW w:w="346"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Total</w:t>
            </w:r>
          </w:p>
        </w:tc>
      </w:tr>
      <w:tr>
        <w:trPr/>
        <w:tc>
          <w:tcPr>
            <w:tcW w:w="352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Balances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13"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110,778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1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123,738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41,129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275,645</w:t>
            </w:r>
          </w:p>
        </w:tc>
      </w:tr>
      <w:tr>
        <w:trPr/>
        <w:tc>
          <w:tcPr>
            <w:tcW w:w="352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Provision related to sales made in:</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Current year</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193,653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45,168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269,872</w:t>
            </w:r>
          </w:p>
        </w:tc>
      </w:tr>
      <w:tr>
        <w:trPr/>
        <w:tc>
          <w:tcPr>
            <w:tcW w:w="352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Prior years - increase (decrease)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(474)</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(5,152)</w:t>
            </w:r>
          </w:p>
        </w:tc>
      </w:tr>
      <w:tr>
        <w:trPr/>
        <w:tc>
          <w:tcPr>
            <w:tcW w:w="352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Payments and customer credits issued</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(295,912)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(91,372)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(51,187)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(438,471)</w:t>
            </w:r>
          </w:p>
        </w:tc>
      </w:tr>
      <w:tr>
        <w:trPr/>
        <w:tc>
          <w:tcPr>
            <w:tcW w:w="352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Balances at June 30, 2025</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77,060</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8"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19,754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101,894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3.       Fair Value Measurements</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The fair values of financial instruments are classified into one of the following categories based upon the lowest level of input that is significant to the fair value measurement:</w:t>
      </w:r>
    </w:p>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Level 1 —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Level 3 — Unobservable inputs that are supported by little or no market activity and that are significant to the fair value of the assets or liabilities.</w:t>
            </w:r>
          </w:p>
        </w:tc>
      </w:tr>
    </w:tbl>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The fair values of cash equivalents approximate their carrying values due to the short-term nature of such financial instruments.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Revenue Participation Right Purchase and Sale Agreement (the “Revenue Purchase and Sale Agreement”), dated as of May 8, 2024 among the Company and Coduet Royalty Holdings, LLC, as administrative agent and each buyer named in an annex thereto (collectively, the “Purchaser Group”) (see Note 8. Financial Liabilities) contained an embedded derivative that met the criteria to be bifurcated and accounted for separately from the Revenue Purchase and Sale Agreement (the "Royalty Fee Derivative Liability"). To estimate the fair value, the Company uses Monte Carlo simulation models that require the use of Level 3 unobservable inputs, primarily the amount and timing of our expected future revenue, the estimated volatility of these revenues, the discount rate corresponding to the risk of revenue, and the probability of certain events. </w:t>
      </w:r>
      <w:r>
        <w:rPr>
          <w:rFonts w:ascii="Helvetica;sans-serif" w:hAnsi="Helvetica;sans-serif"/>
          <w:sz w:val="20"/>
          <w:shd w:fill="FFFFFF" w:val="clear"/>
        </w:rPr>
        <w:t>During the three and six months ended June 30, 2026, the fair value of the Royalty Fee Derivative Liability did not materially change. During the three and six months ended June 30, 2025, the Company recognized no adjustment and a $</w:t>
      </w:r>
      <w:r>
        <w:rPr>
          <w:rFonts w:ascii="Helvetica;sans-serif" w:hAnsi="Helvetica;sans-serif"/>
          <w:sz w:val="20"/>
        </w:rPr>
        <w:t>12.6 m</w:t>
      </w:r>
      <w:r>
        <w:rPr>
          <w:rFonts w:ascii="Helvetica;sans-serif" w:hAnsi="Helvetica;sans-serif"/>
          <w:sz w:val="20"/>
          <w:shd w:fill="FFFFFF" w:val="clear"/>
        </w:rPr>
        <w:t>illion charge, respectively, for the change in estimated fair value. Of this amount, $</w:t>
      </w:r>
      <w:r>
        <w:rPr>
          <w:rFonts w:ascii="Helvetica;sans-serif" w:hAnsi="Helvetica;sans-serif"/>
          <w:sz w:val="20"/>
        </w:rPr>
        <w:t>11.8</w:t>
      </w:r>
      <w:r>
        <w:rPr>
          <w:rFonts w:ascii="Helvetica;sans-serif" w:hAnsi="Helvetica;sans-serif"/>
          <w:sz w:val="20"/>
          <w:shd w:fill="FFFFFF" w:val="clear"/>
        </w:rPr>
        <w:t> million related to UDENYCA and was classified within discontinued operations, and $</w:t>
      </w:r>
      <w:r>
        <w:rPr>
          <w:rFonts w:ascii="Helvetica;sans-serif" w:hAnsi="Helvetica;sans-serif"/>
          <w:sz w:val="20"/>
        </w:rPr>
        <w:t>0.8</w:t>
      </w:r>
      <w:r>
        <w:rPr>
          <w:rFonts w:ascii="Helvetica;sans-serif" w:hAnsi="Helvetica;sans-serif"/>
          <w:sz w:val="20"/>
          <w:shd w:fill="FFFFFF" w:val="clear"/>
        </w:rPr>
        <w:t xml:space="preserve"> million related to LOQTORZI and was recorded in other income (expense), net on the condensed consolidated statements of operations. In connection with the UDENYCA Sale, the UDENYCA portion of the Royalty Fee Derivative Liability was derecognized.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490"/>
        <w:jc w:val="both"/>
        <w:rPr>
          <w:rFonts w:ascii="Helvetica;sans-serif" w:hAnsi="Helvetica;sans-serif"/>
          <w:sz w:val="20"/>
        </w:rPr>
      </w:pPr>
      <w:bookmarkStart w:id="836" w:name="Tc_b3CQL1NLl0-1XsSDGD9syw_7_11"/>
      <w:bookmarkStart w:id="837" w:name="Tc_8CgTriWpaUufl55J5Y_k4w_7_9"/>
      <w:bookmarkStart w:id="838" w:name="Tc_ljB3kOWV3kSV-_QWf6x7BQ_7_8"/>
      <w:bookmarkStart w:id="839" w:name="Tc_gxRSFSqcG0qPtHNHkPO1Eg_7_5"/>
      <w:bookmarkStart w:id="840" w:name="Tc_cCj48n4NDUC2EVcoqWLx2A_7_2"/>
      <w:bookmarkStart w:id="841" w:name="Tc_H5gj7jujZkKLMSRS6aTQQw_7_0"/>
      <w:bookmarkStart w:id="842" w:name="Tc_FegMy54RU0WJ8vtisvzgWQ_6_9"/>
      <w:bookmarkStart w:id="843" w:name="Tc_TrPVfZEOzkG0kgOQXTgMdw_6_0"/>
      <w:bookmarkStart w:id="844" w:name="Tc_BPzYD73te0GItBvH0P-MJA_5_9"/>
      <w:bookmarkStart w:id="845" w:name="Tc_YuH0pO1hskuD_oxOQjvOMQ_5_0"/>
      <w:bookmarkStart w:id="846" w:name="Tc_Dhmg_Cucy02Am7-sYBR1Ng_4_9"/>
      <w:bookmarkStart w:id="847" w:name="Tc_ZT5M-0cpdUS2trILi0DMyA_4_0"/>
      <w:bookmarkStart w:id="848" w:name="Tc_gk_V5ieRIku6G2t2N_7uyQ_3_11"/>
      <w:bookmarkStart w:id="849" w:name="Tc_2Liv_Scc1EO7M_SZBLqfmA_3_9"/>
      <w:bookmarkStart w:id="850" w:name="Tc_phlzVuqwi0-SONGnzrJnog_3_8"/>
      <w:bookmarkStart w:id="851" w:name="Tc_AzhDi3aq8U-oy45BqlM1YQ_3_6"/>
      <w:bookmarkStart w:id="852" w:name="Tc_2-yXYju5ukSqLY9KjZsqmw_3_5"/>
      <w:bookmarkStart w:id="853" w:name="Tc_B6irDNj83E6XPmlVVZie3g_3_2"/>
      <w:bookmarkStart w:id="854" w:name="Tc_bA-8Vb0UOkWWwPawHhm1uw_3_0"/>
      <w:bookmarkStart w:id="855" w:name="Tc_88XDXGDgO0C3NIepgvsAgg_2_11"/>
      <w:bookmarkStart w:id="856" w:name="Tc_wY45AWwfI0eZp-0e5OSaLw_2_8"/>
      <w:bookmarkStart w:id="857" w:name="Tc_uvkxR4ocFUucUnWR8mmi9A_2_5"/>
      <w:bookmarkStart w:id="858" w:name="Tc_W4OTk1rrl065PFHft2Id8g_2_2"/>
      <w:bookmarkStart w:id="859" w:name="Tc_WOCH4dTk9Ea1TGlcAr-5AA_2_0"/>
      <w:bookmarkStart w:id="860" w:name="Tc_uNfNKhdqpUujqYRO4TrjMg_1_2"/>
      <w:bookmarkStart w:id="861" w:name="_86d6d2a0_1ae4_40e4_a46b_9dfe115a4138"/>
      <w:bookmarkStart w:id="862" w:name="Tc_vTGF9U9jB0WVH4WtSa-UFg_5_11"/>
      <w:bookmarkStart w:id="863" w:name="Tc__zcQq-J6L0q-Oau3S6rf5w_5_8"/>
      <w:bookmarkStart w:id="864" w:name="Tc_nQyJJycONUW7O1TSnywE-g_5_5"/>
      <w:bookmarkStart w:id="865" w:name="Tc_8GAFtCsw20ekhwZko5JZGg_5_2"/>
      <w:bookmarkStart w:id="866" w:name="Tc_rO1g-lmrnU-HaFsLFxOGRA_5_0"/>
      <w:bookmarkStart w:id="867" w:name="Tc_3R8SqQ4mQ02nqW1vjgKYrw_4_0"/>
      <w:bookmarkStart w:id="868" w:name="Tc_pTOo9ptkIk2B-4TegQT0hg_3_11"/>
      <w:bookmarkStart w:id="869" w:name="Tc_Juid5zumbEeWZ-eWcLNjLw_3_9"/>
      <w:bookmarkStart w:id="870" w:name="Tc_hUVoAvrrG0yy3P0HfEmfsQ_3_8"/>
      <w:bookmarkStart w:id="871" w:name="Tc_zSJX0Rv0TUWqVIN6FgbOww_3_6"/>
      <w:bookmarkStart w:id="872" w:name="Tc_u9xZcDSNKESKtyipGKBxwQ_3_5"/>
      <w:bookmarkStart w:id="873" w:name="Tc_mUhZSZpN60a54fW_09u0BA_3_2"/>
      <w:bookmarkStart w:id="874" w:name="Tc_y4Lepdxp10qCcGvNyXcgkQ_3_0"/>
      <w:bookmarkStart w:id="875" w:name="Tc__AkHZuWYIEGN0n_hvynB4w_2_11"/>
      <w:bookmarkStart w:id="876" w:name="Tc_AEw_662lfUa9Rfr4XnMuow_2_8"/>
      <w:bookmarkStart w:id="877" w:name="Tc_jUUSbuLC6k6ukpOE81Aujg_2_5"/>
      <w:bookmarkStart w:id="878" w:name="Tc_eKHkPT2_VEuevaCZAkb7xw_2_2"/>
      <w:bookmarkStart w:id="879" w:name="Tc_iiSuMoU2cUWZ1MdVtE041g_2_0"/>
      <w:bookmarkStart w:id="880" w:name="Tc_1qMzA9-gbUeHWIn5ZollTw_1_2"/>
      <w:bookmarkStart w:id="881" w:name="_6b2f00ad_13d9_4d92_b2ef_d598f71819e9"/>
      <w:bookmarkStart w:id="882" w:name="Tc_2mZxoE3t6UWvH1c2Poywgw_12_11"/>
      <w:bookmarkStart w:id="883" w:name="Tc_m9cX4uHaU0OSYpbrbra1ow_12_8"/>
      <w:bookmarkStart w:id="884" w:name="Tc_L4OYzGBMx0mFzIdA_p3fAQ_12_6"/>
      <w:bookmarkStart w:id="885" w:name="Tc_9FNr7x4Szk2j1VfuZRjV5g_12_5"/>
      <w:bookmarkStart w:id="886" w:name="Tc_x3Hqh5PhV0OKvkaXF8bDlA_12_3"/>
      <w:bookmarkStart w:id="887" w:name="Tc_BPv0qoHqYESlSlIUoznyDA_12_2"/>
      <w:bookmarkStart w:id="888" w:name="Tc_oMGSYo4OuUKu1B8GUIgmog_12_0"/>
      <w:bookmarkStart w:id="889" w:name="Tc_UxNWyhI9hU2oGcmZ95Njzw_11_0"/>
      <w:bookmarkStart w:id="890" w:name="Tc_cfWaoFpJ90O1MgNl1UophA_10_11"/>
      <w:bookmarkStart w:id="891" w:name="Tc_pOTxOfyup025t6TCX8Prwg_10_9"/>
      <w:bookmarkStart w:id="892" w:name="Tc_enmHCqxYmUq67T7AXiII3g_10_8"/>
      <w:bookmarkStart w:id="893" w:name="Tc_IIydIKLmYkSBbWzZJ_rpkw_10_5"/>
      <w:bookmarkStart w:id="894" w:name="Tc_4q5SOd0UqUmRW3snagsF-g_10_2"/>
      <w:bookmarkStart w:id="895" w:name="Tc_nM2elVrhVkuKqziKYXDZHg_10_0"/>
      <w:bookmarkStart w:id="896" w:name="Tc_R4aBpTUlUE69OP8LUawkqQ_9_9"/>
      <w:bookmarkStart w:id="897" w:name="Tc_3sjWZeXhRUauobVtCbh24Q_9_3"/>
      <w:bookmarkStart w:id="898" w:name="Tc_uRhMLiN9ZECmL-owoEnPJw_9_0"/>
      <w:bookmarkStart w:id="899" w:name="Tc_rZLNaO5vIUWE4lKzVRxM7Q_8_9"/>
      <w:bookmarkStart w:id="900" w:name="Tc_aNu5ZjM5akK3hp3Owcr3vA_8_6"/>
      <w:bookmarkStart w:id="901" w:name="Tc_yo7gxWM390OfDMUq2erwKA_8_0"/>
      <w:bookmarkStart w:id="902" w:name="Tc_QyJVfYbzNUOwQZtIp45pTA_7_9"/>
      <w:bookmarkStart w:id="903" w:name="Tc__FV83C4k2kGndjr77YoARQ_7_6"/>
      <w:bookmarkStart w:id="904" w:name="Tc_RhzZop_vRkO_XSx-6ifdVg_7_0"/>
      <w:bookmarkStart w:id="905" w:name="Tc_egpqVaOksEmh9wq74KJwHw_6_0"/>
      <w:bookmarkStart w:id="906" w:name="Tc_VI_JLjh5mkKGAoebQGDSTw_5_11"/>
      <w:bookmarkStart w:id="907" w:name="Tc_ezWSWoWWL0mrn-XL6-3vqw_5_9"/>
      <w:bookmarkStart w:id="908" w:name="Tc_K6cJy6m6lEmvWVbZjrTjYg_5_8"/>
      <w:bookmarkStart w:id="909" w:name="Tc_IKCwsJOOdUWGkOoIZwK5Ew_5_5"/>
      <w:bookmarkStart w:id="910" w:name="Tc_kGvD8qpJLEOXU008rkqDeQ_5_2"/>
      <w:bookmarkStart w:id="911" w:name="Tc_UReg4OCb_Eu4YWj5s2dJhQ_5_0"/>
      <w:bookmarkStart w:id="912" w:name="Tc_D5Rpu7Ja2kqiqBLmltWjSQ_4_0"/>
      <w:bookmarkStart w:id="913" w:name="Tc_xNFi8x9RE065Yjq7FNA13A_3_11"/>
      <w:bookmarkStart w:id="914" w:name="Tc_QdzEBGuNFkiFpOd2mzvCng_3_8"/>
      <w:bookmarkStart w:id="915" w:name="Tc_0ehJnCPdIkuG3iErnhuKbQ_3_5"/>
      <w:bookmarkStart w:id="916" w:name="Tc_S5pvxgWZzUmygPwnQeGCJQ_3_2"/>
      <w:bookmarkStart w:id="917" w:name="Tc_z9QCWSrppEOnTbbsHwjW4g_3_0"/>
      <w:bookmarkStart w:id="918" w:name="Tc_s9UL8D7VWUKIgZq5heb-qQ_2_2"/>
      <w:bookmarkStart w:id="919" w:name="Tc_j3pw4EAUEEecZZqsgiD70A_1_2"/>
      <w:bookmarkStart w:id="920" w:name="_fab97571_eabf_44a6_9837_6410ac9472e6"/>
      <w:bookmarkStart w:id="921" w:name="Tc_vMbYDp9E9kWxZu_6Pp8l7w_10_11"/>
      <w:bookmarkStart w:id="922" w:name="Tc_49Naafu2OE6LQie-xMC71Q_10_8"/>
      <w:bookmarkStart w:id="923" w:name="Tc_1vHfPy8spkKvbHXE8VMGFQ_10_6"/>
      <w:bookmarkStart w:id="924" w:name="Tc_wJLK_BlcskqwfL-WZ3gOjQ_10_5"/>
      <w:bookmarkStart w:id="925" w:name="Tc_IpzCGPoVOU2fjy0fcsfTaw_10_3"/>
      <w:bookmarkStart w:id="926" w:name="Tc_VoejDDWyq0iwbG78ls0hDw_10_2"/>
      <w:bookmarkStart w:id="927" w:name="Tc_MSTYHc8TZ0-oze9DfW_0tQ_10_0"/>
      <w:bookmarkStart w:id="928" w:name="Tc_bNov0C-LY0qwguGKj0QxKQ_9_0"/>
      <w:bookmarkStart w:id="929" w:name="Tc_zUSJruzKoUqVZiFcRnbqXw_8_11"/>
      <w:bookmarkStart w:id="930" w:name="Tc_vrjiAWjCskiofARS2LbTMA_8_9"/>
      <w:bookmarkStart w:id="931" w:name="Tc_n9R3yOx_VkmZLlX-SnsNdQ_8_8"/>
      <w:bookmarkStart w:id="932" w:name="Tc_cl2r8VkXFEmvZ_Crjc2xSQ_8_5"/>
      <w:bookmarkStart w:id="933" w:name="Tc_oty00eVcb02usnHEsTlYtg_8_2"/>
      <w:bookmarkStart w:id="934" w:name="Tc_2Qsb7Jmsi0GlCvTDdwd7jw_8_0"/>
      <w:bookmarkStart w:id="935" w:name="Tc_21S_m7ut-Ua8wQ3o4Taw4w_7_9"/>
      <w:bookmarkStart w:id="936" w:name="Tc_EJ-nE_4s2ku2l8GeQWh5_A_7_3"/>
      <w:bookmarkStart w:id="937" w:name="Tc_2NeOuD1TpkC-zvDTbda9bw_7_0"/>
      <w:bookmarkStart w:id="938" w:name="Tc_-2e0J3-uVkG8GSFCjScFVg_6_0"/>
      <w:bookmarkStart w:id="939" w:name="Tc_DD3IqGveVU2WEMdB3_pQAg_5_11"/>
      <w:bookmarkStart w:id="940" w:name="Tc_iy0CbzeRYUW_77JLIAaJ4g_5_9"/>
      <w:bookmarkStart w:id="941" w:name="Tc_2NGmd5zlGUWh6mXpjQQZVw_5_8"/>
      <w:bookmarkStart w:id="942" w:name="Tc_dyBmpqlhJ0mFF5KdO8cqSw_5_5"/>
      <w:bookmarkStart w:id="943" w:name="Tc_YLoUer_2-k-uXkbt3sc1UQ_5_2"/>
      <w:bookmarkStart w:id="944" w:name="Tc_0YVCcfkMkk-T7SzQUh7JVg_5_0"/>
      <w:bookmarkStart w:id="945" w:name="Tc_fR23uzL42Eq8yb-pKRDMJg_4_0"/>
      <w:bookmarkStart w:id="946" w:name="Tc_GvORUWK-rU6jggX40r9neQ_3_11"/>
      <w:bookmarkStart w:id="947" w:name="Tc_hDH_lUZHy0yLkUuP2O20rw_3_8"/>
      <w:bookmarkStart w:id="948" w:name="Tc_lfOfJizxykWftgztUTm1MA_3_5"/>
      <w:bookmarkStart w:id="949" w:name="Tc_-DVTyIIXfUSGc0nEJj3jPw_3_2"/>
      <w:bookmarkStart w:id="950" w:name="Tc_8IVHP1TmyU6XmLnLFwOXKw_3_0"/>
      <w:bookmarkStart w:id="951" w:name="Tc_Y_ONz0J2JE6weMveo_kSwg_2_2"/>
      <w:bookmarkStart w:id="952" w:name="Tc_ymJr89LzHU2qNzUDqtjIlw_1_2"/>
      <w:bookmarkStart w:id="953" w:name="_e4d43622_a261_46e0_b303_4262bff62aad"/>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Helvetica;sans-serif" w:hAnsi="Helvetica;sans-serif"/>
          <w:sz w:val="20"/>
        </w:rPr>
        <w:t>Financial liabilities related to long-term debt obligations are summarized in Note 8. Financial Liabilities. Other financial assets and liabilities from continuing operations measured at fair value on a recurring basis are summarized as follows:</w:t>
      </w:r>
    </w:p>
    <w:tbl>
      <w:tblPr>
        <w:tblW w:w="8518" w:type="dxa"/>
        <w:jc w:val="left"/>
        <w:tblInd w:w="0" w:type="dxa"/>
        <w:tblLayout w:type="fixed"/>
        <w:tblCellMar>
          <w:top w:w="0" w:type="dxa"/>
          <w:left w:w="0" w:type="dxa"/>
          <w:bottom w:w="0" w:type="dxa"/>
          <w:right w:w="0" w:type="dxa"/>
        </w:tblCellMar>
      </w:tblPr>
      <w:tblGrid>
        <w:gridCol w:w="3481"/>
        <w:gridCol w:w="346"/>
        <w:gridCol w:w="211"/>
        <w:gridCol w:w="691"/>
        <w:gridCol w:w="346"/>
        <w:gridCol w:w="211"/>
        <w:gridCol w:w="691"/>
        <w:gridCol w:w="346"/>
        <w:gridCol w:w="211"/>
        <w:gridCol w:w="586"/>
        <w:gridCol w:w="346"/>
        <w:gridCol w:w="211"/>
        <w:gridCol w:w="84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10435" cy="175260"/>
                      <wp:effectExtent l="0" t="0" r="0" b="0"/>
                      <wp:wrapNone/>
                      <wp:docPr id="118" name="Frame118"/>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1" name="Frame1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2110" cy="175260"/>
                      <wp:effectExtent l="0" t="0" r="0" b="0"/>
                      <wp:wrapNone/>
                      <wp:docPr id="127" name="Frame1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4035" cy="175260"/>
                      <wp:effectExtent l="0" t="0" r="0" b="0"/>
                      <wp:wrapNone/>
                      <wp:docPr id="130" name="Frame13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91" w:type="dxa"/>
            <w:gridSpan w:val="11"/>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Fair Value Measurements</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9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2026</w:t>
            </w:r>
          </w:p>
        </w:tc>
      </w:tr>
      <w:tr>
        <w:trPr/>
        <w:tc>
          <w:tcPr>
            <w:tcW w:w="348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Total</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lineRule="auto" w:line="240" w:before="0" w:after="0"/>
              <w:ind w:left="0" w:right="0" w:hanging="0"/>
              <w:jc w:val="left"/>
              <w:rPr>
                <w:rFonts w:ascii="Helvetica;sans-serif" w:hAnsi="Helvetica;sans-serif"/>
                <w:sz w:val="20"/>
              </w:rPr>
            </w:pPr>
            <w:r>
              <w:rPr>
                <w:rFonts w:ascii="Helvetica;sans-serif" w:hAnsi="Helvetica;sans-serif"/>
                <w:sz w:val="20"/>
              </w:rPr>
              <w:t>Cash equivalents</w:t>
            </w:r>
            <w:r>
              <w:rPr>
                <w:rFonts w:ascii="Helvetica;sans-serif" w:hAnsi="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68,772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81,245</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Marketable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Commercial paper and corporate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22,383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22,383</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68,772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103,628</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Royalty Fee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1,490</w:t>
            </w:r>
          </w:p>
        </w:tc>
      </w:tr>
    </w:tbl>
    <w:p>
      <w:pPr>
        <w:pStyle w:val="TextBody"/>
        <w:bidi w:val="0"/>
        <w:spacing w:before="0" w:after="0"/>
        <w:ind w:left="0" w:right="0" w:hanging="0"/>
        <w:jc w:val="left"/>
        <w:rPr/>
      </w:pPr>
      <w:r>
        <w:rPr/>
        <w:t>​</w:t>
      </w:r>
    </w:p>
    <w:tbl>
      <w:tblPr>
        <w:tblW w:w="8623" w:type="dxa"/>
        <w:jc w:val="left"/>
        <w:tblInd w:w="0" w:type="dxa"/>
        <w:tblLayout w:type="fixed"/>
        <w:tblCellMar>
          <w:top w:w="0" w:type="dxa"/>
          <w:left w:w="0" w:type="dxa"/>
          <w:bottom w:w="0" w:type="dxa"/>
          <w:right w:w="0" w:type="dxa"/>
        </w:tblCellMar>
      </w:tblPr>
      <w:tblGrid>
        <w:gridCol w:w="3481"/>
        <w:gridCol w:w="346"/>
        <w:gridCol w:w="211"/>
        <w:gridCol w:w="796"/>
        <w:gridCol w:w="346"/>
        <w:gridCol w:w="211"/>
        <w:gridCol w:w="691"/>
        <w:gridCol w:w="346"/>
        <w:gridCol w:w="211"/>
        <w:gridCol w:w="586"/>
        <w:gridCol w:w="346"/>
        <w:gridCol w:w="211"/>
        <w:gridCol w:w="84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10435" cy="175260"/>
                      <wp:effectExtent l="0" t="0" r="0" b="0"/>
                      <wp:wrapNone/>
                      <wp:docPr id="131" name="Frame131"/>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5460" cy="175260"/>
                      <wp:effectExtent l="0" t="0" r="0" b="0"/>
                      <wp:wrapNone/>
                      <wp:docPr id="134" name="Frame1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38785" cy="175260"/>
                      <wp:effectExtent l="0" t="0" r="0" b="0"/>
                      <wp:wrapNone/>
                      <wp:docPr id="137" name="Frame1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72110" cy="175260"/>
                      <wp:effectExtent l="0" t="0" r="0" b="0"/>
                      <wp:wrapNone/>
                      <wp:docPr id="140" name="Frame14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34035" cy="175260"/>
                      <wp:effectExtent l="0" t="0" r="0" b="0"/>
                      <wp:wrapNone/>
                      <wp:docPr id="143" name="Frame14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6" w:type="dxa"/>
            <w:gridSpan w:val="11"/>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Fair Value Measurements</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2025</w:t>
            </w:r>
          </w:p>
        </w:tc>
      </w:tr>
      <w:tr>
        <w:trPr/>
        <w:tc>
          <w:tcPr>
            <w:tcW w:w="348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Total</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lineRule="auto" w:line="240" w:before="0" w:after="0"/>
              <w:ind w:left="0" w:right="0" w:hanging="0"/>
              <w:jc w:val="left"/>
              <w:rPr>
                <w:rFonts w:ascii="Helvetica;sans-serif" w:hAnsi="Helvetica;sans-serif"/>
                <w:sz w:val="20"/>
              </w:rPr>
            </w:pPr>
            <w:r>
              <w:rPr>
                <w:rFonts w:ascii="Helvetica;sans-serif" w:hAnsi="Helvetica;sans-serif"/>
                <w:sz w:val="20"/>
              </w:rPr>
              <w:t>Cash equivalents</w:t>
            </w:r>
            <w:r>
              <w:rPr>
                <w:rFonts w:ascii="Helvetica;sans-serif" w:hAnsi="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78,278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79,986</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Marketable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U.S. government agency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3,803</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42,303</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Commercial paper and corporate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37,140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37,140</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124,384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163,232</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Royalty Fee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1,490</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val="false"/>
                <w:caps w:val="false"/>
                <w:smallCaps w:val="false"/>
                <w:sz w:val="20"/>
              </w:rPr>
              <w:t>Cash equivalents may include the following: money market funds, U.S. treasury securities, commercial paper or corporate notes with original maturities of 90 days or less.</w:t>
            </w:r>
            <w:r>
              <w:rPr>
                <w:caps w:val="false"/>
                <w:smallCaps w:val="false"/>
              </w:rPr>
              <w:t xml:space="preserve"> </w:t>
            </w:r>
          </w:p>
        </w:tc>
      </w:tr>
    </w:tbl>
    <w:p>
      <w:pPr>
        <w:pStyle w:val="TextBody"/>
        <w:bidi w:val="0"/>
        <w:spacing w:before="0" w:after="0"/>
        <w:ind w:left="0" w:right="0" w:firstLine="720"/>
        <w:jc w:val="left"/>
        <w:rPr>
          <w:shd w:fill="FFFFFF" w:val="clear"/>
        </w:rPr>
      </w:pPr>
      <w:r>
        <w:rPr>
          <w:shd w:fill="FFFFFF" w:val="clear"/>
        </w:rPr>
        <w:t>​</w:t>
      </w:r>
    </w:p>
    <w:p>
      <w:pPr>
        <w:pStyle w:val="TextBody"/>
        <w:bidi w:val="0"/>
        <w:spacing w:before="0" w:after="160"/>
        <w:ind w:left="0" w:right="0" w:firstLine="490"/>
        <w:jc w:val="both"/>
        <w:rPr>
          <w:rFonts w:ascii="Helvetica;sans-serif" w:hAnsi="Helvetica;sans-serif"/>
          <w:sz w:val="20"/>
        </w:rPr>
      </w:pPr>
      <w:r>
        <w:rPr>
          <w:rFonts w:ascii="Helvetica;sans-serif" w:hAnsi="Helvetica;sans-serif"/>
          <w:sz w:val="20"/>
        </w:rPr>
        <w:t xml:space="preserve">The cost, unrealized gains or losses, and fair value by investment type are summarized as follows: </w:t>
      </w:r>
    </w:p>
    <w:p>
      <w:pPr>
        <w:pStyle w:val="TextBody"/>
        <w:bidi w:val="0"/>
        <w:spacing w:before="0" w:after="0"/>
        <w:ind w:left="0" w:right="0" w:hanging="0"/>
        <w:jc w:val="left"/>
        <w:rPr/>
      </w:pPr>
      <w:r>
        <w:rPr/>
        <w:t>​</w:t>
      </w:r>
    </w:p>
    <w:tbl>
      <w:tblPr>
        <w:tblW w:w="9849" w:type="dxa"/>
        <w:jc w:val="left"/>
        <w:tblInd w:w="0" w:type="dxa"/>
        <w:tblLayout w:type="fixed"/>
        <w:tblCellMar>
          <w:top w:w="0" w:type="dxa"/>
          <w:left w:w="0" w:type="dxa"/>
          <w:bottom w:w="0" w:type="dxa"/>
          <w:right w:w="0" w:type="dxa"/>
        </w:tblCellMar>
      </w:tblPr>
      <w:tblGrid>
        <w:gridCol w:w="3481"/>
        <w:gridCol w:w="346"/>
        <w:gridCol w:w="211"/>
        <w:gridCol w:w="796"/>
        <w:gridCol w:w="346"/>
        <w:gridCol w:w="516"/>
        <w:gridCol w:w="849"/>
        <w:gridCol w:w="346"/>
        <w:gridCol w:w="568"/>
        <w:gridCol w:w="932"/>
        <w:gridCol w:w="346"/>
        <w:gridCol w:w="211"/>
        <w:gridCol w:w="90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10435" cy="175260"/>
                      <wp:effectExtent l="0" t="0" r="0" b="0"/>
                      <wp:wrapNone/>
                      <wp:docPr id="144" name="Frame144"/>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05460" cy="175260"/>
                      <wp:effectExtent l="0" t="0" r="0" b="0"/>
                      <wp:wrapNone/>
                      <wp:docPr id="147" name="Frame1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27660" cy="175260"/>
                      <wp:effectExtent l="0" t="0" r="0" b="0"/>
                      <wp:wrapNone/>
                      <wp:docPr id="149" name="Frame149"/>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39115" cy="175260"/>
                      <wp:effectExtent l="0" t="0" r="0" b="0"/>
                      <wp:wrapNone/>
                      <wp:docPr id="150" name="Frame150"/>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0680" cy="175260"/>
                      <wp:effectExtent l="0" t="0" r="0" b="0"/>
                      <wp:wrapNone/>
                      <wp:docPr id="152" name="Frame152"/>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91820" cy="175260"/>
                      <wp:effectExtent l="0" t="0" r="0" b="0"/>
                      <wp:wrapNone/>
                      <wp:docPr id="153" name="Frame15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2135" cy="175260"/>
                      <wp:effectExtent l="0" t="0" r="0" b="0"/>
                      <wp:wrapNone/>
                      <wp:docPr id="156" name="Frame1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2026</w:t>
            </w:r>
          </w:p>
        </w:tc>
      </w:tr>
      <w:tr>
        <w:trPr/>
        <w:tc>
          <w:tcPr>
            <w:tcW w:w="348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Unrealized Gain</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Unrealized (Loss)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Fair Value</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68,772</w:t>
            </w:r>
          </w:p>
        </w:tc>
        <w:tc>
          <w:tcPr>
            <w:tcW w:w="34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0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68,772</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Commercial paper and corporate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34,861</w:t>
            </w:r>
          </w:p>
        </w:tc>
        <w:tc>
          <w:tcPr>
            <w:tcW w:w="346" w:type="dxa"/>
            <w:tcBorders/>
            <w:vAlign w:val="center"/>
          </w:tcPr>
          <w:p>
            <w:pPr>
              <w:pStyle w:val="TableContents"/>
              <w:bidi w:val="0"/>
              <w:spacing w:before="0" w:after="0"/>
              <w:ind w:left="0" w:right="0" w:hanging="0"/>
              <w:jc w:val="left"/>
              <w:rPr/>
            </w:pPr>
            <w:r>
              <w:rPr/>
              <w:t>​</w:t>
            </w:r>
          </w:p>
        </w:tc>
        <w:tc>
          <w:tcPr>
            <w:tcW w:w="5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w:t>
            </w:r>
          </w:p>
        </w:tc>
        <w:tc>
          <w:tcPr>
            <w:tcW w:w="346" w:type="dxa"/>
            <w:tcBorders/>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34,856</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103,633</w:t>
            </w:r>
          </w:p>
        </w:tc>
        <w:tc>
          <w:tcPr>
            <w:tcW w:w="346" w:type="dxa"/>
            <w:tcBorders/>
            <w:shd w:fill="CCEEFF" w:val="clear"/>
            <w:vAlign w:val="center"/>
          </w:tcPr>
          <w:p>
            <w:pPr>
              <w:pStyle w:val="TableContents"/>
              <w:bidi w:val="0"/>
              <w:spacing w:before="0" w:after="0"/>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103,628</w:t>
            </w:r>
          </w:p>
        </w:tc>
      </w:tr>
    </w:tbl>
    <w:p>
      <w:pPr>
        <w:pStyle w:val="TextBody"/>
        <w:bidi w:val="0"/>
        <w:spacing w:before="0" w:after="0"/>
        <w:ind w:left="0" w:right="0" w:firstLine="720"/>
        <w:jc w:val="left"/>
        <w:rPr>
          <w:shd w:fill="FFFFFF" w:val="clear"/>
        </w:rPr>
      </w:pPr>
      <w:r>
        <w:rPr>
          <w:shd w:fill="FFFFFF" w:val="clear"/>
        </w:rPr>
        <w:t>​</w:t>
      </w:r>
    </w:p>
    <w:tbl>
      <w:tblPr>
        <w:tblW w:w="9849" w:type="dxa"/>
        <w:jc w:val="left"/>
        <w:tblInd w:w="0" w:type="dxa"/>
        <w:tblLayout w:type="fixed"/>
        <w:tblCellMar>
          <w:top w:w="0" w:type="dxa"/>
          <w:left w:w="0" w:type="dxa"/>
          <w:bottom w:w="0" w:type="dxa"/>
          <w:right w:w="0" w:type="dxa"/>
        </w:tblCellMar>
      </w:tblPr>
      <w:tblGrid>
        <w:gridCol w:w="3481"/>
        <w:gridCol w:w="346"/>
        <w:gridCol w:w="211"/>
        <w:gridCol w:w="796"/>
        <w:gridCol w:w="346"/>
        <w:gridCol w:w="516"/>
        <w:gridCol w:w="849"/>
        <w:gridCol w:w="346"/>
        <w:gridCol w:w="568"/>
        <w:gridCol w:w="932"/>
        <w:gridCol w:w="346"/>
        <w:gridCol w:w="211"/>
        <w:gridCol w:w="90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10435" cy="175260"/>
                      <wp:effectExtent l="0" t="0" r="0" b="0"/>
                      <wp:wrapNone/>
                      <wp:docPr id="157" name="Frame15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05460" cy="175260"/>
                      <wp:effectExtent l="0" t="0" r="0" b="0"/>
                      <wp:wrapNone/>
                      <wp:docPr id="160" name="Frame1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27660" cy="175260"/>
                      <wp:effectExtent l="0" t="0" r="0" b="0"/>
                      <wp:wrapNone/>
                      <wp:docPr id="162" name="Frame162"/>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9115" cy="175260"/>
                      <wp:effectExtent l="0" t="0" r="0" b="0"/>
                      <wp:wrapNone/>
                      <wp:docPr id="163" name="Frame163"/>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0680" cy="175260"/>
                      <wp:effectExtent l="0" t="0" r="0" b="0"/>
                      <wp:wrapNone/>
                      <wp:docPr id="165" name="Frame165"/>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1820" cy="175260"/>
                      <wp:effectExtent l="0" t="0" r="0" b="0"/>
                      <wp:wrapNone/>
                      <wp:docPr id="166" name="Frame16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72135" cy="175260"/>
                      <wp:effectExtent l="0" t="0" r="0" b="0"/>
                      <wp:wrapNone/>
                      <wp:docPr id="169" name="Frame16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2025</w:t>
            </w:r>
          </w:p>
        </w:tc>
      </w:tr>
      <w:tr>
        <w:trPr/>
        <w:tc>
          <w:tcPr>
            <w:tcW w:w="348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Unrealized Gain</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Unrealized (Loss)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Fair Value</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78,278</w:t>
            </w:r>
          </w:p>
        </w:tc>
        <w:tc>
          <w:tcPr>
            <w:tcW w:w="34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0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78,278</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U.S. government agency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3,800</w:t>
            </w:r>
          </w:p>
        </w:tc>
        <w:tc>
          <w:tcPr>
            <w:tcW w:w="3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3,803</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42,257</w:t>
            </w:r>
          </w:p>
        </w:tc>
        <w:tc>
          <w:tcPr>
            <w:tcW w:w="34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42,303</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Commercial paper and corporate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38,817</w:t>
            </w:r>
          </w:p>
        </w:tc>
        <w:tc>
          <w:tcPr>
            <w:tcW w:w="346" w:type="dxa"/>
            <w:tcBorders/>
            <w:vAlign w:val="center"/>
          </w:tcPr>
          <w:p>
            <w:pPr>
              <w:pStyle w:val="TableContents"/>
              <w:bidi w:val="0"/>
              <w:spacing w:before="0" w:after="0"/>
              <w:ind w:left="0" w:right="0" w:hanging="0"/>
              <w:jc w:val="left"/>
              <w:rPr/>
            </w:pPr>
            <w:r>
              <w:rPr/>
              <w:t>​</w:t>
            </w:r>
          </w:p>
        </w:tc>
        <w:tc>
          <w:tcPr>
            <w:tcW w:w="5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w:t>
            </w:r>
          </w:p>
        </w:tc>
        <w:tc>
          <w:tcPr>
            <w:tcW w:w="346" w:type="dxa"/>
            <w:tcBorders/>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38,848</w:t>
            </w:r>
          </w:p>
        </w:tc>
      </w:tr>
      <w:tr>
        <w:trPr/>
        <w:tc>
          <w:tcPr>
            <w:tcW w:w="348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163,152</w:t>
            </w:r>
          </w:p>
        </w:tc>
        <w:tc>
          <w:tcPr>
            <w:tcW w:w="346" w:type="dxa"/>
            <w:tcBorders/>
            <w:shd w:fill="CCEEFF" w:val="clear"/>
            <w:vAlign w:val="center"/>
          </w:tcPr>
          <w:p>
            <w:pPr>
              <w:pStyle w:val="TableContents"/>
              <w:bidi w:val="0"/>
              <w:spacing w:before="0" w:after="0"/>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163,232</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 xml:space="preserve">For the three and six months ended June 30, 2026 and 2025, the Company did not recognize any expected credit losses. As of June 30, 2026, the remaining contractual maturities of available-for-sale securities were less than one year, and the average maturity of investments upon acquisition was approximately five months. </w:t>
      </w:r>
      <w:r>
        <w:rPr>
          <w:rFonts w:ascii="Helvetica;sans-serif" w:hAnsi="Helvetica;sans-serif"/>
          <w:color w:val="212529"/>
          <w:sz w:val="20"/>
          <w:shd w:fill="FFFFFF" w:val="clear"/>
        </w:rPr>
        <w:t xml:space="preserve">The Company expects to collect all contractual principal and interest payments and does not intend to sell these investments before recovery of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Helvetica;sans-serif" w:hAnsi="Helvetica;sans-serif"/>
          <w:sz w:val="20"/>
        </w:rPr>
      </w:pPr>
      <w:r>
        <w:rPr>
          <w:rFonts w:ascii="Helvetica;sans-serif" w:hAnsi="Helvetica;sans-serif"/>
          <w:color w:val="212529"/>
          <w:sz w:val="20"/>
          <w:shd w:fill="FFFFFF" w:val="clear"/>
        </w:rPr>
        <w:t>their amortized cost basis.</w:t>
      </w:r>
      <w:r>
        <w:rPr>
          <w:rFonts w:ascii="Helvetica;sans-serif" w:hAnsi="Helvetica;sans-serif"/>
          <w:sz w:val="20"/>
        </w:rPr>
        <w:t xml:space="preserve"> The accrued interest receivable on available-for-sale marketable securities was immaterial at June 30, 2026 and December 31, 2025.</w:t>
      </w:r>
      <w:r>
        <w:rPr>
          <w:rFonts w:ascii="Helvetica;sans-serif" w:hAnsi="Helvetica;sans-serif"/>
          <w:color w:val="212529"/>
          <w:sz w:val="20"/>
          <w:shd w:fill="FFFFFF" w:val="clear"/>
        </w:rPr>
        <w:t xml:space="preserve"> </w:t>
      </w:r>
    </w:p>
    <w:p>
      <w:pPr>
        <w:pStyle w:val="TextBody"/>
        <w:bidi w:val="0"/>
        <w:spacing w:before="0" w:after="0"/>
        <w:ind w:left="0" w:right="0" w:firstLine="720"/>
        <w:jc w:val="both"/>
        <w:rPr>
          <w:color w:val="212529"/>
          <w:shd w:fill="FFFFFF" w:val="clear"/>
        </w:rPr>
      </w:pPr>
      <w:r>
        <w:rPr>
          <w:color w:val="212529"/>
          <w:shd w:fill="FFFFFF" w:val="clear"/>
        </w:rPr>
        <w: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4.       Inventory and Prepaid Manufacturing</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Total inventory of $14.1 million as of June 30, 2026 consisted of $7.1 million in finished goods and $7.0 million in work in process inventory, and the inventory totaling $3.2 million as of December 31, 2025 consisted entirely of finished goods. </w:t>
      </w:r>
      <w:r>
        <w:rPr>
          <w:rFonts w:ascii="Helvetica;sans-serif" w:hAnsi="Helvetica;sans-serif"/>
          <w:sz w:val="20"/>
          <w:shd w:fill="FFFFFF" w:val="clear"/>
        </w:rPr>
        <w:t>Inventory expected to be sold more than twelve months from the balance sheet date is classified as inventory, non-current on the condensed consolidated balance sheets. As of June 30, 2026 and December 31, 2025, the portion of total inventory recorded as non-current was $8.4 million and nil, respectively.</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Prior to the regulatory approvals of product candidates, the Company has incurred expenses for the manufacture of drug product that could potentially be available to support the commercial launches of the products. Inventory costs are capitalized when, based on management’s judgment, future commercialization is considered probable and the future economic benefit is expected to be realized. A number of factors are considered, including the current status in the regulatory approval process, potential impediments to the approval process such as safety or efficacy, viability of commercialization and marketplace trends. During the three months ended March 31, 2026, the Company commenced the capitalization of inventory costs associated with LOQTORZI produced in the United States, because the manufacturing of the drug substance received regulatory approval and the attainment of remaining approvals has been considered probable. </w:t>
      </w:r>
    </w:p>
    <w:p>
      <w:pPr>
        <w:pStyle w:val="TextBody"/>
        <w:bidi w:val="0"/>
        <w:spacing w:before="240" w:after="0"/>
        <w:ind w:left="0" w:right="0" w:firstLine="490"/>
        <w:jc w:val="both"/>
        <w:rPr>
          <w:rFonts w:ascii="Helvetica;sans-serif" w:hAnsi="Helvetica;sans-serif"/>
          <w:sz w:val="20"/>
        </w:rPr>
      </w:pPr>
      <w:r>
        <w:rPr>
          <w:rFonts w:ascii="Helvetica;sans-serif" w:hAnsi="Helvetica;sans-serif"/>
          <w:sz w:val="20"/>
        </w:rPr>
        <w:t>Prepaid manufacturing of $3.2 million as of June 30, 2026 included prepayments to contract manufacturing organizations (“CMOs”) for research and development. Prepaid manufacturing of $6.8 million as of December 31, 2025 included $4.3 million for manufacturing services of LOQTORZI and $2.4 million for research and development.</w:t>
      </w:r>
    </w:p>
    <w:p>
      <w:pPr>
        <w:pStyle w:val="TextBody"/>
        <w:bidi w:val="0"/>
        <w:spacing w:before="0" w:after="240"/>
        <w:ind w:left="0" w:right="0" w:firstLine="490"/>
        <w:jc w:val="both"/>
        <w:rPr/>
      </w:pPr>
      <w:r>
        <w:rPr/>
        <w:t>​</w:t>
      </w:r>
    </w:p>
    <w:p>
      <w:pPr>
        <w:pStyle w:val="TextBody"/>
        <w:bidi w:val="0"/>
        <w:spacing w:before="0" w:after="240"/>
        <w:ind w:left="0" w:right="0" w:hanging="0"/>
        <w:jc w:val="left"/>
        <w:rPr>
          <w:rFonts w:ascii="Helvetica;sans-serif" w:hAnsi="Helvetica;sans-serif"/>
          <w:b/>
          <w:sz w:val="20"/>
        </w:rPr>
      </w:pPr>
      <w:bookmarkStart w:id="954" w:name="Tc_9J0G04_gI0qcZ3g_Ku9iFA_5_5"/>
      <w:bookmarkStart w:id="955" w:name="Tc_F3ZEXBB4w0yXB94TsgRqdQ_5_2"/>
      <w:bookmarkStart w:id="956" w:name="Tc_evOai6US_0uu336QdsN4uQ_5_0"/>
      <w:bookmarkStart w:id="957" w:name="Tc_-lBtHwQrSUGbwuxYV56hlQ_4_0"/>
      <w:bookmarkStart w:id="958" w:name="Tc_QoaL4fO9g0SIVD5u8Tsm6A_3_5"/>
      <w:bookmarkStart w:id="959" w:name="Tc_MohoEDot2ECTGG1Ty5sRNQ_3_2"/>
      <w:bookmarkStart w:id="960" w:name="Tc_KfTHU9QDZ0SLcha2DSw_uw_3_0"/>
      <w:bookmarkStart w:id="961" w:name="Tc_ovNXEEpnSEW7lzOkLqNAmA_2_5"/>
      <w:bookmarkStart w:id="962" w:name="Tc_j_c8o6DAW0qnhS0prKKYfw_2_2"/>
      <w:bookmarkStart w:id="963" w:name="Tc_w6TPZHYCY0KL31gV7GCwlQ_2_0"/>
      <w:bookmarkStart w:id="964" w:name="Tc_ekK9cgko3kOB2eA7Mn4p3g_1_5"/>
      <w:bookmarkStart w:id="965" w:name="Tc_o1Awt8LdRkO51a6kuJzIjA_1_2"/>
      <w:bookmarkEnd w:id="954"/>
      <w:bookmarkEnd w:id="955"/>
      <w:bookmarkEnd w:id="956"/>
      <w:bookmarkEnd w:id="957"/>
      <w:bookmarkEnd w:id="958"/>
      <w:bookmarkEnd w:id="959"/>
      <w:bookmarkEnd w:id="960"/>
      <w:bookmarkEnd w:id="961"/>
      <w:bookmarkEnd w:id="962"/>
      <w:bookmarkEnd w:id="963"/>
      <w:bookmarkEnd w:id="964"/>
      <w:bookmarkEnd w:id="965"/>
      <w:r>
        <w:rPr>
          <w:rFonts w:ascii="Helvetica;sans-serif" w:hAnsi="Helvetica;sans-serif"/>
          <w:b/>
          <w:sz w:val="20"/>
        </w:rPr>
        <w:t>5.       Balance Sheet Components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Intangible Assets, Net</w:t>
      </w:r>
    </w:p>
    <w:p>
      <w:pPr>
        <w:pStyle w:val="TextBody"/>
        <w:bidi w:val="0"/>
        <w:spacing w:before="30" w:after="60"/>
        <w:ind w:left="0" w:right="0" w:firstLine="490"/>
        <w:jc w:val="both"/>
        <w:rPr>
          <w:rFonts w:ascii="Helvetica;sans-serif" w:hAnsi="Helvetica;sans-serif"/>
          <w:sz w:val="20"/>
        </w:rPr>
      </w:pPr>
      <w:r>
        <w:rPr>
          <w:rFonts w:ascii="Helvetica;sans-serif" w:hAnsi="Helvetica;sans-serif"/>
          <w:sz w:val="20"/>
        </w:rPr>
        <w:t xml:space="preserve">Intangible assets, net consisted of the following: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87"/>
        <w:gridCol w:w="346"/>
        <w:gridCol w:w="211"/>
        <w:gridCol w:w="691"/>
        <w:gridCol w:w="346"/>
        <w:gridCol w:w="255"/>
        <w:gridCol w:w="969"/>
      </w:tblGrid>
      <w:tr>
        <w:trPr/>
        <w:tc>
          <w:tcPr>
            <w:tcW w:w="7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90745" cy="175260"/>
                      <wp:effectExtent l="0" t="0" r="0" b="0"/>
                      <wp:wrapNone/>
                      <wp:docPr id="170" name="Frame170"/>
                      <a:graphic xmlns:a="http://schemas.openxmlformats.org/drawingml/2006/main">
                        <a:graphicData uri="http://schemas.microsoft.com/office/word/2010/wordprocessingShape">
                          <wps:wsp>
                            <wps:cNvSpPr txBox="1"/>
                            <wps:spPr>
                              <a:xfrm>
                                <a:off x="0" y="0"/>
                                <a:ext cx="4690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8785" cy="175260"/>
                      <wp:effectExtent l="0" t="0" r="0" b="0"/>
                      <wp:wrapNone/>
                      <wp:docPr id="173"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1925" cy="175260"/>
                      <wp:effectExtent l="0" t="0" r="0" b="0"/>
                      <wp:wrapNone/>
                      <wp:docPr id="175" name="Frame17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5315" cy="175260"/>
                      <wp:effectExtent l="0" t="0" r="0" b="0"/>
                      <wp:wrapNone/>
                      <wp:docPr id="176" name="Frame176"/>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w:t>
            </w:r>
          </w:p>
        </w:tc>
      </w:tr>
      <w:tr>
        <w:trPr/>
        <w:tc>
          <w:tcPr>
            <w:tcW w:w="7387"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7387"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Finite-lived assets, net of accumulated amortization of $6,250 and $5,000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18,750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9"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20,000</w:t>
            </w:r>
          </w:p>
        </w:tc>
      </w:tr>
      <w:tr>
        <w:trPr/>
        <w:tc>
          <w:tcPr>
            <w:tcW w:w="7387"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Indefinite-lived assets - in-process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26,239</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26,239</w:t>
            </w:r>
          </w:p>
        </w:tc>
      </w:tr>
      <w:tr>
        <w:trPr/>
        <w:tc>
          <w:tcPr>
            <w:tcW w:w="7387"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44,989</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46,239</w:t>
            </w:r>
          </w:p>
        </w:tc>
      </w:tr>
    </w:tbl>
    <w:p>
      <w:pPr>
        <w:pStyle w:val="TextBody"/>
        <w:bidi w:val="0"/>
        <w:spacing w:before="30" w:after="0"/>
        <w:ind w:left="0" w:right="0" w:firstLine="490"/>
        <w:jc w:val="both"/>
        <w:rPr/>
      </w:pPr>
      <w:r>
        <w:rPr/>
        <w:t>​</w:t>
      </w:r>
    </w:p>
    <w:p>
      <w:pPr>
        <w:pStyle w:val="TextBody"/>
        <w:bidi w:val="0"/>
        <w:spacing w:before="30" w:after="0"/>
        <w:ind w:left="0" w:right="0" w:firstLine="490"/>
        <w:jc w:val="both"/>
        <w:rPr>
          <w:rFonts w:ascii="Helvetica;sans-serif" w:hAnsi="Helvetica;sans-serif"/>
          <w:sz w:val="20"/>
        </w:rPr>
      </w:pPr>
      <w:r>
        <w:rPr>
          <w:rFonts w:ascii="Helvetica;sans-serif" w:hAnsi="Helvetica;sans-serif"/>
          <w:sz w:val="20"/>
        </w:rPr>
        <w:t>Amortization expense related to finite-lived intangible assets was $0.6 million for each of the three-month periods ended June 30, 2026 and 2025, and $1.3 million for each of the six-month periods ended June 30, 2026 and 2025.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sz w:val="20"/>
        </w:rPr>
      </w:pPr>
      <w:bookmarkStart w:id="966" w:name="Tc__anm_Nv50UW_pZjkiaYROA_8_5"/>
      <w:bookmarkStart w:id="967" w:name="Tc_alZjGK_urEm97cB-mB9d8g_8_2"/>
      <w:bookmarkStart w:id="968" w:name="Tc_s_vmhlL4r0SgaRuaSaHA1A_8_0"/>
      <w:bookmarkStart w:id="969" w:name="Tc_ab9extq4v0K7pr4G49tDyw_7_0"/>
      <w:bookmarkStart w:id="970" w:name="Tc_-igSbrhgu0ayYZ-FQkvumg_5_0"/>
      <w:bookmarkStart w:id="971" w:name="Tc_GZwxamKctkqoFrliMpHBGA_4_0"/>
      <w:bookmarkStart w:id="972" w:name="Tc_b7OvG9aXg0qfiZyuoOLJXw_3_5"/>
      <w:bookmarkStart w:id="973" w:name="Tc_y-m8pogZY0GIjRA_kUUV4A_3_2"/>
      <w:bookmarkStart w:id="974" w:name="Tc_TywoiIXlMUC72X9exoPoMQ_3_0"/>
      <w:bookmarkStart w:id="975" w:name="Tc_hsuuMNO3DEq_Ym71vQQ3Bg_2_5"/>
      <w:bookmarkStart w:id="976" w:name="Tc_XurI6kF__UKd9eGsR4O32Q_2_2"/>
      <w:bookmarkStart w:id="977" w:name="Tc_v2Pp6-zgF0KBoBu3pakFjw_2_0"/>
      <w:bookmarkStart w:id="978" w:name="Tc_ztGzJQZuBkagFx4zYo0vmA_1_5"/>
      <w:bookmarkStart w:id="979" w:name="Tc_-yw8-hg8FE2LAQMQb7g_rg_1_2"/>
      <w:bookmarkStart w:id="980" w:name="Tc_CX5mDC1A00SqSyY_8q3gQA_6_5"/>
      <w:bookmarkStart w:id="981" w:name="Tc_MZwLJajSIE2xCsOckJBGCQ_6_2"/>
      <w:bookmarkStart w:id="982" w:name="Tc_BnAPFBxYqk252Q8QZt_8sw_6_0"/>
      <w:bookmarkStart w:id="983" w:name="Tc_dKP_c86_O0uxq6mQYY4Tyw_5_0"/>
      <w:bookmarkStart w:id="984" w:name="Tc_Z_1ZN3vqaEioul0jmWF7Dg_3_5"/>
      <w:bookmarkStart w:id="985" w:name="Tc_BTFNQOdL4Ey6VyOQo8n5eg_3_2"/>
      <w:bookmarkStart w:id="986" w:name="Tc_GJq0PZPt4ku5Omg4zfUdeA_3_0"/>
      <w:bookmarkStart w:id="987" w:name="Tc_B0kcz9RSpU2M4oouSAf6pQ_2_5"/>
      <w:bookmarkStart w:id="988" w:name="Tc_dL63zJedo06GHgbAjmtwKw_2_2"/>
      <w:bookmarkStart w:id="989" w:name="Tc_RZK4kAwQwkGcFN3khNzlmg_2_0"/>
      <w:bookmarkStart w:id="990" w:name="Tc_9w0x_1chGUKowo1xFmNPGA_1_5"/>
      <w:bookmarkStart w:id="991" w:name="Tc_-5vvTstgW0GksRF5DdZvtw_1_2"/>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Helvetica;sans-serif" w:hAnsi="Helvetica;sans-serif"/>
          <w:b/>
          <w:sz w:val="20"/>
        </w:rPr>
        <w:t xml:space="preserve">Accrued and Other Current Liabilities </w:t>
      </w:r>
    </w:p>
    <w:p>
      <w:pPr>
        <w:pStyle w:val="TextBody"/>
        <w:bidi w:val="0"/>
        <w:spacing w:before="30" w:after="180"/>
        <w:ind w:left="0" w:right="0" w:firstLine="490"/>
        <w:jc w:val="both"/>
        <w:rPr>
          <w:rFonts w:ascii="Helvetica;sans-serif" w:hAnsi="Helvetica;sans-serif"/>
          <w:sz w:val="20"/>
        </w:rPr>
      </w:pPr>
      <w:r>
        <w:rPr>
          <w:rFonts w:ascii="Helvetica;sans-serif" w:hAnsi="Helvetica;sans-serif"/>
          <w:sz w:val="20"/>
        </w:rPr>
        <w:t xml:space="preserve">Accrued and other current liabilities consisted of the following: </w:t>
      </w:r>
    </w:p>
    <w:p>
      <w:pPr>
        <w:pStyle w:val="TextBody"/>
        <w:bidi w:val="0"/>
        <w:spacing w:before="0" w:after="0"/>
        <w:ind w:left="0" w:right="0" w:hanging="0"/>
        <w:jc w:val="left"/>
        <w:rPr/>
      </w:pPr>
      <w:r>
        <w:rPr/>
        <w:t>​</w:t>
      </w:r>
    </w:p>
    <w:tbl>
      <w:tblPr>
        <w:tblW w:w="8780" w:type="dxa"/>
        <w:jc w:val="left"/>
        <w:tblInd w:w="0" w:type="dxa"/>
        <w:tblLayout w:type="fixed"/>
        <w:tblCellMar>
          <w:top w:w="0" w:type="dxa"/>
          <w:left w:w="0" w:type="dxa"/>
          <w:bottom w:w="0" w:type="dxa"/>
          <w:right w:w="0" w:type="dxa"/>
        </w:tblCellMar>
      </w:tblPr>
      <w:tblGrid>
        <w:gridCol w:w="5926"/>
        <w:gridCol w:w="346"/>
        <w:gridCol w:w="211"/>
        <w:gridCol w:w="691"/>
        <w:gridCol w:w="346"/>
        <w:gridCol w:w="263"/>
        <w:gridCol w:w="997"/>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763010" cy="175260"/>
                      <wp:effectExtent l="0" t="0" r="0" b="0"/>
                      <wp:wrapNone/>
                      <wp:docPr id="177" name="Frame177"/>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80" name="Frame1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7005" cy="175260"/>
                      <wp:effectExtent l="0" t="0" r="0" b="0"/>
                      <wp:wrapNone/>
                      <wp:docPr id="182" name="Frame18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33095" cy="175260"/>
                      <wp:effectExtent l="0" t="0" r="0" b="0"/>
                      <wp:wrapNone/>
                      <wp:docPr id="183" name="Frame183"/>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w:t>
            </w:r>
          </w:p>
        </w:tc>
      </w:tr>
      <w:tr>
        <w:trPr/>
        <w:tc>
          <w:tcPr>
            <w:tcW w:w="59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592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Accrued commercial and research and development manufacturing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1,638</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97"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7,349</w:t>
            </w:r>
          </w:p>
        </w:tc>
      </w:tr>
      <w:tr>
        <w:trPr/>
        <w:tc>
          <w:tcPr>
            <w:tcW w:w="5926" w:type="dxa"/>
            <w:tcBorders/>
            <w:vAlign w:val="center"/>
          </w:tcPr>
          <w:p>
            <w:pPr>
              <w:pStyle w:val="TableContents"/>
              <w:bidi w:val="0"/>
              <w:spacing w:before="0" w:after="0"/>
              <w:ind w:left="0" w:right="0" w:hanging="0"/>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Lease liabilities,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1,947</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1,828</w:t>
            </w:r>
          </w:p>
        </w:tc>
      </w:tr>
      <w:tr>
        <w:trPr/>
        <w:tc>
          <w:tcPr>
            <w:tcW w:w="592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Accrued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11,266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11,253</w:t>
            </w:r>
          </w:p>
        </w:tc>
      </w:tr>
      <w:tr>
        <w:trPr/>
        <w:tc>
          <w:tcPr>
            <w:tcW w:w="592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Accrued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14,851</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20,430</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Other Liabilities, Non-current </w:t>
      </w:r>
    </w:p>
    <w:p>
      <w:pPr>
        <w:pStyle w:val="TextBody"/>
        <w:bidi w:val="0"/>
        <w:spacing w:before="30" w:after="0"/>
        <w:ind w:left="0" w:right="0" w:firstLine="490"/>
        <w:jc w:val="both"/>
        <w:rPr>
          <w:rFonts w:ascii="Helvetica;sans-serif" w:hAnsi="Helvetica;sans-serif"/>
          <w:sz w:val="20"/>
        </w:rPr>
      </w:pPr>
      <w:r>
        <w:rPr>
          <w:rFonts w:ascii="Helvetica;sans-serif" w:hAnsi="Helvetica;sans-serif"/>
          <w:sz w:val="20"/>
        </w:rPr>
        <w:t>Other liabilities, non-current consisted of the following:</w:t>
      </w:r>
    </w:p>
    <w:p>
      <w:pPr>
        <w:pStyle w:val="TextBody"/>
        <w:bidi w:val="0"/>
        <w:spacing w:before="0" w:after="0"/>
        <w:ind w:left="0" w:right="0" w:hanging="0"/>
        <w:jc w:val="left"/>
        <w:rPr/>
      </w:pPr>
      <w:r>
        <w:rPr/>
        <w:t>​</w:t>
      </w:r>
    </w:p>
    <w:tbl>
      <w:tblPr>
        <w:tblW w:w="7355" w:type="dxa"/>
        <w:jc w:val="left"/>
        <w:tblInd w:w="0" w:type="dxa"/>
        <w:tblLayout w:type="fixed"/>
        <w:tblCellMar>
          <w:top w:w="0" w:type="dxa"/>
          <w:left w:w="0" w:type="dxa"/>
          <w:bottom w:w="0" w:type="dxa"/>
          <w:right w:w="0" w:type="dxa"/>
        </w:tblCellMar>
      </w:tblPr>
      <w:tblGrid>
        <w:gridCol w:w="4501"/>
        <w:gridCol w:w="346"/>
        <w:gridCol w:w="211"/>
        <w:gridCol w:w="691"/>
        <w:gridCol w:w="346"/>
        <w:gridCol w:w="263"/>
        <w:gridCol w:w="997"/>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858135" cy="175260"/>
                      <wp:effectExtent l="0" t="0" r="0" b="0"/>
                      <wp:wrapNone/>
                      <wp:docPr id="184" name="Frame184"/>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8785" cy="175260"/>
                      <wp:effectExtent l="0" t="0" r="0" b="0"/>
                      <wp:wrapNone/>
                      <wp:docPr id="18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7005" cy="175260"/>
                      <wp:effectExtent l="0" t="0" r="0" b="0"/>
                      <wp:wrapNone/>
                      <wp:docPr id="189" name="Frame18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33095" cy="175260"/>
                      <wp:effectExtent l="0" t="0" r="0" b="0"/>
                      <wp:wrapNone/>
                      <wp:docPr id="190" name="Frame190"/>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w:t>
            </w:r>
          </w:p>
        </w:tc>
      </w:tr>
      <w:tr>
        <w:trPr/>
        <w:tc>
          <w:tcPr>
            <w:tcW w:w="450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50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Deferred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1,102</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97"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1,102</w:t>
            </w:r>
          </w:p>
        </w:tc>
      </w:tr>
      <w:tr>
        <w:trPr/>
        <w:tc>
          <w:tcPr>
            <w:tcW w:w="450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Revenue participation liability, non-current (Note 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14,524</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14,028</w:t>
            </w:r>
          </w:p>
        </w:tc>
      </w:tr>
      <w:tr>
        <w:trPr/>
        <w:tc>
          <w:tcPr>
            <w:tcW w:w="450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Royalty fee derivative liability (Note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1,490</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1,490</w:t>
            </w:r>
          </w:p>
        </w:tc>
      </w:tr>
      <w:tr>
        <w:trPr/>
        <w:tc>
          <w:tcPr>
            <w:tcW w:w="4501" w:type="dxa"/>
            <w:tcBorders/>
            <w:vAlign w:val="center"/>
          </w:tcPr>
          <w:p>
            <w:pPr>
              <w:pStyle w:val="TableContents"/>
              <w:bidi w:val="0"/>
              <w:spacing w:before="0" w:after="0"/>
              <w:ind w:left="0" w:right="0" w:hanging="0"/>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Lease liabilities,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459</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1,457</w:t>
            </w:r>
          </w:p>
        </w:tc>
      </w:tr>
      <w:tr>
        <w:trPr/>
        <w:tc>
          <w:tcPr>
            <w:tcW w:w="450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xml:space="preserve">Other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1,815</w:t>
            </w:r>
          </w:p>
        </w:tc>
      </w:tr>
      <w:tr>
        <w:trPr/>
        <w:tc>
          <w:tcPr>
            <w:tcW w:w="450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Other liabilities,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17,588</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19,892</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pPr>
      <w:r>
        <w:rPr/>
        <w:t>​</w:t>
      </w:r>
    </w:p>
    <w:p>
      <w:pPr>
        <w:pStyle w:val="TextBody"/>
        <w:bidi w:val="0"/>
        <w:spacing w:before="0" w:after="0"/>
        <w:ind w:left="0" w:right="0" w:hanging="0"/>
        <w:jc w:val="left"/>
        <w:rPr>
          <w:rFonts w:ascii="Helvetica;sans-serif" w:hAnsi="Helvetica;sans-serif"/>
          <w:b/>
          <w:sz w:val="20"/>
        </w:rPr>
      </w:pPr>
      <w:r>
        <w:rPr>
          <w:rFonts w:ascii="Helvetica;sans-serif" w:hAnsi="Helvetica;sans-serif"/>
          <w:b/>
          <w:sz w:val="20"/>
        </w:rPr>
        <w:t>6.      Discontinued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On December 2, 2024, the Company and Intas entered into an asset purchase agreement (the “UDENYCA Purchase Agreement”), pursuant to which the Company agreed to divest the UDENYCA franchise (the “UDENYCA Business”) to Intas (the “UDENYCA Sale”). Intas designated Accord BioPharma, Inc., an indirect wholly owned subsidiary of Intas (“Accord” and, together with Intas, the “Intas Parties”) to purchase the physical assets, including product inventory. On April 11, 2025 (the “UDENYCA Closing Date”), the Company completed the divestiture of the UDENYCA Business to Intas for upfront, all-cash consideration of $483.4 million, inclusive of $118.4 million for UDENYCA product inventory. For the year ended December 31, 2025, the Company recognized a net gain on the UDENYCA Sale of $338.3 million, which included the cash receipts less net assets transferred to Accord or otherwise derecognized, and transaction expenses of $10.7 million. The Company is eligible to receive two additional payments of $37.5 million </w:t>
      </w:r>
      <w:r>
        <w:rPr>
          <w:rFonts w:ascii="Helvetica;sans-serif" w:hAnsi="Helvetica;sans-serif"/>
          <w:b w:val="false"/>
          <w:i w:val="false"/>
          <w:caps w:val="false"/>
          <w:smallCaps w:val="false"/>
          <w:sz w:val="20"/>
        </w:rPr>
        <w:t>each</w:t>
      </w:r>
      <w:r>
        <w:rPr>
          <w:rFonts w:ascii="Helvetica;sans-serif" w:hAnsi="Helvetica;sans-serif"/>
          <w:sz w:val="20"/>
        </w:rPr>
        <w:t xml:space="preserve"> (together, the “Earnout Payments”). The first such payment is payable by Intas to the Company if net sales (as defined in the UDENYCA Purchase Agreement, “Net Sales”) of UDENYCA for four consecutive fiscal quarters from July 1, 2025 through September 30, 2026 are equal to or greater than $300 million, and the second such payment is payable by Intas to the Company if Net Sales of UDENYCA for four consecutive fiscal quarters from July 1, 2025 through March 31, 2027 are equal to or greater than $350 million. As of June 30, 2026, revenues reported to the Company by the Intas Parties did not meet either of the earnout thresholds.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On June 26, 2024, the Company completed the sale of its YUSIMRY immunology franchise (the “YUSIMRY Sale”). On March 1, 2024, the Company completed the sale of its CIMERLI ophthalmology franchise through the sale of its subsidiary, Coherus Ophthalmology LLC, to Sandoz (the “CIMERLI Sale” and, together with the UDENYCA Sale and the YUSIMRY Sale, the “Sale Transactions”).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The UDENYCA Sale represented the last and most significant divestiture of the Company’s biosimilar businesses, which comprised the UDENYCA, YUSIMRY and CIMERLI franchises. Accordingly, the associated results of operations have been classified as discontinued operations in the condensed consolidated financial statements for all periods presented.</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Helvetica;sans-serif" w:hAnsi="Helvetica;sans-serif"/>
          <w:sz w:val="20"/>
        </w:rPr>
      </w:pPr>
      <w:bookmarkStart w:id="992" w:name="Tc_9TqL9Y9cvkage7gBezvcbg_6_5"/>
      <w:bookmarkStart w:id="993" w:name="Tc_q83J6IeroEiQcRySF2x77g_6_4"/>
      <w:bookmarkStart w:id="994" w:name="Tc_36689J-cKk6vL9BoLAu4ew_6_2"/>
      <w:bookmarkStart w:id="995" w:name="Tc_Z57LkctQ_kuRDUyYpC8FuA_6_0"/>
      <w:bookmarkStart w:id="996" w:name="Tc_1fgb5r5C3UapCyAG_5Kkag_5_0"/>
      <w:bookmarkStart w:id="997" w:name="Tc_V3BVAENzyU2z5jg9ciLFqA_4_5"/>
      <w:bookmarkStart w:id="998" w:name="Tc_A9Tq7g0ZIEmaJk45eo7Zcg_4_2"/>
      <w:bookmarkStart w:id="999" w:name="Tc_l4ZkXxgJ2UCTTZnHnjDkJw_4_0"/>
      <w:bookmarkStart w:id="1000" w:name="Tc_GK1RbW25dkOroFLvXYaf8Q_3_0"/>
      <w:bookmarkStart w:id="1001" w:name="Tc_jy7Gi2lDXUyy7gCwuQTT4g_2_5"/>
      <w:bookmarkStart w:id="1002" w:name="Tc_ky44oTVGK0WZEZbihoszrw_2_2"/>
      <w:bookmarkStart w:id="1003" w:name="Tc_xC_CenG-50-LUyCzfS-Opw_2_0"/>
      <w:bookmarkStart w:id="1004" w:name="Tc_RG8Mpm8qSEWFp-thxwrFpw_1_5"/>
      <w:bookmarkStart w:id="1005" w:name="Tc_bkX60rEHcky7pD-Y5UTMDg_1_2"/>
      <w:bookmarkStart w:id="1006" w:name="_870d0826_23d2_441d_9bad_c33778851dd9"/>
      <w:bookmarkStart w:id="1007" w:name="Tc_temaV5OJgUi8F1DE-IXrWA_7_11"/>
      <w:bookmarkStart w:id="1008" w:name="Tc_bKw0l2POvki7jIhPeCXtEg_7_8"/>
      <w:bookmarkStart w:id="1009" w:name="Tc_71JjvkyN10qwR0HvIHzIzg_7_5"/>
      <w:bookmarkStart w:id="1010" w:name="Tc_ugDtB4eqNkCD4T4EZEF9Aw_7_2"/>
      <w:bookmarkStart w:id="1011" w:name="Tc_1qTly9biUEeY-jZXKF1ayw_7_0"/>
      <w:bookmarkStart w:id="1012" w:name="Tc_2F2KS17fA0S9Z8V17BAK_g_6_6"/>
      <w:bookmarkStart w:id="1013" w:name="Tc_zTQPS-R-wk2IB5F5lglMjA_6_3"/>
      <w:bookmarkStart w:id="1014" w:name="Tc_pLlX_JK5SkSEJz-OrcmL0A_6_0"/>
      <w:bookmarkStart w:id="1015" w:name="Tc_MC89u9HGZUa7ruEz2THppA_5_0"/>
      <w:bookmarkStart w:id="1016" w:name="Tc_UgDw5v0WsUmjkRzf8OHw5Q_4_11"/>
      <w:bookmarkStart w:id="1017" w:name="Tc_H86Xbx9MRkaraPPE81b8XA_4_8"/>
      <w:bookmarkStart w:id="1018" w:name="Tc_4lcAGJ9ydUOydIx8XP64Fg_4_5"/>
      <w:bookmarkStart w:id="1019" w:name="Tc_cmSuXx9e2kGOC3iKCtpbVA_4_2"/>
      <w:bookmarkStart w:id="1020" w:name="Tc_LloqBfKCeEqDuFoLH-58kQ_4_0"/>
      <w:bookmarkStart w:id="1021" w:name="Tc_FKnJapM8ZEi49tAr0SqjHA_3_11"/>
      <w:bookmarkStart w:id="1022" w:name="Tc_a4nCGcS1lkGMFyYB3xmNbQ_3_8"/>
      <w:bookmarkStart w:id="1023" w:name="Tc_6pwu4uk7kkinUIHHa0neKA_3_5"/>
      <w:bookmarkStart w:id="1024" w:name="Tc_zPmr7A5ZQkqYKzEK3kvRRw_3_2"/>
      <w:bookmarkStart w:id="1025" w:name="Tc_N5q_lxBCJku4fNiMqS9a9w_3_0"/>
      <w:bookmarkStart w:id="1026" w:name="Tc_PGsrATwyjkGr2cQlrOHa6w_2_8"/>
      <w:bookmarkStart w:id="1027" w:name="Tc_h5s5bA3j9Ua1zB1KLtygAA_2_2"/>
      <w:bookmarkStart w:id="1028" w:name="Tc_6TTdPM9EdEuQP8lYfLJpTQ_1_8"/>
      <w:bookmarkStart w:id="1029" w:name="Tc_7f-o4WzekUymCnoUKEJJPg_1_2"/>
      <w:bookmarkStart w:id="1030" w:name="Tc_mlJbU6nkQ0ect2-1VzVbPA_17_11"/>
      <w:bookmarkStart w:id="1031" w:name="Tc_1rjOmWfn80uRapGf3RnJPA_17_8"/>
      <w:bookmarkStart w:id="1032" w:name="Tc_72ZtT8zLR0GtugaiVv56EA_17_5"/>
      <w:bookmarkStart w:id="1033" w:name="Tc_mjwQ8c3Ms0WAQPmDwyYCBQ_17_2"/>
      <w:bookmarkStart w:id="1034" w:name="Tc_f7fWJkkca0KLAFPzZjNVYw_17_0"/>
      <w:bookmarkStart w:id="1035" w:name="Tc_jd00ifJPXEq8dUQikqMr3g_16_12"/>
      <w:bookmarkStart w:id="1036" w:name="Tc_lwc1AVghl0CYeN0txM3TNg_16_9"/>
      <w:bookmarkStart w:id="1037" w:name="Tc_hJUILrUCAk6VmCf5ejPhDg_16_6"/>
      <w:bookmarkStart w:id="1038" w:name="Tc_b-CbI3IMEka9WshxOOpuPA_16_3"/>
      <w:bookmarkStart w:id="1039" w:name="Tc_5K8CgRRWdEW-XApAd1dDSQ_16_0"/>
      <w:bookmarkStart w:id="1040" w:name="Tc_Etfaa2S3nECcaAmMGFGirA_15_0"/>
      <w:bookmarkStart w:id="1041" w:name="Tc_xHro7eoncEi4yrnrNX6EGQ_14_9"/>
      <w:bookmarkStart w:id="1042" w:name="Tc_sxH7NNnlB0qPxtz8HIs_Rw_14_3"/>
      <w:bookmarkStart w:id="1043" w:name="Tc_ivmi111uBEuGdUQg0NICCQ_14_0"/>
      <w:bookmarkStart w:id="1044" w:name="Tc_KQXrlp44JEuP9y-fUutK7Q_13_9"/>
      <w:bookmarkStart w:id="1045" w:name="Tc_iIdGO-uP5Eu_13QeS6fM-w_13_3"/>
      <w:bookmarkStart w:id="1046" w:name="Tc_sVKaCBGY30mDIdtd8RkRPw_13_0"/>
      <w:bookmarkStart w:id="1047" w:name="Tc_iXhRxjvj7U2B-ZeddVZfcA_12_0"/>
      <w:bookmarkStart w:id="1048" w:name="Tc_MQqrpZ2qlU2_aENsWNSqFw_11_9"/>
      <w:bookmarkStart w:id="1049" w:name="Tc_TQOv0y6xhk21LE_bi3AnFQ_11_3"/>
      <w:bookmarkStart w:id="1050" w:name="Tc_Vz9xjsYZW0-bzfvS4pEoDg_11_0"/>
      <w:bookmarkStart w:id="1051" w:name="Tc_doJvF7C6dESF45c6v0JHpQ_10_0"/>
      <w:bookmarkStart w:id="1052" w:name="Tc_TY3-xTHT8kiys9-YUwQFJQ_9_0"/>
      <w:bookmarkStart w:id="1053" w:name="Tc_l9hFiDJuqUOKDb7wEJ2MtA_8_0"/>
      <w:bookmarkStart w:id="1054" w:name="Tc_zvXeeAkzKU-aGgxRYL_7Hw_7_0"/>
      <w:bookmarkStart w:id="1055" w:name="Tc_D_aeGfR8NU6vQQeu0ePv1A_6_3"/>
      <w:bookmarkStart w:id="1056" w:name="Tc_lHtr4J8roUaL1-0qteBP2Q_6_0"/>
      <w:bookmarkStart w:id="1057" w:name="Tc_MIH145JB-0OGocaR23KBJw_5_0"/>
      <w:bookmarkStart w:id="1058" w:name="Tc_l4G2sa7h9EOHREI9i4iwPQ_4_11"/>
      <w:bookmarkStart w:id="1059" w:name="Tc_riwEivV4EE2RdBCzdpzXfg_4_8"/>
      <w:bookmarkStart w:id="1060" w:name="Tc_2qfybolreUWTRwE_qeHUOA_4_5"/>
      <w:bookmarkStart w:id="1061" w:name="Tc_E9u_tAsJ8kGuQxN5dVTcag_4_2"/>
      <w:bookmarkStart w:id="1062" w:name="Tc_DspWtMK5rUuKo7Gp6CiOpw_4_0"/>
      <w:bookmarkStart w:id="1063" w:name="Tc_qPJWb_78TU6uvmJwoQjEEw_3_11"/>
      <w:bookmarkStart w:id="1064" w:name="Tc_6ppSVmz00EWIKkFTvjsl5A_3_8"/>
      <w:bookmarkStart w:id="1065" w:name="Tc_Wa4x2j9qT0qaAmJaXhisog_3_5"/>
      <w:bookmarkStart w:id="1066" w:name="Tc_1-JmWrD7R0avpjnIalsBew_3_2"/>
      <w:bookmarkStart w:id="1067" w:name="Tc_VT2CuBrYikKNmRj5uiiFMw_3_0"/>
      <w:bookmarkStart w:id="1068" w:name="Tc_RLJ1u2jYw0O5dtHqhZM4fg_2_8"/>
      <w:bookmarkStart w:id="1069" w:name="Tc_YZJ5sw9zbUis_5Q2IzzyQA_2_2"/>
      <w:bookmarkStart w:id="1070" w:name="Tc_1w2AQACkSkWBZIDgxFzYpA_1_8"/>
      <w:bookmarkStart w:id="1071" w:name="Tc_CBdfnzhn2kuZZXHBg151jg_1_2"/>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r>
        <w:rPr>
          <w:rFonts w:ascii="Helvetica;sans-serif" w:hAnsi="Helvetica;sans-serif"/>
          <w:sz w:val="20"/>
        </w:rPr>
        <w:t xml:space="preserve">The Company used a portion of the proceeds of the UDENYCA Sale to repay substantially all of the outstanding 2026 Convertible Notes (see Note 8. Financial Liabilities) and to buy out the right to receive royalties on net sales of UDENYCA in accordance with the Revenue Purchase and Sale Agreement, and thus the related interest expense and loss on debt extinguishment have been presented within discontinued operations. </w:t>
      </w:r>
    </w:p>
    <w:p>
      <w:pPr>
        <w:pStyle w:val="TextBody"/>
        <w:bidi w:val="0"/>
        <w:spacing w:before="0" w:after="240"/>
        <w:ind w:left="0" w:right="0" w:firstLine="490"/>
        <w:jc w:val="both"/>
        <w:rPr>
          <w:shd w:fill="FFFFFF" w:val="clear"/>
        </w:rPr>
      </w:pPr>
      <w:r>
        <w:rPr>
          <w:shd w:fill="FFFFFF" w:val="clear"/>
        </w:rPr>
        <w:t>​</w:t>
      </w:r>
    </w:p>
    <w:p>
      <w:pPr>
        <w:pStyle w:val="TextBody"/>
        <w:bidi w:val="0"/>
        <w:spacing w:before="0" w:after="180"/>
        <w:ind w:left="0" w:right="0" w:firstLine="490"/>
        <w:jc w:val="both"/>
        <w:rPr>
          <w:rFonts w:ascii="Helvetica;sans-serif" w:hAnsi="Helvetica;sans-serif"/>
          <w:sz w:val="20"/>
          <w:shd w:fill="FFFFFF" w:val="clear"/>
        </w:rPr>
      </w:pPr>
      <w:r>
        <w:rPr>
          <w:rFonts w:ascii="Helvetica;sans-serif" w:hAnsi="Helvetica;sans-serif"/>
          <w:sz w:val="20"/>
          <w:shd w:fill="FFFFFF" w:val="clear"/>
        </w:rPr>
        <w:t>The following table presents a summary of discontinued operations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85"/>
        <w:gridCol w:w="346"/>
        <w:gridCol w:w="211"/>
        <w:gridCol w:w="691"/>
        <w:gridCol w:w="346"/>
        <w:gridCol w:w="211"/>
        <w:gridCol w:w="808"/>
        <w:gridCol w:w="346"/>
        <w:gridCol w:w="211"/>
        <w:gridCol w:w="691"/>
        <w:gridCol w:w="346"/>
        <w:gridCol w:w="211"/>
        <w:gridCol w:w="902"/>
      </w:tblGrid>
      <w:tr>
        <w:trPr/>
        <w:tc>
          <w:tcPr>
            <w:tcW w:w="4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101975" cy="175260"/>
                      <wp:effectExtent l="0" t="0" r="0" b="0"/>
                      <wp:wrapNone/>
                      <wp:docPr id="191" name="Frame191"/>
                      <a:graphic xmlns:a="http://schemas.openxmlformats.org/drawingml/2006/main">
                        <a:graphicData uri="http://schemas.microsoft.com/office/word/2010/wordprocessingShape">
                          <wps:wsp>
                            <wps:cNvSpPr txBox="1"/>
                            <wps:spPr>
                              <a:xfrm>
                                <a:off x="0" y="0"/>
                                <a:ext cx="310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13080" cy="175260"/>
                      <wp:effectExtent l="0" t="0" r="0" b="0"/>
                      <wp:wrapNone/>
                      <wp:docPr id="197" name="Frame19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200"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72770" cy="175260"/>
                      <wp:effectExtent l="0" t="0" r="0" b="0"/>
                      <wp:wrapNone/>
                      <wp:docPr id="203" name="Frame203"/>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7"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361"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48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3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r>
      <w:tr>
        <w:trPr/>
        <w:tc>
          <w:tcPr>
            <w:tcW w:w="4885"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12,824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08"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23,094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11,925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0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55,228</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pPr>
            <w:r>
              <w:rPr/>
              <w:t>​</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Cost of goods sold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6,548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25,897</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162</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Selling,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9,483</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Total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9,015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35,542</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13,027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14,079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12,023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19,686</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(3,484)</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Gain (Loss) on Sale Transactions,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339,102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(699)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339,102</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Loss on debt extinguishment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(10,286)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(10,286)</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(11,560)</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Net income from discontinued operations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12,716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342,629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11,324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333,458</w:t>
            </w:r>
          </w:p>
        </w:tc>
      </w:tr>
      <w:tr>
        <w:trPr/>
        <w:tc>
          <w:tcPr>
            <w:tcW w:w="488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885"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Net income from discontinued operations,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12,716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342,629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11,324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02" w:type="dxa"/>
            <w:tcBorders>
              <w:bottom w:val="double" w:sz="6" w:space="0" w:color="000000"/>
            </w:tcBorders>
            <w:tcMar>
              <w:bottom w:w="28" w:type="dxa"/>
            </w:tcM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333,458</w:t>
            </w:r>
          </w:p>
        </w:tc>
      </w:tr>
    </w:tbl>
    <w:p>
      <w:pPr>
        <w:pStyle w:val="TextBody"/>
        <w:bidi w:val="0"/>
        <w:spacing w:before="0" w:after="240"/>
        <w:ind w:left="0" w:right="0" w:firstLine="720"/>
        <w:jc w:val="both"/>
        <w:rPr>
          <w:shd w:fill="FFFFFF" w:val="clear"/>
        </w:rPr>
      </w:pPr>
      <w:r>
        <w:rPr>
          <w:shd w:fill="FFFFFF" w:val="clear"/>
        </w:rPr>
        <w:t>​</w:t>
      </w:r>
    </w:p>
    <w:p>
      <w:pPr>
        <w:pStyle w:val="TextBody"/>
        <w:bidi w:val="0"/>
        <w:spacing w:before="0" w:after="240"/>
        <w:ind w:left="0" w:right="0" w:firstLine="490"/>
        <w:jc w:val="both"/>
        <w:rPr>
          <w:rFonts w:ascii="Helvetica;sans-serif" w:hAnsi="Helvetica;sans-serif"/>
          <w:color w:val="212529"/>
          <w:sz w:val="20"/>
          <w:shd w:fill="FFFFFF" w:val="clear"/>
        </w:rPr>
      </w:pPr>
      <w:r>
        <w:rPr>
          <w:rFonts w:ascii="Helvetica;sans-serif" w:hAnsi="Helvetica;sans-serif"/>
          <w:color w:val="212529"/>
          <w:sz w:val="20"/>
          <w:shd w:fill="FFFFFF" w:val="clear"/>
        </w:rPr>
        <w:t xml:space="preserve">Net revenue from discontinued operations by product was as follows: </w:t>
      </w:r>
    </w:p>
    <w:p>
      <w:pPr>
        <w:pStyle w:val="TextBody"/>
        <w:bidi w:val="0"/>
        <w:spacing w:before="0" w:after="0"/>
        <w:ind w:left="0" w:right="0" w:hanging="0"/>
        <w:jc w:val="left"/>
        <w:rPr/>
      </w:pPr>
      <w:r>
        <w:rPr/>
        <w:t>​</w:t>
      </w:r>
    </w:p>
    <w:tbl>
      <w:tblPr>
        <w:tblW w:w="9298" w:type="dxa"/>
        <w:jc w:val="left"/>
        <w:tblInd w:w="0" w:type="dxa"/>
        <w:tblLayout w:type="fixed"/>
        <w:tblCellMar>
          <w:top w:w="0" w:type="dxa"/>
          <w:left w:w="0" w:type="dxa"/>
          <w:bottom w:w="0" w:type="dxa"/>
          <w:right w:w="0" w:type="dxa"/>
        </w:tblCellMar>
      </w:tblPr>
      <w:tblGrid>
        <w:gridCol w:w="4201"/>
        <w:gridCol w:w="346"/>
        <w:gridCol w:w="211"/>
        <w:gridCol w:w="691"/>
        <w:gridCol w:w="346"/>
        <w:gridCol w:w="211"/>
        <w:gridCol w:w="691"/>
        <w:gridCol w:w="346"/>
        <w:gridCol w:w="211"/>
        <w:gridCol w:w="691"/>
        <w:gridCol w:w="346"/>
        <w:gridCol w:w="211"/>
        <w:gridCol w:w="79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667635" cy="175260"/>
                      <wp:effectExtent l="0" t="0" r="0" b="0"/>
                      <wp:wrapNone/>
                      <wp:docPr id="204" name="Frame204"/>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38785" cy="175260"/>
                      <wp:effectExtent l="0" t="0" r="0" b="0"/>
                      <wp:wrapNone/>
                      <wp:docPr id="207"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8785" cy="175260"/>
                      <wp:effectExtent l="0" t="0" r="0" b="0"/>
                      <wp:wrapNone/>
                      <wp:docPr id="210" name="Frame2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38785" cy="175260"/>
                      <wp:effectExtent l="0" t="0" r="0" b="0"/>
                      <wp:wrapNone/>
                      <wp:docPr id="213" name="Frame2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05460" cy="175260"/>
                      <wp:effectExtent l="0" t="0" r="0" b="0"/>
                      <wp:wrapNone/>
                      <wp:docPr id="216" name="Frame2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55"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r>
      <w:tr>
        <w:trPr/>
        <w:tc>
          <w:tcPr>
            <w:tcW w:w="4201"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r>
      <w:tr>
        <w:trPr/>
        <w:tc>
          <w:tcPr>
            <w:tcW w:w="420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UDENYCA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11,441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23,190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10,594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9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54,652</w:t>
            </w:r>
          </w:p>
        </w:tc>
      </w:tr>
      <w:tr>
        <w:trPr/>
        <w:tc>
          <w:tcPr>
            <w:tcW w:w="420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CIMERLI</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1,383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(96)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1,329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533</w:t>
            </w:r>
          </w:p>
        </w:tc>
      </w:tr>
      <w:tr>
        <w:trPr/>
        <w:tc>
          <w:tcPr>
            <w:tcW w:w="420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YUSIMRY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43</w:t>
            </w:r>
          </w:p>
        </w:tc>
      </w:tr>
      <w:tr>
        <w:trPr/>
        <w:tc>
          <w:tcPr>
            <w:tcW w:w="420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Total net revenue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12,824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23,094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11,925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55,228</w:t>
            </w:r>
          </w:p>
        </w:tc>
      </w:tr>
    </w:tbl>
    <w:p>
      <w:pPr>
        <w:pStyle w:val="TextBody"/>
        <w:bidi w:val="0"/>
        <w:spacing w:before="0" w:after="240"/>
        <w:ind w:left="0" w:right="0" w:firstLine="490"/>
        <w:jc w:val="both"/>
        <w:rPr>
          <w:color w:val="212529"/>
          <w:shd w:fill="FFFFFF" w:val="clear"/>
        </w:rPr>
      </w:pPr>
      <w:r>
        <w:rPr>
          <w:color w:val="212529"/>
          <w:shd w:fill="FFFFFF" w:val="clear"/>
        </w:rPr>
        <w:t>​</w:t>
      </w:r>
    </w:p>
    <w:p>
      <w:pPr>
        <w:pStyle w:val="TextBody"/>
        <w:bidi w:val="0"/>
        <w:spacing w:before="0" w:after="120"/>
        <w:ind w:left="0" w:right="0" w:firstLine="490"/>
        <w:jc w:val="both"/>
        <w:rPr>
          <w:rFonts w:ascii="Helvetica;sans-serif" w:hAnsi="Helvetica;sans-serif"/>
          <w:sz w:val="20"/>
          <w:shd w:fill="FFFFFF" w:val="clear"/>
        </w:rPr>
      </w:pPr>
      <w:r>
        <w:rPr>
          <w:rFonts w:ascii="Helvetica;sans-serif" w:hAnsi="Helvetica;sans-serif"/>
          <w:sz w:val="20"/>
          <w:shd w:fill="FFFFFF" w:val="clear"/>
        </w:rPr>
        <w:t>For the three and six months ended June 30, 2026, net revenue was primarily driven by favorable adjustments to prior period estimates.</w:t>
      </w:r>
    </w:p>
    <w:p>
      <w:pPr>
        <w:pStyle w:val="TextBody"/>
        <w:bidi w:val="0"/>
        <w:spacing w:before="0" w:after="120"/>
        <w:ind w:left="0" w:right="0" w:firstLine="490"/>
        <w:jc w:val="both"/>
        <w:rPr>
          <w:rFonts w:ascii="Helvetica;sans-serif" w:hAnsi="Helvetica;sans-serif"/>
          <w:sz w:val="20"/>
          <w:shd w:fill="FFFFFF" w:val="clear"/>
        </w:rPr>
      </w:pPr>
      <w:r>
        <w:rPr>
          <w:rFonts w:ascii="Helvetica;sans-serif" w:hAnsi="Helvetica;sans-serif"/>
          <w:sz w:val="20"/>
          <w:shd w:fill="FFFFFF" w:val="clear"/>
        </w:rPr>
        <w:t xml:space="preserve">Assets of discontinued operations were entirely derecognized as of April 11, 2025. </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The following table presents the balance sheet classifications of assets and liabilities that were related to the Company’s divested biosimilar businesses but did not transfer to any of the buyers in the Sale Transactions, and thus were not classified as discontinued operations:</w:t>
      </w:r>
    </w:p>
    <w:p>
      <w:pPr>
        <w:pStyle w:val="TextBody"/>
        <w:bidi w:val="0"/>
        <w:spacing w:before="0" w:after="0"/>
        <w:ind w:left="0" w:right="0" w:hanging="0"/>
        <w:jc w:val="left"/>
        <w:rPr/>
      </w:pPr>
      <w:r>
        <w:rPr/>
        <w:t>​</w:t>
      </w:r>
    </w:p>
    <w:tbl>
      <w:tblPr>
        <w:tblW w:w="6095" w:type="dxa"/>
        <w:jc w:val="left"/>
        <w:tblInd w:w="0" w:type="dxa"/>
        <w:tblLayout w:type="fixed"/>
        <w:tblCellMar>
          <w:top w:w="0" w:type="dxa"/>
          <w:left w:w="0" w:type="dxa"/>
          <w:bottom w:w="0" w:type="dxa"/>
          <w:right w:w="0" w:type="dxa"/>
        </w:tblCellMar>
      </w:tblPr>
      <w:tblGrid>
        <w:gridCol w:w="3226"/>
        <w:gridCol w:w="346"/>
        <w:gridCol w:w="211"/>
        <w:gridCol w:w="706"/>
        <w:gridCol w:w="346"/>
        <w:gridCol w:w="263"/>
        <w:gridCol w:w="997"/>
      </w:tblGrid>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48310" cy="175260"/>
                      <wp:effectExtent l="0" t="0" r="0" b="0"/>
                      <wp:wrapNone/>
                      <wp:docPr id="219" name="Frame21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7005" cy="175260"/>
                      <wp:effectExtent l="0" t="0" r="0" b="0"/>
                      <wp:wrapNone/>
                      <wp:docPr id="221" name="Frame22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33095" cy="175260"/>
                      <wp:effectExtent l="0" t="0" r="0" b="0"/>
                      <wp:wrapNone/>
                      <wp:docPr id="222" name="Frame222"/>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w:t>
            </w:r>
          </w:p>
        </w:tc>
      </w:tr>
      <w:tr>
        <w:trPr/>
        <w:tc>
          <w:tcPr>
            <w:tcW w:w="32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32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pPr>
            <w:r>
              <w:rPr/>
              <w:t>​</w:t>
            </w:r>
          </w:p>
        </w:tc>
      </w:tr>
      <w:tr>
        <w:trPr/>
        <w:tc>
          <w:tcPr>
            <w:tcW w:w="3226" w:type="dxa"/>
            <w:tcBorders/>
            <w:shd w:fill="CCEEFF" w:val="clear"/>
            <w:vAlign w:val="center"/>
          </w:tcPr>
          <w:p>
            <w:pPr>
              <w:pStyle w:val="TableContents"/>
              <w:bidi w:val="0"/>
              <w:spacing w:lineRule="auto" w:line="240" w:before="0" w:after="0"/>
              <w:ind w:left="0" w:right="0" w:hanging="0"/>
              <w:jc w:val="left"/>
              <w:rPr>
                <w:rFonts w:ascii="Helvetica;sans-serif" w:hAnsi="Helvetica;sans-serif"/>
                <w:sz w:val="20"/>
              </w:rPr>
            </w:pPr>
            <w:r>
              <w:rPr>
                <w:rFonts w:ascii="Helvetica;sans-serif" w:hAnsi="Helvetica;sans-serif"/>
                <w:sz w:val="20"/>
              </w:rPr>
              <w:t xml:space="preserve">Trade receivables, net </w:t>
            </w:r>
            <w:r>
              <w:rPr>
                <w:rFonts w:ascii="Helvetica;sans-serif" w:hAnsi="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0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(1,611)</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97"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(3,199)</w:t>
            </w:r>
          </w:p>
        </w:tc>
      </w:tr>
      <w:tr>
        <w:trPr/>
        <w:tc>
          <w:tcPr>
            <w:tcW w:w="32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Accrued rebates, fees and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0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12,118</w:t>
            </w:r>
          </w:p>
        </w:tc>
        <w:tc>
          <w:tcPr>
            <w:tcW w:w="346" w:type="dxa"/>
            <w:tcBorders/>
            <w:shd w:fill="CCEEFF" w:val="clear"/>
            <w:vAlign w:val="center"/>
          </w:tcPr>
          <w:p>
            <w:pPr>
              <w:pStyle w:val="TableContents"/>
              <w:bidi w:val="0"/>
              <w:spacing w:lineRule="auto" w:line="240" w:before="0" w:after="0"/>
              <w:ind w:left="0" w:right="0" w:hanging="0"/>
              <w:jc w:val="left"/>
              <w:rPr>
                <w:rFonts w:ascii="Helvetica;sans-serif" w:hAnsi="Helvetica;sans-serif"/>
                <w:sz w:val="15"/>
              </w:rPr>
            </w:pPr>
            <w:r>
              <w:rPr>
                <w:rFonts w:ascii="Helvetica;sans-serif" w:hAnsi="Helvetica;sans-serif"/>
                <w:sz w:val="15"/>
              </w:rPr>
              <w:t>(2)</w:t>
            </w:r>
          </w:p>
        </w:tc>
        <w:tc>
          <w:tcPr>
            <w:tcW w:w="26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97" w:type="dxa"/>
            <w:tcBorders/>
            <w:shd w:fill="CCEEFF" w:val="cle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27,781</w:t>
            </w:r>
          </w:p>
        </w:tc>
      </w:tr>
    </w:tbl>
    <w:tbl>
      <w:tblPr>
        <w:tblW w:w="7652" w:type="dxa"/>
        <w:jc w:val="left"/>
        <w:tblInd w:w="0" w:type="dxa"/>
        <w:shd w:fill="FFFFFF" w:val="clear"/>
        <w:tblLayout w:type="fixed"/>
        <w:tblCellMar>
          <w:top w:w="0" w:type="dxa"/>
          <w:left w:w="0" w:type="dxa"/>
          <w:bottom w:w="0" w:type="dxa"/>
          <w:right w:w="0" w:type="dxa"/>
        </w:tblCellMar>
      </w:tblPr>
      <w:tblGrid>
        <w:gridCol w:w="331"/>
        <w:gridCol w:w="7321"/>
      </w:tblGrid>
      <w:tr>
        <w:trPr/>
        <w:tc>
          <w:tcPr>
            <w:tcW w:w="331" w:type="dxa"/>
            <w:tcBorders/>
            <w:shd w:fill="FFFFFF" w:val="clear"/>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7321"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Chargebacks and discounts for prompt payment are classified as a reduction in trade receivables. </w:t>
            </w:r>
          </w:p>
        </w:tc>
      </w:tr>
    </w:tbl>
    <w:tbl>
      <w:tblPr>
        <w:tblW w:w="8252" w:type="dxa"/>
        <w:jc w:val="left"/>
        <w:tblInd w:w="0" w:type="dxa"/>
        <w:shd w:fill="FFFFFF" w:val="clear"/>
        <w:tblLayout w:type="fixed"/>
        <w:tblCellMar>
          <w:top w:w="0" w:type="dxa"/>
          <w:left w:w="0" w:type="dxa"/>
          <w:bottom w:w="0" w:type="dxa"/>
          <w:right w:w="0" w:type="dxa"/>
        </w:tblCellMar>
      </w:tblPr>
      <w:tblGrid>
        <w:gridCol w:w="331"/>
        <w:gridCol w:w="7921"/>
      </w:tblGrid>
      <w:tr>
        <w:trPr/>
        <w:tc>
          <w:tcPr>
            <w:tcW w:w="331" w:type="dxa"/>
            <w:tcBorders/>
            <w:shd w:fill="FFFFFF" w:val="clear"/>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7921"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This balance is expected to be settled in a front-weighted fashion over the remainder of 2026 and into 2027.</w:t>
            </w:r>
          </w:p>
        </w:tc>
      </w:tr>
    </w:tbl>
    <w:p>
      <w:pPr>
        <w:pStyle w:val="TextBody"/>
        <w:bidi w:val="0"/>
        <w:spacing w:before="0" w:after="240"/>
        <w:ind w:left="0" w:right="0" w:firstLine="49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Cash flows from continuing operations and discontinued operations have been presented together in the condensed consolidated statement of cash flows. During the six months ended June 30, 2026, operating cash flows from discontinued operations primarily reflected $42.2 million of payments for TSA related operating assets and liabilities, net</w:t>
      </w:r>
      <w:r>
        <w:rPr>
          <w:rFonts w:ascii="Helvetica;sans-serif" w:hAnsi="Helvetica;sans-serif"/>
          <w:sz w:val="20"/>
        </w:rPr>
        <w:t xml:space="preserve">. During the six months ended June 30, 2025, operating cash flows of discontinued operations were primarily related to the following adjustments to arrive at operating cash flows: the net gain on UDENYCA Sale of $339.1 million, partially offset by the $11.8 million change in fair value for the UDENYCA portion of the Royalty Fee Derivative Liability and a loss on debt extinguishment of $10.3 million.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 xml:space="preserve">In connection with the Sale Transactions, the Company entered into separate TSAs with each of the buyers pursuant to which the Company has been providing certain business support services which have included billings, collections, and the remittance of rebates to ensure business continuity for patients and customers for specified periods. Under each of the TSAs, the Company is entitled to be reimbursed for its costs. Such reimbursements were nominal for the three and six months ended June 30, 2026, </w:t>
      </w:r>
      <w:r>
        <w:rPr>
          <w:rFonts w:ascii="Helvetica;sans-serif" w:hAnsi="Helvetica;sans-serif"/>
          <w:sz w:val="20"/>
        </w:rPr>
        <w:t>and $1.7 million and $1.8 million for the three and six months ended June 30, 2025, respectively, and were recorded as a reduction to operating expenses or in other income (expense), net in the condensed consolidated statements of operations based on the nature of the payment.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7.       Collaborations and Other Arrangements</w:t>
      </w:r>
    </w:p>
    <w:p>
      <w:pPr>
        <w:pStyle w:val="TextBody"/>
        <w:bidi w:val="0"/>
        <w:spacing w:before="240" w:after="0"/>
        <w:ind w:left="0" w:right="0" w:hanging="0"/>
        <w:jc w:val="both"/>
        <w:rPr>
          <w:rFonts w:ascii="Helvetica;sans-serif" w:hAnsi="Helvetica;sans-serif"/>
          <w:i/>
          <w:sz w:val="20"/>
        </w:rPr>
      </w:pPr>
      <w:r>
        <w:rPr>
          <w:rFonts w:ascii="Helvetica;sans-serif" w:hAnsi="Helvetica;sans-serif"/>
          <w:i/>
          <w:sz w:val="20"/>
        </w:rPr>
        <w:t>In-Licensing Agreement</w:t>
      </w:r>
    </w:p>
    <w:p>
      <w:pPr>
        <w:pStyle w:val="TextBody"/>
        <w:bidi w:val="0"/>
        <w:spacing w:before="240" w:after="0"/>
        <w:ind w:left="0" w:right="0" w:hanging="0"/>
        <w:jc w:val="both"/>
        <w:rPr>
          <w:rFonts w:ascii="Helvetica;sans-serif" w:hAnsi="Helvetica;sans-serif"/>
          <w:b/>
          <w:sz w:val="20"/>
        </w:rPr>
      </w:pPr>
      <w:r>
        <w:rPr>
          <w:rFonts w:ascii="Helvetica;sans-serif" w:hAnsi="Helvetica;sans-serif"/>
          <w:b/>
          <w:sz w:val="20"/>
        </w:rPr>
        <w:t>Junshi Biosciences</w:t>
      </w:r>
    </w:p>
    <w:p>
      <w:pPr>
        <w:pStyle w:val="TextBody"/>
        <w:bidi w:val="0"/>
        <w:spacing w:before="240" w:after="0"/>
        <w:ind w:left="0" w:right="0" w:firstLine="490"/>
        <w:jc w:val="both"/>
        <w:rPr>
          <w:rFonts w:ascii="Helvetica;sans-serif" w:hAnsi="Helvetica;sans-serif"/>
          <w:sz w:val="20"/>
        </w:rPr>
      </w:pPr>
      <w:r>
        <w:rPr>
          <w:rFonts w:ascii="Helvetica;sans-serif" w:hAnsi="Helvetica;sans-serif"/>
          <w:sz w:val="20"/>
        </w:rPr>
        <w:t>On February 1, 2021, we entered into the Collaboration Agreement with Junshi Biosciences Co., Ltd. (“Junshi Biosciences”) for the co-development and commercialization of toripalimab, Junshi Biosciences’ anti-PD-1 antibody in the United States and Canada (the “Collaboration Agreement”).</w:t>
      </w:r>
    </w:p>
    <w:p>
      <w:pPr>
        <w:pStyle w:val="TextBody"/>
        <w:bidi w:val="0"/>
        <w:spacing w:before="240" w:after="0"/>
        <w:ind w:left="0" w:right="0" w:firstLine="490"/>
        <w:jc w:val="both"/>
        <w:rPr>
          <w:rFonts w:ascii="Helvetica;sans-serif" w:hAnsi="Helvetica;sans-serif"/>
          <w:sz w:val="20"/>
        </w:rPr>
      </w:pPr>
      <w:r>
        <w:rPr>
          <w:rFonts w:ascii="Helvetica;sans-serif" w:hAnsi="Helvetica;sans-serif"/>
          <w:sz w:val="20"/>
        </w:rPr>
        <w:t xml:space="preserve">The research and development expense recognized for obligations to </w:t>
      </w:r>
      <w:r>
        <w:rPr>
          <w:rFonts w:ascii="Helvetica;sans-serif" w:hAnsi="Helvetica;sans-serif"/>
          <w:sz w:val="20"/>
          <w:shd w:fill="FFFFFF" w:val="clear"/>
        </w:rPr>
        <w:t xml:space="preserve">Junshi Biosciences </w:t>
      </w:r>
      <w:r>
        <w:rPr>
          <w:rFonts w:ascii="Helvetica;sans-serif" w:hAnsi="Helvetica;sans-serif"/>
          <w:sz w:val="20"/>
        </w:rPr>
        <w:t>for the three and six months ended June 30, 2026 and 2025, was nominal. The accrued royalty obligation to Junshi Biosciences was $2.7 million and $4.7 million as of June 30, 2026 and December 31, 2025, respectively. The additional milestone payments, option fee for IL-2 cytokine, and royalties are contingent upon future events and, therefore, will be recorded if and when it becomes probable that a milestone will be achieved, or when an option fee or royalties are contractually payable.</w:t>
      </w:r>
    </w:p>
    <w:p>
      <w:pPr>
        <w:pStyle w:val="TextBody"/>
        <w:bidi w:val="0"/>
        <w:spacing w:before="240" w:after="0"/>
        <w:ind w:left="0" w:right="0" w:hanging="0"/>
        <w:jc w:val="both"/>
        <w:rPr>
          <w:rFonts w:ascii="Helvetica;sans-serif" w:hAnsi="Helvetica;sans-serif"/>
          <w:b/>
          <w:sz w:val="20"/>
        </w:rPr>
      </w:pPr>
      <w:r>
        <w:rPr>
          <w:rFonts w:ascii="Helvetica;sans-serif" w:hAnsi="Helvetica;sans-serif"/>
          <w:b/>
          <w:sz w:val="20"/>
        </w:rPr>
        <w:t>Apotex</w:t>
      </w:r>
    </w:p>
    <w:p>
      <w:pPr>
        <w:pStyle w:val="TextBody"/>
        <w:bidi w:val="0"/>
        <w:spacing w:before="240" w:after="0"/>
        <w:ind w:left="0" w:right="0" w:firstLine="490"/>
        <w:jc w:val="both"/>
        <w:rPr>
          <w:rFonts w:ascii="Helvetica;sans-serif" w:hAnsi="Helvetica;sans-serif"/>
          <w:sz w:val="18"/>
        </w:rPr>
      </w:pPr>
      <w:r>
        <w:rPr>
          <w:rFonts w:ascii="Helvetica;sans-serif" w:hAnsi="Helvetica;sans-serif"/>
          <w:sz w:val="20"/>
          <w:shd w:fill="FFFFFF" w:val="clear"/>
        </w:rPr>
        <w:t xml:space="preserve">On June 27, 2024, the Company entered into </w:t>
      </w:r>
      <w:r>
        <w:rPr>
          <w:rFonts w:ascii="Segoe UI" w:hAnsi="Segoe UI"/>
          <w:sz w:val="18"/>
        </w:rPr>
        <w:t>a license Agreement with Apotex, Inc. (“Apotex”)</w:t>
      </w:r>
      <w:r>
        <w:rPr>
          <w:rFonts w:ascii="Helvetica;sans-serif" w:hAnsi="Helvetica;sans-serif"/>
          <w:sz w:val="20"/>
          <w:shd w:fill="FFFFFF" w:val="clear"/>
        </w:rPr>
        <w:t xml:space="preserve">, pursuant to which the Company granted to Apotex an exclusive license under the Company’s rights to toripalimab to commercialize toripalimab within Canada </w:t>
      </w:r>
      <w:r>
        <w:rPr>
          <w:rFonts w:ascii="Segoe UI" w:hAnsi="Segoe UI"/>
          <w:sz w:val="18"/>
        </w:rPr>
        <w:t>(“Canada License Agreement”)</w:t>
      </w:r>
      <w:r>
        <w:rPr>
          <w:rFonts w:ascii="Helvetica;sans-serif" w:hAnsi="Helvetica;sans-serif"/>
          <w:sz w:val="20"/>
          <w:shd w:fill="FFFFFF" w:val="clear"/>
        </w:rPr>
        <w:t>. Pursuant to the Canada License Agreement, Apotex paid the Company an upfront payment of $6.3</w:t>
      </w:r>
      <w:r>
        <w:rPr>
          <w:rFonts w:ascii="Helvetica;sans-serif" w:hAnsi="Helvetica;sans-serif"/>
          <w:sz w:val="18"/>
          <w:shd w:fill="FFFFFF" w:val="clear"/>
        </w:rPr>
        <w:t> </w:t>
      </w:r>
      <w:r>
        <w:rPr>
          <w:rFonts w:ascii="Helvetica;sans-serif" w:hAnsi="Helvetica;sans-serif"/>
          <w:sz w:val="20"/>
          <w:shd w:fill="FFFFFF" w:val="clear"/>
        </w:rPr>
        <w:t>million United States Dollars in 2024. In addition, Apotex agreed to pay the Company up to an aggregate of $51.5</w:t>
      </w:r>
      <w:r>
        <w:rPr>
          <w:rFonts w:ascii="Helvetica;sans-serif" w:hAnsi="Helvetica;sans-serif"/>
          <w:sz w:val="18"/>
          <w:shd w:fill="FFFFFF" w:val="clear"/>
        </w:rPr>
        <w:t> </w:t>
      </w:r>
      <w:r>
        <w:rPr>
          <w:rFonts w:ascii="Helvetica;sans-serif" w:hAnsi="Helvetica;sans-serif"/>
          <w:sz w:val="20"/>
          <w:shd w:fill="FFFFFF" w:val="clear"/>
        </w:rPr>
        <w:t>million Canadian Dollars in milestone payments in connection with the achievement of certain regulatory and sales milestones with respect to toripalimab in Canada. Apotex also agreed to pay the Company a low twenty</w:t>
      </w:r>
      <w:r>
        <w:rPr>
          <w:rFonts w:ascii="Helvetica;sans-serif" w:hAnsi="Helvetica;sans-serif"/>
          <w:sz w:val="18"/>
          <w:shd w:fill="FFFFFF" w:val="clear"/>
        </w:rPr>
        <w:t xml:space="preserve"> </w:t>
      </w:r>
      <w:r>
        <w:rPr>
          <w:rFonts w:ascii="Helvetica;sans-serif" w:hAnsi="Helvetica;sans-serif"/>
          <w:sz w:val="20"/>
          <w:shd w:fill="FFFFFF" w:val="clear"/>
        </w:rPr>
        <w:t>percent range royalty on future net sales of toripalimab in Canada, which the Company subsequently pays through to Junshi Biosciences pursuant to the Collaboration Agreement. Accordingly, because the Company acts as an agent, these transactions are recognized on a net basis in the Company’s condensed consolidated statements of operations. Net sales in Canada are also included in calculating sales milestones payable by the Company to Junshi Biosciences under the Collaboration Agreement, although any actual milestone payments received from Apotex are retained by the Company.</w:t>
      </w:r>
    </w:p>
    <w:p>
      <w:pPr>
        <w:pStyle w:val="TextBody"/>
        <w:bidi w:val="0"/>
        <w:spacing w:before="240" w:after="0"/>
        <w:ind w:left="0" w:right="0" w:firstLine="490"/>
        <w:jc w:val="both"/>
        <w:rPr>
          <w:rFonts w:ascii="Helvetica;sans-serif" w:hAnsi="Helvetica;sans-serif"/>
          <w:sz w:val="20"/>
        </w:rPr>
      </w:pPr>
      <w:r>
        <w:rPr>
          <w:rFonts w:ascii="Helvetica;sans-serif" w:hAnsi="Helvetica;sans-serif"/>
          <w:sz w:val="20"/>
          <w:shd w:fill="FFFFFF" w:val="clear"/>
        </w:rPr>
        <w:t xml:space="preserve">Apotex received Health Canada approval for LOQTORZI for the treatment of recurrent unresectable or metastatic nasopharyngeal cancer in October 2025. </w:t>
      </w:r>
      <w:r>
        <w:rPr>
          <w:rFonts w:ascii="Helvetica;sans-serif" w:hAnsi="Helvetica;sans-serif"/>
          <w:sz w:val="20"/>
        </w:rPr>
        <w:t xml:space="preserve">The Canada License Agreement continues until the tenth anniversary of the first commercial sale of toripalimab in Canada, which occurred in January 2026, and is subject to a </w:t>
      </w:r>
      <w:r>
        <w:rPr>
          <w:rFonts w:ascii="Helvetica;sans-serif" w:hAnsi="Helvetica;sans-serif"/>
          <w:sz w:val="20"/>
          <w:shd w:fill="FFFFFF" w:val="clear"/>
        </w:rPr>
        <w:t>ten-year</w:t>
      </w:r>
      <w:r>
        <w:rPr>
          <w:rFonts w:ascii="Helvetica;sans-serif" w:hAnsi="Helvetica;sans-serif"/>
          <w:sz w:val="20"/>
        </w:rPr>
        <w:t xml:space="preserve"> extension at the option of Apotex. Apotex may terminate the </w:t>
      </w:r>
      <w:r>
        <w:rPr>
          <w:rFonts w:ascii="Helvetica;sans-serif" w:hAnsi="Helvetica;sans-serif"/>
          <w:sz w:val="20"/>
          <w:shd w:fill="FFFFFF" w:val="clear"/>
        </w:rPr>
        <w:t xml:space="preserve">Canada License Agreement </w:t>
      </w:r>
      <w:r>
        <w:rPr>
          <w:rFonts w:ascii="Helvetica;sans-serif" w:hAnsi="Helvetica;sans-serif"/>
          <w:sz w:val="20"/>
        </w:rPr>
        <w:t xml:space="preserve">for convenience following a specified notice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Helvetica;sans-serif" w:hAnsi="Helvetica;sans-serif"/>
          <w:sz w:val="20"/>
        </w:rPr>
      </w:pPr>
      <w:r>
        <w:rPr>
          <w:rFonts w:ascii="Helvetica;sans-serif" w:hAnsi="Helvetica;sans-serif"/>
          <w:sz w:val="20"/>
        </w:rPr>
        <w:t>period. The agreement terminates automatically upon the termination of the underlying Collaboration Agreement, an uncured material breach, certain patent challenges by Apotex, or specific insolvency events.</w:t>
      </w:r>
    </w:p>
    <w:p>
      <w:pPr>
        <w:pStyle w:val="TextBody"/>
        <w:pBdr/>
        <w:shd w:fill="FFFFFF" w:val="clear"/>
        <w:bidi w:val="0"/>
        <w:spacing w:before="0" w:after="0"/>
        <w:ind w:left="0" w:right="0" w:hanging="0"/>
        <w:jc w:val="both"/>
        <w:rPr>
          <w:rFonts w:ascii="Helvetica;sans-serif" w:hAnsi="Helvetica;sans-serif"/>
          <w:b/>
          <w:sz w:val="20"/>
        </w:rPr>
      </w:pPr>
      <w:r>
        <w:rPr>
          <w:rFonts w:ascii="Helvetica;sans-serif" w:hAnsi="Helvetica;sans-serif"/>
          <w:b/>
          <w:sz w:val="20"/>
        </w:rPr>
        <w:t>Vaccinex License Agreement</w:t>
      </w:r>
    </w:p>
    <w:p>
      <w:pPr>
        <w:pStyle w:val="TextBody"/>
        <w:pBdr/>
        <w:shd w:fill="FFFFFF" w:val="clear"/>
        <w:bidi w:val="0"/>
        <w:spacing w:before="0" w:after="0"/>
        <w:ind w:left="0" w:right="0" w:firstLine="720"/>
        <w:jc w:val="both"/>
        <w:rPr>
          <w:rFonts w:ascii="Helvetica;sans-serif" w:hAnsi="Helvetica;sans-serif"/>
          <w:sz w:val="20"/>
        </w:rPr>
      </w:pPr>
      <w:r>
        <w:rPr>
          <w:rFonts w:ascii="Helvetica;sans-serif" w:hAnsi="Helvetica;sans-serif"/>
          <w:sz w:val="20"/>
        </w:rPr>
        <w:t>On March 23, 2021, Surface and Vaccinex entered into the Vaccinex License Agreement which provides the Company a worldwide, exclusive, sublicensable license to make, have made, use, sell, offer to sell, have sold, import, and otherwise exploit Vaccinex Licensed Products, including the antibody tagmokitug, targeting CCR8. Under the Vaccinex License Agreement, the Company is obligated to use commercially reasonable efforts to develop, clinically test, achieve regulatory approval, manufacture, market and commercialize at least one Vaccinex Licensed Product.</w:t>
      </w:r>
    </w:p>
    <w:p>
      <w:pPr>
        <w:pStyle w:val="TextBody"/>
        <w:shd w:fill="FFFFFF" w:val="clear"/>
        <w:bidi w:val="0"/>
        <w:spacing w:before="0" w:after="240"/>
        <w:ind w:left="0" w:right="0" w:firstLine="720"/>
        <w:jc w:val="both"/>
        <w:rPr>
          <w:rFonts w:ascii="Helvetica;sans-serif" w:hAnsi="Helvetica;sans-serif"/>
          <w:sz w:val="20"/>
        </w:rPr>
      </w:pPr>
      <w:r>
        <w:rPr>
          <w:rFonts w:ascii="Helvetica;sans-serif" w:hAnsi="Helvetica;sans-serif"/>
          <w:sz w:val="20"/>
        </w:rPr>
        <w:t xml:space="preserve">The Company is responsible for all costs and expenses to the development, manufacturing and commercialization of Vaccinex Licensed Products. Vaccinex is eligible to receive up to $2.0 million in remaining clinical milestone payments (excluding the $1.0 million milestone that was accrued as of December 31, 2025), and up to $11.5 million in regulatory milestones per Vaccinex Licensed Product, and low single-digit royalties on global net sales of any approved licensed products. </w:t>
      </w:r>
    </w:p>
    <w:p>
      <w:pPr>
        <w:pStyle w:val="TextBody"/>
        <w:bidi w:val="0"/>
        <w:spacing w:before="240" w:after="0"/>
        <w:ind w:left="0" w:right="0" w:firstLine="490"/>
        <w:jc w:val="both"/>
        <w:rPr>
          <w:rFonts w:ascii="Helvetica;sans-serif" w:hAnsi="Helvetica;sans-serif"/>
          <w:sz w:val="20"/>
        </w:rPr>
      </w:pPr>
      <w:r>
        <w:rPr>
          <w:rFonts w:ascii="Helvetica;sans-serif" w:hAnsi="Helvetica;sans-serif"/>
          <w:sz w:val="20"/>
        </w:rPr>
        <w:t>During the quarter ended March 31, 2026, the Company paid a $1.0 million milestone payment to Vaccinex related to the achievement of a clinical milestone. Any additional milestone payments and royalties under the Vaccinex License Agreement are contingent upon the achievement of future development, regulatory, or commercial events and will be recorded if and when it becomes probable that a milestone will be achieved, or when royalties are contractually payable.</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Helvetica;sans-serif" w:hAnsi="Helvetica;sans-serif"/>
          <w:b/>
          <w:sz w:val="20"/>
        </w:rPr>
      </w:pPr>
      <w:r>
        <w:rPr>
          <w:rFonts w:ascii="Helvetica;sans-serif" w:hAnsi="Helvetica;sans-serif"/>
          <w:b/>
          <w:sz w:val="20"/>
        </w:rPr>
        <w:t>Janssen Agreement</w:t>
      </w:r>
    </w:p>
    <w:p>
      <w:pPr>
        <w:pStyle w:val="TextBody"/>
        <w:bidi w:val="0"/>
        <w:spacing w:before="0" w:after="240"/>
        <w:ind w:left="0" w:right="0" w:firstLine="556"/>
        <w:jc w:val="both"/>
        <w:rPr>
          <w:rFonts w:ascii="Helvetica;sans-serif" w:hAnsi="Helvetica;sans-serif"/>
          <w:sz w:val="20"/>
        </w:rPr>
      </w:pPr>
      <w:r>
        <w:rPr>
          <w:rFonts w:ascii="Helvetica;sans-serif" w:hAnsi="Helvetica;sans-serif"/>
          <w:sz w:val="20"/>
        </w:rPr>
        <w:t>On February 4, 2026, the Company announced a clinical supply agreement with Janssen Research &amp; Development, LLC (“Janssen”), to evaluate tagmokitug in combination with pasritamig, a T-cell engaging bispecific antibody, in a Phase 1b clinical study in patients with metastatic castration-resistant prostate cancer (“mCRPC”). Under the terms of the clinical supply agreement, Janssen will provide pasritamig to the Company, and the Company will be the sponsor of the Phase 1b clinical trial. Janssen and the Company each retain all commercial rights to their respective compounds, including as monotherapy or as combination treatments. The pasritamig combination study is expected to initiate in the fall of 2026.</w:t>
      </w:r>
    </w:p>
    <w:p>
      <w:pPr>
        <w:pStyle w:val="TextBody"/>
        <w:bidi w:val="0"/>
        <w:spacing w:lineRule="atLeast" w:line="142" w:before="0" w:after="240"/>
        <w:ind w:left="0" w:right="0" w:hanging="0"/>
        <w:jc w:val="left"/>
        <w:rPr/>
      </w:pPr>
      <w:bookmarkStart w:id="1072" w:name="Tc_1UNkSKEjO0aPmP-G5HXdZw_10_14"/>
      <w:bookmarkStart w:id="1073" w:name="Tc_IwqVoPJnckKED9_j9uHdtg_10_11"/>
      <w:bookmarkStart w:id="1074" w:name="Tc_qof8HYHFVUm9rXynuRbjOA_10_8"/>
      <w:bookmarkStart w:id="1075" w:name="Tc_WU2MT2KJ1EmfPlba6K378Q_10_6"/>
      <w:bookmarkStart w:id="1076" w:name="Tc_BJOXxiRM60SrcTQ89Eqy5g_10_5"/>
      <w:bookmarkStart w:id="1077" w:name="Tc_qfVqtpvK3E-xgJ5oD8EDTw_10_2"/>
      <w:bookmarkStart w:id="1078" w:name="Tc_36EN_5ke9U6H7wQDSTZAWg_10_0"/>
      <w:bookmarkStart w:id="1079" w:name="Tc_9T6hVz38Y0ipQJZJ9SGg6w_9_14"/>
      <w:bookmarkStart w:id="1080" w:name="Tc_gPnD5MLulkeoRMHjVNs-EA_9_11"/>
      <w:bookmarkStart w:id="1081" w:name="Tc_o-merqQQ3Ee84xuptptwYQ_9_8"/>
      <w:bookmarkStart w:id="1082" w:name="Tc_91cA-E9nfU20JA3MPArVBw_9_5"/>
      <w:bookmarkStart w:id="1083" w:name="Tc_EqawTY5ivUirGedo88xKvQ_9_2"/>
      <w:bookmarkStart w:id="1084" w:name="Tc_xSsKlUTAzEWpymc2hbaSFw_9_0"/>
      <w:bookmarkStart w:id="1085" w:name="Tc_9_5LxzBV4kyY67JgT2bqhg_8_0"/>
      <w:bookmarkStart w:id="1086" w:name="Tc_Lu2LoT2560uuNBuByGzfGA_7_14"/>
      <w:bookmarkStart w:id="1087" w:name="Tc_7iusqfp5GkyFccaXglbOfw_7_11"/>
      <w:bookmarkStart w:id="1088" w:name="Tc_aUv5F-AIdEuKsKd5B-KrJA_7_8"/>
      <w:bookmarkStart w:id="1089" w:name="Tc_NIrPFZr3gUOXau-X2ItVhQ_7_5"/>
      <w:bookmarkStart w:id="1090" w:name="Tc_EA1CJb_H6kKW6WsLyJf3Nw_7_2"/>
      <w:bookmarkStart w:id="1091" w:name="Tc_koISP8iEfkq40_eurk9-tw_7_0"/>
      <w:bookmarkStart w:id="1092" w:name="Tc_L09LLdMDv0abIA-KfYltKg_6_2"/>
      <w:bookmarkStart w:id="1093" w:name="Tc__Cxzm8GajE6w8WcjpxqzHg_4_14"/>
      <w:bookmarkStart w:id="1094" w:name="Tc_39Ea3C4VtE6NlmgWrdx0GA_4_11"/>
      <w:bookmarkStart w:id="1095" w:name="Tc_pakwBwiWvk6UFqk1Afliqw_4_8"/>
      <w:bookmarkStart w:id="1096" w:name="Tc_pqgv5TPEfkq4tz-Eab8TVQ_4_5"/>
      <w:bookmarkStart w:id="1097" w:name="Tc_6_8l8qUcxkmofOpby5kXaw_4_2"/>
      <w:bookmarkStart w:id="1098" w:name="Tc_0-bgihyFxUyXjvCjcetdaw_4_0"/>
      <w:bookmarkStart w:id="1099" w:name="Tc_0IZLk4BviEOwp-g0ZhzIVA_3_0"/>
      <w:bookmarkStart w:id="1100" w:name="Tc_vnXQNQAfm0OOswrb_tF_fw_2_14"/>
      <w:bookmarkStart w:id="1101" w:name="Tc_9DtkySxqzEaPwbRWohaT4w_2_11"/>
      <w:bookmarkStart w:id="1102" w:name="Tc_cFvlCU341kKRY0-VUy-B8Q_2_8"/>
      <w:bookmarkStart w:id="1103" w:name="Tc_oQzJOHpK60y26lb2vJCPqw_2_5"/>
      <w:bookmarkStart w:id="1104" w:name="Tc_VhprWRnfIkyHU6GTzxKsLg_2_2"/>
      <w:bookmarkStart w:id="1105" w:name="Tc_Xwx9T8ZsrE60aoba4RGAtA_2_0"/>
      <w:bookmarkStart w:id="1106" w:name="Tc_KL_2r4X2t06G0p-ntEH3VA_1_2"/>
      <w:bookmarkStart w:id="1107" w:name="_1ccb8a6c_fcbf_4c2a_a594_faf0087b6f36"/>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8.       Financial Liabilities</w:t>
      </w:r>
    </w:p>
    <w:p>
      <w:pPr>
        <w:pStyle w:val="TextBody"/>
        <w:bidi w:val="0"/>
        <w:spacing w:before="0" w:after="120"/>
        <w:ind w:left="0" w:right="0" w:firstLine="446"/>
        <w:jc w:val="both"/>
        <w:rPr>
          <w:rFonts w:ascii="Helvetica;sans-serif" w:hAnsi="Helvetica;sans-serif"/>
          <w:sz w:val="20"/>
        </w:rPr>
      </w:pPr>
      <w:r>
        <w:rPr>
          <w:rFonts w:ascii="Helvetica;sans-serif" w:hAnsi="Helvetica;sans-serif"/>
          <w:sz w:val="20"/>
        </w:rPr>
        <w:t>A summary of the Company’s debt obligations as of the dates indicated, including the level within the fair value hierarchy (see Note 3. Fair Value Measurements), is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8"/>
        <w:gridCol w:w="346"/>
        <w:gridCol w:w="270"/>
        <w:gridCol w:w="887"/>
        <w:gridCol w:w="346"/>
        <w:gridCol w:w="624"/>
        <w:gridCol w:w="1915"/>
        <w:gridCol w:w="346"/>
        <w:gridCol w:w="280"/>
        <w:gridCol w:w="918"/>
        <w:gridCol w:w="346"/>
        <w:gridCol w:w="295"/>
        <w:gridCol w:w="968"/>
        <w:gridCol w:w="346"/>
        <w:gridCol w:w="760"/>
      </w:tblGrid>
      <w:tr>
        <w:trPr/>
        <w:tc>
          <w:tcPr>
            <w:tcW w:w="1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89330" cy="175260"/>
                      <wp:effectExtent l="0" t="0" r="0" b="0"/>
                      <wp:wrapNone/>
                      <wp:docPr id="223" name="Frame223"/>
                      <a:graphic xmlns:a="http://schemas.openxmlformats.org/drawingml/2006/main">
                        <a:graphicData uri="http://schemas.microsoft.com/office/word/2010/wordprocessingShape">
                          <wps:wsp>
                            <wps:cNvSpPr txBox="1"/>
                            <wps:spPr>
                              <a:xfrm>
                                <a:off x="0" y="0"/>
                                <a:ext cx="989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1450" cy="175260"/>
                      <wp:effectExtent l="0" t="0" r="0" b="0"/>
                      <wp:wrapNone/>
                      <wp:docPr id="225" name="Frame22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63245" cy="175260"/>
                      <wp:effectExtent l="0" t="0" r="0" b="0"/>
                      <wp:wrapNone/>
                      <wp:docPr id="226" name="Frame22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96240" cy="175260"/>
                      <wp:effectExtent l="0" t="0" r="0" b="0"/>
                      <wp:wrapNone/>
                      <wp:docPr id="228" name="Frame228"/>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16025" cy="175260"/>
                      <wp:effectExtent l="0" t="0" r="0" b="0"/>
                      <wp:wrapNone/>
                      <wp:docPr id="229" name="Frame229"/>
                      <a:graphic xmlns:a="http://schemas.openxmlformats.org/drawingml/2006/main">
                        <a:graphicData uri="http://schemas.microsoft.com/office/word/2010/wordprocessingShape">
                          <wps:wsp>
                            <wps:cNvSpPr txBox="1"/>
                            <wps:spPr>
                              <a:xfrm>
                                <a:off x="0" y="0"/>
                                <a:ext cx="1216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77800" cy="175260"/>
                      <wp:effectExtent l="0" t="0" r="0" b="0"/>
                      <wp:wrapNone/>
                      <wp:docPr id="231" name="Frame2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82930" cy="175260"/>
                      <wp:effectExtent l="0" t="0" r="0" b="0"/>
                      <wp:wrapNone/>
                      <wp:docPr id="232" name="Frame232"/>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7325" cy="175260"/>
                      <wp:effectExtent l="0" t="0" r="0" b="0"/>
                      <wp:wrapNone/>
                      <wp:docPr id="234" name="Frame23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14680" cy="175260"/>
                      <wp:effectExtent l="0" t="0" r="0" b="0"/>
                      <wp:wrapNone/>
                      <wp:docPr id="235" name="Frame235"/>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82600" cy="175260"/>
                      <wp:effectExtent l="0" t="0" r="0" b="0"/>
                      <wp:wrapNone/>
                      <wp:docPr id="237" name="Frame237"/>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01"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At June 30, 2026</w:t>
            </w:r>
          </w:p>
        </w:tc>
      </w:tr>
      <w:tr>
        <w:trPr/>
        <w:tc>
          <w:tcPr>
            <w:tcW w:w="1558"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Principal Amount</w:t>
            </w:r>
          </w:p>
        </w:tc>
        <w:tc>
          <w:tcPr>
            <w:tcW w:w="346" w:type="dxa"/>
            <w:tcBorders/>
            <w:vAlign w:val="center"/>
          </w:tcPr>
          <w:p>
            <w:pPr>
              <w:pStyle w:val="TableContents"/>
              <w:bidi w:val="0"/>
              <w:spacing w:before="0" w:after="0"/>
              <w:ind w:left="0" w:right="0" w:hanging="0"/>
              <w:jc w:val="left"/>
              <w:rPr/>
            </w:pPr>
            <w:r>
              <w:rPr/>
              <w:t>  ​ ​ ​</w:t>
            </w:r>
          </w:p>
        </w:tc>
        <w:tc>
          <w:tcPr>
            <w:tcW w:w="25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Unamortized Debt Discount and Debt Issuance Costs</w:t>
            </w:r>
          </w:p>
        </w:tc>
        <w:tc>
          <w:tcPr>
            <w:tcW w:w="346" w:type="dxa"/>
            <w:tcBorders/>
            <w:vAlign w:val="center"/>
          </w:tcPr>
          <w:p>
            <w:pPr>
              <w:pStyle w:val="TableContents"/>
              <w:bidi w:val="0"/>
              <w:spacing w:before="0" w:after="0"/>
              <w:ind w:left="0" w:right="0" w:hanging="0"/>
              <w:jc w:val="left"/>
              <w:rPr/>
            </w:pPr>
            <w:r>
              <w:rPr/>
              <w:t>  ​ ​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Net Carrying Value</w:t>
            </w:r>
          </w:p>
        </w:tc>
        <w:tc>
          <w:tcPr>
            <w:tcW w:w="346" w:type="dxa"/>
            <w:tcBorders/>
            <w:vAlign w:val="center"/>
          </w:tcPr>
          <w:p>
            <w:pPr>
              <w:pStyle w:val="TableContents"/>
              <w:bidi w:val="0"/>
              <w:spacing w:before="0" w:after="0"/>
              <w:ind w:left="0" w:right="0" w:hanging="0"/>
              <w:jc w:val="left"/>
              <w:rPr/>
            </w:pPr>
            <w:r>
              <w:rPr/>
              <w:t>  ​ ​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Estimated Fair Value</w:t>
            </w:r>
          </w:p>
        </w:tc>
        <w:tc>
          <w:tcPr>
            <w:tcW w:w="346" w:type="dxa"/>
            <w:tcBorders/>
            <w:vAlign w:val="center"/>
          </w:tcPr>
          <w:p>
            <w:pPr>
              <w:pStyle w:val="TableContents"/>
              <w:bidi w:val="0"/>
              <w:spacing w:before="0" w:after="0"/>
              <w:ind w:left="0" w:right="0" w:hanging="0"/>
              <w:jc w:val="left"/>
              <w:rPr/>
            </w:pPr>
            <w:r>
              <w:rPr/>
              <w:t>  ​ ​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w:t>
            </w:r>
          </w:p>
        </w:tc>
      </w:tr>
      <w:tr>
        <w:trPr/>
        <w:tc>
          <w:tcPr>
            <w:tcW w:w="1558"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91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pPr>
            <w:r>
              <w:rPr/>
              <w:t>  ​</w:t>
            </w:r>
          </w:p>
        </w:tc>
      </w:tr>
      <w:tr>
        <w:trPr/>
        <w:tc>
          <w:tcPr>
            <w:tcW w:w="155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2029 Term Loan</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87"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38,660</w:t>
            </w:r>
          </w:p>
        </w:tc>
        <w:tc>
          <w:tcPr>
            <w:tcW w:w="34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91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(1,413)</w:t>
            </w:r>
          </w:p>
        </w:tc>
        <w:tc>
          <w:tcPr>
            <w:tcW w:w="346" w:type="dxa"/>
            <w:tcBorders/>
            <w:vAlign w:val="center"/>
          </w:tcPr>
          <w:p>
            <w:pPr>
              <w:pStyle w:val="TableContents"/>
              <w:bidi w:val="0"/>
              <w:spacing w:before="0" w:after="0"/>
              <w:ind w:left="0" w:right="0" w:hanging="0"/>
              <w:jc w:val="right"/>
              <w:rPr/>
            </w:pPr>
            <w:r>
              <w:rPr/>
              <w:t>​</w:t>
            </w:r>
          </w:p>
        </w:tc>
        <w:tc>
          <w:tcPr>
            <w:tcW w:w="28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1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37,247</w:t>
            </w:r>
          </w:p>
        </w:tc>
        <w:tc>
          <w:tcPr>
            <w:tcW w:w="34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37,247</w:t>
            </w:r>
          </w:p>
        </w:tc>
        <w:tc>
          <w:tcPr>
            <w:tcW w:w="34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Level 2*</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19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01"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At December 31, 2025</w:t>
            </w:r>
          </w:p>
        </w:tc>
      </w:tr>
      <w:tr>
        <w:trPr/>
        <w:tc>
          <w:tcPr>
            <w:tcW w:w="1558"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Principal Amount</w:t>
            </w:r>
          </w:p>
        </w:tc>
        <w:tc>
          <w:tcPr>
            <w:tcW w:w="346" w:type="dxa"/>
            <w:tcBorders/>
            <w:vAlign w:val="center"/>
          </w:tcPr>
          <w:p>
            <w:pPr>
              <w:pStyle w:val="TableContents"/>
              <w:bidi w:val="0"/>
              <w:spacing w:before="0" w:after="0"/>
              <w:ind w:left="0" w:right="0" w:hanging="0"/>
              <w:jc w:val="center"/>
              <w:rPr/>
            </w:pPr>
            <w:r>
              <w:rPr/>
              <w:t>​</w:t>
            </w:r>
          </w:p>
        </w:tc>
        <w:tc>
          <w:tcPr>
            <w:tcW w:w="25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Unamortized Debt Discount and Debt Issuance Costs</w:t>
            </w:r>
          </w:p>
        </w:tc>
        <w:tc>
          <w:tcPr>
            <w:tcW w:w="346" w:type="dxa"/>
            <w:tcBorders/>
            <w:vAlign w:val="center"/>
          </w:tcPr>
          <w:p>
            <w:pPr>
              <w:pStyle w:val="TableContents"/>
              <w:bidi w:val="0"/>
              <w:spacing w:before="0" w:after="0"/>
              <w:ind w:left="0" w:right="0" w:hanging="0"/>
              <w:jc w:val="center"/>
              <w:rPr/>
            </w:pPr>
            <w:r>
              <w:rPr/>
              <w:t>​</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Net Carrying Value</w:t>
            </w:r>
          </w:p>
        </w:tc>
        <w:tc>
          <w:tcPr>
            <w:tcW w:w="346" w:type="dxa"/>
            <w:tcBorders/>
            <w:vAlign w:val="center"/>
          </w:tcPr>
          <w:p>
            <w:pPr>
              <w:pStyle w:val="TableContents"/>
              <w:bidi w:val="0"/>
              <w:spacing w:before="0" w:after="0"/>
              <w:ind w:left="0" w:right="0" w:hanging="0"/>
              <w:jc w:val="center"/>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Estimated Fair Value</w:t>
            </w:r>
          </w:p>
        </w:tc>
        <w:tc>
          <w:tcPr>
            <w:tcW w:w="346" w:type="dxa"/>
            <w:tcBorders/>
            <w:vAlign w:val="center"/>
          </w:tcPr>
          <w:p>
            <w:pPr>
              <w:pStyle w:val="TableContents"/>
              <w:bidi w:val="0"/>
              <w:spacing w:before="0" w:after="0"/>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Level</w:t>
            </w:r>
          </w:p>
        </w:tc>
      </w:tr>
      <w:tr>
        <w:trPr/>
        <w:tc>
          <w:tcPr>
            <w:tcW w:w="1558"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91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center"/>
              <w:rPr/>
            </w:pPr>
            <w:r>
              <w:rPr/>
              <w:t> </w:t>
            </w:r>
          </w:p>
        </w:tc>
      </w:tr>
      <w:tr>
        <w:trPr/>
        <w:tc>
          <w:tcPr>
            <w:tcW w:w="155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2029 Term Loan</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87"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38,660</w:t>
            </w:r>
          </w:p>
        </w:tc>
        <w:tc>
          <w:tcPr>
            <w:tcW w:w="34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915"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(1,609)</w:t>
            </w:r>
          </w:p>
        </w:tc>
        <w:tc>
          <w:tcPr>
            <w:tcW w:w="346" w:type="dxa"/>
            <w:tcBorders/>
            <w:vAlign w:val="center"/>
          </w:tcPr>
          <w:p>
            <w:pPr>
              <w:pStyle w:val="TableContents"/>
              <w:bidi w:val="0"/>
              <w:spacing w:before="0" w:after="0"/>
              <w:ind w:left="0" w:right="0" w:hanging="0"/>
              <w:jc w:val="right"/>
              <w:rPr/>
            </w:pPr>
            <w:r>
              <w:rPr/>
              <w:t>​</w:t>
            </w:r>
          </w:p>
        </w:tc>
        <w:tc>
          <w:tcPr>
            <w:tcW w:w="28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1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37,051</w:t>
            </w:r>
          </w:p>
        </w:tc>
        <w:tc>
          <w:tcPr>
            <w:tcW w:w="34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8"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37,051</w:t>
            </w:r>
          </w:p>
        </w:tc>
        <w:tc>
          <w:tcPr>
            <w:tcW w:w="34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Level 2*</w:t>
            </w:r>
          </w:p>
        </w:tc>
      </w:tr>
      <w:tr>
        <w:trPr/>
        <w:tc>
          <w:tcPr>
            <w:tcW w:w="1558"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2026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887"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w:t>
            </w:r>
          </w:p>
        </w:tc>
        <w:tc>
          <w:tcPr>
            <w:tcW w:w="34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9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1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8"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Level 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w:t>
            </w:r>
          </w:p>
        </w:tc>
        <w:tc>
          <w:tcPr>
            <w:tcW w:w="10024"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The principal amounts outstanding are subject to variable interest rates, which are based on three-month SOFR plus fixed percentages. Therefore, the Company believes the carrying amount of these obligations approximates their fair value.</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40"/>
              <w:jc w:val="both"/>
              <w:rPr>
                <w:rFonts w:ascii="Helvetica;sans-serif" w:hAnsi="Helvetica;sans-serif"/>
                <w:b w:val="false"/>
                <w:sz w:val="16"/>
              </w:rPr>
            </w:pPr>
            <w:r>
              <w:rPr>
                <w:rFonts w:ascii="Helvetica;sans-serif" w:hAnsi="Helvetica;sans-serif"/>
                <w:b w:val="false"/>
                <w:sz w:val="16"/>
              </w:rPr>
              <w:t>**</w:t>
            </w:r>
          </w:p>
        </w:tc>
        <w:tc>
          <w:tcPr>
            <w:tcW w:w="10000" w:type="dxa"/>
            <w:tcBorders/>
            <w:vAlign w:val="center"/>
          </w:tcPr>
          <w:p>
            <w:pPr>
              <w:pStyle w:val="TableContents"/>
              <w:bidi w:val="0"/>
              <w:spacing w:before="0" w:after="240"/>
              <w:jc w:val="both"/>
              <w:rPr>
                <w:rFonts w:ascii="Helvetica;sans-serif" w:hAnsi="Helvetica;sans-serif"/>
                <w:b w:val="false"/>
                <w:sz w:val="16"/>
              </w:rPr>
            </w:pPr>
            <w:r>
              <w:rPr>
                <w:rFonts w:ascii="Helvetica;sans-serif" w:hAnsi="Helvetica;sans-serif"/>
                <w:b w:val="false"/>
                <w:sz w:val="16"/>
              </w:rPr>
              <w:t>The fair value was influenced by interest rates, the Company’s stock price and stock price volatility and was determined by prices observed in market trading. Since the market for trading of the 2026 Convertible Notes was not considered to be an active market, the estimated fair value was based on Level 2 inputs.</w:t>
            </w:r>
          </w:p>
        </w:tc>
      </w:tr>
    </w:tbl>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2029 Term Loan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On May 8, 2024, the Company entered into a senior secured term loan facility (the “2029 Term Loan”) and received p</w:t>
      </w:r>
      <w:r>
        <w:rPr>
          <w:rFonts w:ascii="Helvetica;sans-serif" w:hAnsi="Helvetica;sans-serif"/>
          <w:sz w:val="20"/>
          <w:shd w:fill="FFFFFF" w:val="clear"/>
        </w:rPr>
        <w:t xml:space="preserve">roceeds, net of the original issuance discount, of $37.5 million. The net proceeds were used by the Company as part of the full repayment of the </w:t>
      </w:r>
      <w:r>
        <w:rPr>
          <w:rFonts w:ascii="Helvetica;sans-serif" w:hAnsi="Helvetica;sans-serif"/>
          <w:color w:val="212529"/>
          <w:sz w:val="20"/>
          <w:shd w:fill="FFFFFF" w:val="clear"/>
        </w:rPr>
        <w:t>$250.0 million aggregate principal amount of </w:t>
      </w:r>
      <w:r>
        <w:rPr>
          <w:rFonts w:ascii="Helvetica;sans-serif" w:hAnsi="Helvetica;sans-serif"/>
          <w:sz w:val="20"/>
          <w:shd w:fill="FFFFFF" w:val="clear"/>
        </w:rPr>
        <w:t>the senior secured term loan facility that the Company entered into on January 5, 2022 (as amended, the “2027 Term Loans”).</w:t>
      </w:r>
      <w:r>
        <w:rPr>
          <w:rFonts w:ascii="Helvetica;sans-serif" w:hAnsi="Helvetica;sans-serif"/>
          <w:color w:val="212529"/>
          <w:sz w:val="20"/>
          <w:shd w:fill="FFFFFF" w:val="clear"/>
        </w:rPr>
        <w:t>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2029 Term Loan matures on May 8, 2029 and accrues interest equal to 8.0%, plus a three-month SOFR rate per annum. The 2029 Term Loan provides for interest-only payments on a quarterly basis until maturity. </w:t>
      </w:r>
      <w:r>
        <w:rPr>
          <w:rFonts w:ascii="Helvetica;sans-serif" w:hAnsi="Helvetica;sans-serif"/>
          <w:sz w:val="20"/>
          <w:shd w:fill="FFFFFF" w:val="clear"/>
        </w:rPr>
        <w:t>The loan agreement, by and among the Company, Ankura Trust Company, LLC and the lenders signatory thereto (the “2029 Loan Agreement”), contains certain covenants, and the Company was in full compliance with no events of default as of June 30, 2026.</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Interest expense on the 2029 Term Loan was $1.2 million and $2.4 million for the three and six months ended June 30, 2026, and $1.3 million and $2.6 million for the three and six months ended June 30, 2025, respectively. </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Revenue Purchase and Sale Agreement</w:t>
      </w:r>
      <w:r>
        <w:rPr>
          <w:rFonts w:ascii="Helvetica;sans-serif" w:hAnsi="Helvetica;sans-serif"/>
          <w:b/>
          <w:color w:val="FF0000"/>
          <w:sz w:val="20"/>
        </w:rPr>
        <w:t xml:space="preserve">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On May 8, 2024, concurrent with the 2029 Term Loan, the Company entered into the Revenue Purchase and Sale Agreement with Coduet Royalty Holdings, LLC, as administrative agent, and the Purchaser Group. Under the terms of the Revenue Purchase and Sale Agreement, the Purchaser Group paid the Company $37.5 million, subject to certain conditions at closing (the “Revenue Purchase Price”). In exchange, the Company sold to the Purchaser Group a right to receive 5.0% of U.S. net sales of UDENYCA and LOQTORZI with respect to a specified threshold applicable to UDENYCA net sales and a specified threshold applicable to LOQTORZI net sales during an applicable year and 0.5% of U.S. net sales of UDENYCA and LOQTORZI that exceeded the specified threshold during that year (the “Revenue Payment”) for each calendar quarter commencing May 8, 2024. The Purchaser Group’s right to receive the Revenue Payment terminates and the Company no longer has the obligation to pay Revenue Payments once the Purchaser Group receives the amount equal to 2.25 times the Revenue Purchase Price allocated to each product. The Company may also buy out the Purchaser Group’s rights to receive the Revenue Payments by triggering certain conditions and paying the Purchaser Group the unpaid portion of the 2.25 multiple on the Revenue Purchase Price. The proceeds from the Revenue Purchase Price were used by the Company as part of the full repayment of the 2027 Term Loans. On April 15, 2025, the Company paid $47.7 million to buy out the Purchaser Group’s right to receive the Revenue Payments with respect to UDENYCA in accordance with the Revenue Purchase and Sale Agreement (the “UDENYCA Buy-out”).</w:t>
      </w:r>
      <w:r>
        <w:rPr>
          <w:rFonts w:ascii="Helvetica;sans-serif" w:hAnsi="Helvetica;sans-serif"/>
          <w:sz w:val="20"/>
        </w:rPr>
        <w:t xml:space="preserve"> </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The Revenue Purchase and Sale Agreement contains certain covenants, and the Company was in full compliance with the agreement as of June 30, 2026.</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 xml:space="preserve">The </w:t>
      </w:r>
      <w:r>
        <w:rPr>
          <w:rFonts w:ascii="Helvetica;sans-serif" w:hAnsi="Helvetica;sans-serif"/>
          <w:sz w:val="20"/>
        </w:rPr>
        <w:t xml:space="preserve">Revenue Purchase and Sale Agreement contains an embedded derivative that meets the criteria to be bifurcated and accounted </w:t>
      </w:r>
      <w:r>
        <w:rPr>
          <w:rFonts w:ascii="Helvetica;sans-serif" w:hAnsi="Helvetica;sans-serif"/>
          <w:sz w:val="20"/>
          <w:shd w:fill="FFFFFF" w:val="clear"/>
        </w:rPr>
        <w:t xml:space="preserve">for as a freestanding instrument subject to derivative accounting. The allocation of the Revenue Purchase Price to the embedded derivative resulted in a $9.2 million discount on the revenue participation liability at inception. Additionally, there was $1.4 million in issuance costs. The discount and issuance costs are amortized to interest expense over the estimated term of the Revenue Purchase and Sale Agreement using the effective interest method. In connection with the UDENYCA Buy-out, the unamortized portion of the discount and issuance costs related to UDENYCA was derecognized. The effective interest rate was 27.2% for the LOQTORZI portion at June 30, 2026. </w:t>
      </w:r>
      <w:r>
        <w:rPr>
          <w:rFonts w:ascii="Helvetica;sans-serif" w:hAnsi="Helvetica;sans-serif"/>
          <w:sz w:val="20"/>
        </w:rPr>
        <w:t>For additional details on the Royalty Fee Derivative Liability, see Note 3. Fair Value Measurements.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bookmarkStart w:id="1108" w:name="Tc_Fgt9H7WwAkuPQXXT_DMsbw_6_11"/>
      <w:bookmarkStart w:id="1109" w:name="Tc_Nvg32lOCekGgcVPGb-8W2A_6_9"/>
      <w:bookmarkStart w:id="1110" w:name="Tc__cXl9TtJwU6YE4IorRFOwQ_6_8"/>
      <w:bookmarkStart w:id="1111" w:name="Tc_AXhYv_Or00-sjUWol0uo3Q_6_5"/>
      <w:bookmarkStart w:id="1112" w:name="Tc_fGlNTxq630WvYCC_wK_8AQ_6_3"/>
      <w:bookmarkStart w:id="1113" w:name="Tc_NAclDFbg2ky_9h_964BguA_6_2"/>
      <w:bookmarkStart w:id="1114" w:name="Tc_HfXTKSHVzE2raykiOHnCgA_6_0"/>
      <w:bookmarkStart w:id="1115" w:name="Tc_L7RIhDdSRkeUXN9u5ib4Pw_5_9"/>
      <w:bookmarkStart w:id="1116" w:name="Tc_W03OVn6K9UuiUyMu0XYeuQ_5_3"/>
      <w:bookmarkStart w:id="1117" w:name="Tc_9XXlR51sHk6n3jfzMHhVkg_5_0"/>
      <w:bookmarkStart w:id="1118" w:name="Tc_VGf6hfnaAk6u2kvBilNaSw_4_11"/>
      <w:bookmarkStart w:id="1119" w:name="Tc_CjF9537ya0OgW40lFQpLVw_4_9"/>
      <w:bookmarkStart w:id="1120" w:name="Tc_ny4lDgoLe02rDbNZOD0aRw_4_8"/>
      <w:bookmarkStart w:id="1121" w:name="Tc_tIIIb4PvN0SUtwv2Vz9B4Q_4_5"/>
      <w:bookmarkStart w:id="1122" w:name="Tc_Ag1M9AT8ykKGP-mUvMjQaQ_4_3"/>
      <w:bookmarkStart w:id="1123" w:name="Tc_tIXvRX1y9kabpBjZa6dICA_4_2"/>
      <w:bookmarkStart w:id="1124" w:name="Tc_tcCmBi9KUU2agTY_mWraVA_4_0"/>
      <w:bookmarkStart w:id="1125" w:name="Tc_zggaOSHxfUy-MJxWhUSd3w_3_11"/>
      <w:bookmarkStart w:id="1126" w:name="Tc_PFWjYQLiQ0Ka7W7beVrdqA_3_8"/>
      <w:bookmarkStart w:id="1127" w:name="Tc_GJdBzEmhQE6R9EHit2GeVg_3_5"/>
      <w:bookmarkStart w:id="1128" w:name="Tc_irvcrupmXkKk5QzJZCY1Pg_3_2"/>
      <w:bookmarkStart w:id="1129" w:name="Tc_BqpUsPsTzk6BlE3TEmxFWQ_3_0"/>
      <w:bookmarkStart w:id="1130" w:name="Tc_C3_CONdyA0iym09XZ1q6eQ_2_8"/>
      <w:bookmarkStart w:id="1131" w:name="Tc_8DtTV8oPSkuGCkP4b5xUhg_2_2"/>
      <w:bookmarkStart w:id="1132" w:name="Tc_uCphOFQJKUW2Ln_2ChQoRw_1_8"/>
      <w:bookmarkStart w:id="1133" w:name="Tc_iFTJDQ4XbUavQ6QsGX98gg_1_2"/>
      <w:bookmarkStart w:id="1134" w:name="Tc_CNKLlbyD40CwhDEdU0I28w_7_5"/>
      <w:bookmarkStart w:id="1135" w:name="Tc_MuXtRO0exEyuti7vtlDvtA_7_2"/>
      <w:bookmarkStart w:id="1136" w:name="Tc_YK6d98d2r0-HYGFXHpK5Jg_7_0"/>
      <w:bookmarkStart w:id="1137" w:name="Tc_XDw9bula5UCy-3VWwGwRSw_6_3"/>
      <w:bookmarkStart w:id="1138" w:name="Tc_0-a6C54_eE-6HOiBSWdbgg_6_0"/>
      <w:bookmarkStart w:id="1139" w:name="Tc_vyLZZXEYs0WmlyJisvvKGQ_5_0"/>
      <w:bookmarkStart w:id="1140" w:name="Tc_FUMOvklv_EOnVvUV49SlQQ_4_0"/>
      <w:bookmarkStart w:id="1141" w:name="Tc_Wdd7UZa-d0CAEyRYrOh3DQ_3_5"/>
      <w:bookmarkStart w:id="1142" w:name="Tc_ceSgc9cgQE-Nl9r7kPApJQ_3_2"/>
      <w:bookmarkStart w:id="1143" w:name="Tc_ONxwaTP6m0-rJyy5D3ka6g_3_0"/>
      <w:bookmarkStart w:id="1144" w:name="Tc_9FJnw2aPlUGKWpgNhEFKuw_2_5"/>
      <w:bookmarkStart w:id="1145" w:name="Tc_UOtbTby7EEajEDpJBQKH3w_2_2"/>
      <w:bookmarkStart w:id="1146" w:name="Tc_6b_y90AvhE--wYGvquKZkw_2_0"/>
      <w:bookmarkStart w:id="1147" w:name="Tc_Wy-2NznehUWXz18mPblavg_1_2"/>
      <w:bookmarkStart w:id="1148" w:name="_45ac9451_f950_4dfc_afb7_6f6ae3aa379f"/>
      <w:bookmarkStart w:id="1149" w:name="Tc_YAbOcsECs0O2BqNs-YlsCg_4_4"/>
      <w:bookmarkStart w:id="1150" w:name="Tc_wTIVUAsrZUiWRSH7-xJSow_4_1"/>
      <w:bookmarkStart w:id="1151" w:name="Tc_f18pE5TpLUm1wTL1cO7ocQ_4_0"/>
      <w:bookmarkStart w:id="1152" w:name="Tc_fPt2cQfr1UacmN_lUW_yHA_3_0"/>
      <w:bookmarkStart w:id="1153" w:name="Tc_M6c7mhM2oU2N2KtODvzXsw_2_4"/>
      <w:bookmarkStart w:id="1154" w:name="Tc__4P1narx-kGkuwdf8ACHlQ_2_1"/>
      <w:bookmarkStart w:id="1155" w:name="Tc_4J3aE3G4ckmbEkcexe55JA_2_0"/>
      <w:bookmarkStart w:id="1156" w:name="Tc_37Cp-fgzWUypqOIwia1GHQ_1_4"/>
      <w:bookmarkStart w:id="1157" w:name="Tc_oAAM5B8IVUKfWMKZiX29IA_1_1"/>
      <w:bookmarkStart w:id="1158" w:name="Tc_i7FSI2XWo0W3_SOVQikXLg_1_0"/>
      <w:bookmarkStart w:id="1159" w:name="_cdc956d2_e52d_423c_bf6c_5589e659d9f8"/>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Helvetica;sans-serif" w:hAnsi="Helvetica;sans-serif"/>
          <w:sz w:val="20"/>
        </w:rPr>
        <w:t xml:space="preserve">A summary of the revenue participation liability is as follows: </w:t>
      </w:r>
    </w:p>
    <w:tbl>
      <w:tblPr>
        <w:tblW w:w="7177" w:type="dxa"/>
        <w:jc w:val="left"/>
        <w:tblInd w:w="0" w:type="dxa"/>
        <w:tblLayout w:type="fixed"/>
        <w:tblCellMar>
          <w:top w:w="0" w:type="dxa"/>
          <w:left w:w="0" w:type="dxa"/>
          <w:bottom w:w="0" w:type="dxa"/>
          <w:right w:w="0" w:type="dxa"/>
        </w:tblCellMar>
      </w:tblPr>
      <w:tblGrid>
        <w:gridCol w:w="4276"/>
        <w:gridCol w:w="273"/>
        <w:gridCol w:w="898"/>
        <w:gridCol w:w="109"/>
        <w:gridCol w:w="339"/>
        <w:gridCol w:w="1282"/>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715260" cy="175260"/>
                      <wp:effectExtent l="0" t="0" r="0" b="0"/>
                      <wp:wrapNone/>
                      <wp:docPr id="238" name="Frame238"/>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73355" cy="175260"/>
                      <wp:effectExtent l="0" t="0" r="0" b="0"/>
                      <wp:wrapNone/>
                      <wp:docPr id="239" name="Frame23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70230" cy="175260"/>
                      <wp:effectExtent l="0" t="0" r="0" b="0"/>
                      <wp:wrapNone/>
                      <wp:docPr id="240" name="Frame24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5265" cy="175260"/>
                      <wp:effectExtent l="0" t="0" r="0" b="0"/>
                      <wp:wrapNone/>
                      <wp:docPr id="242" name="Frame242"/>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14070" cy="175260"/>
                      <wp:effectExtent l="0" t="0" r="0" b="0"/>
                      <wp:wrapNone/>
                      <wp:docPr id="243" name="Frame243"/>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16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December 31, 2025</w:t>
            </w:r>
          </w:p>
        </w:tc>
      </w:tr>
      <w:tr>
        <w:trPr/>
        <w:tc>
          <w:tcPr>
            <w:tcW w:w="427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Revenue participation liability</w:t>
            </w:r>
          </w:p>
        </w:tc>
        <w:tc>
          <w:tcPr>
            <w:tcW w:w="273"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98"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16,921</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1282"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16,524</w:t>
            </w:r>
          </w:p>
        </w:tc>
      </w:tr>
      <w:tr>
        <w:trPr/>
        <w:tc>
          <w:tcPr>
            <w:tcW w:w="4276"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Less: unamortized discount and issuance costs</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(2,151)</w:t>
            </w:r>
          </w:p>
        </w:tc>
        <w:tc>
          <w:tcPr>
            <w:tcW w:w="109"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2"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(2,496)</w:t>
            </w:r>
          </w:p>
        </w:tc>
      </w:tr>
      <w:tr>
        <w:trPr/>
        <w:tc>
          <w:tcPr>
            <w:tcW w:w="4276" w:type="dxa"/>
            <w:tcBorders/>
            <w:shd w:fill="CCEEFF" w:val="clear"/>
            <w:vAlign w:val="center"/>
          </w:tcPr>
          <w:p>
            <w:pPr>
              <w:pStyle w:val="TableContents"/>
              <w:bidi w:val="0"/>
              <w:spacing w:lineRule="auto" w:line="240" w:before="0" w:after="1"/>
              <w:ind w:left="0" w:right="0" w:hanging="0"/>
              <w:jc w:val="left"/>
              <w:rPr>
                <w:rFonts w:ascii="Helvetica;sans-serif" w:hAnsi="Helvetica;sans-serif"/>
                <w:sz w:val="20"/>
              </w:rPr>
            </w:pPr>
            <w:r>
              <w:rPr>
                <w:rFonts w:ascii="Helvetica;sans-serif" w:hAnsi="Helvetica;sans-serif"/>
                <w:sz w:val="20"/>
              </w:rPr>
              <w:t>Net carrying value</w:t>
            </w:r>
            <w:r>
              <w:rPr>
                <w:rFonts w:ascii="Helvetica;sans-serif" w:hAnsi="Helvetica;sans-serif"/>
                <w:sz w:val="15"/>
              </w:rPr>
              <w:t>(1)</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14,770</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12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14,028</w:t>
            </w:r>
          </w:p>
        </w:tc>
      </w:tr>
    </w:tbl>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466"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At June 30, 2026, $0.2</w:t>
            </w:r>
            <w:r>
              <w:rPr>
                <w:caps w:val="false"/>
                <w:smallCaps w:val="false"/>
              </w:rPr>
              <w:t xml:space="preserve"> </w:t>
            </w:r>
            <w:r>
              <w:rPr>
                <w:rFonts w:ascii="Helvetica;sans-serif" w:hAnsi="Helvetica;sans-serif"/>
                <w:b w:val="false"/>
                <w:i w:val="false"/>
                <w:caps w:val="false"/>
                <w:smallCaps w:val="false"/>
                <w:sz w:val="16"/>
              </w:rPr>
              <w:t>million is included in accrued and other current liabilities and $14.5</w:t>
            </w:r>
            <w:r>
              <w:rPr>
                <w:caps w:val="false"/>
                <w:smallCaps w:val="false"/>
              </w:rPr>
              <w:t xml:space="preserve"> </w:t>
            </w:r>
            <w:r>
              <w:rPr>
                <w:rFonts w:ascii="Helvetica;sans-serif" w:hAnsi="Helvetica;sans-serif"/>
                <w:b w:val="false"/>
                <w:i w:val="false"/>
                <w:caps w:val="false"/>
                <w:smallCaps w:val="false"/>
                <w:sz w:val="16"/>
              </w:rPr>
              <w:t>million is in other liabilities, non-current.</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following table summarizes the activity within the revenue participation liability for the periods presented: </w:t>
      </w:r>
    </w:p>
    <w:tbl>
      <w:tblPr>
        <w:tblW w:w="8044" w:type="dxa"/>
        <w:jc w:val="left"/>
        <w:tblInd w:w="0" w:type="dxa"/>
        <w:tblLayout w:type="fixed"/>
        <w:tblCellMar>
          <w:top w:w="0" w:type="dxa"/>
          <w:left w:w="0" w:type="dxa"/>
          <w:bottom w:w="0" w:type="dxa"/>
          <w:right w:w="0" w:type="dxa"/>
        </w:tblCellMar>
      </w:tblPr>
      <w:tblGrid>
        <w:gridCol w:w="5641"/>
        <w:gridCol w:w="109"/>
        <w:gridCol w:w="231"/>
        <w:gridCol w:w="774"/>
        <w:gridCol w:w="119"/>
        <w:gridCol w:w="231"/>
        <w:gridCol w:w="939"/>
      </w:tblGrid>
      <w:tr>
        <w:trPr/>
        <w:tc>
          <w:tcPr>
            <w:tcW w:w="56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6685" cy="175260"/>
                      <wp:effectExtent l="0" t="0" r="0" b="0"/>
                      <wp:wrapNone/>
                      <wp:docPr id="244" name="Frame24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1490" cy="175260"/>
                      <wp:effectExtent l="0" t="0" r="0" b="0"/>
                      <wp:wrapNone/>
                      <wp:docPr id="245" name="Frame245"/>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75565" cy="175260"/>
                      <wp:effectExtent l="0" t="0" r="0" b="0"/>
                      <wp:wrapNone/>
                      <wp:docPr id="246" name="Frame246"/>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6685" cy="175260"/>
                      <wp:effectExtent l="0" t="0" r="0" b="0"/>
                      <wp:wrapNone/>
                      <wp:docPr id="247" name="Frame24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6265" cy="175260"/>
                      <wp:effectExtent l="0" t="0" r="0" b="0"/>
                      <wp:wrapNone/>
                      <wp:docPr id="248" name="Frame24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 June 30,</w:t>
            </w:r>
          </w:p>
        </w:tc>
      </w:tr>
      <w:tr>
        <w:trPr/>
        <w:tc>
          <w:tcPr>
            <w:tcW w:w="5641"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119"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r>
      <w:tr>
        <w:trPr/>
        <w:tc>
          <w:tcPr>
            <w:tcW w:w="564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Balance at January 1</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74"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14,028</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39"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28,743</w:t>
            </w:r>
          </w:p>
        </w:tc>
      </w:tr>
      <w:tr>
        <w:trPr/>
        <w:tc>
          <w:tcPr>
            <w:tcW w:w="564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Royalty payments</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(1,208)</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(2,177)</w:t>
            </w:r>
          </w:p>
        </w:tc>
      </w:tr>
      <w:tr>
        <w:trPr/>
        <w:tc>
          <w:tcPr>
            <w:tcW w:w="5641" w:type="dxa"/>
            <w:tcBorders/>
            <w:shd w:fill="CCEEFF" w:val="clear"/>
            <w:vAlign w:val="center"/>
          </w:tcPr>
          <w:p>
            <w:pPr>
              <w:pStyle w:val="TableContents"/>
              <w:bidi w:val="0"/>
              <w:spacing w:lineRule="auto" w:line="240" w:before="0" w:after="1"/>
              <w:ind w:left="0" w:right="0" w:hanging="0"/>
              <w:jc w:val="left"/>
              <w:rPr>
                <w:rFonts w:ascii="Helvetica;sans-serif" w:hAnsi="Helvetica;sans-serif"/>
                <w:sz w:val="20"/>
              </w:rPr>
            </w:pPr>
            <w:r>
              <w:rPr>
                <w:rFonts w:ascii="Helvetica;sans-serif" w:hAnsi="Helvetica;sans-serif"/>
                <w:sz w:val="20"/>
              </w:rPr>
              <w:t>Interest expense recognized</w:t>
            </w:r>
            <w:r>
              <w:rPr>
                <w:rFonts w:ascii="Helvetica;sans-serif" w:hAnsi="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1,950</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3,818</w:t>
            </w:r>
          </w:p>
        </w:tc>
      </w:tr>
      <w:tr>
        <w:trPr/>
        <w:tc>
          <w:tcPr>
            <w:tcW w:w="564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Portion derecognized in connection with the UDENYCA Buy-out</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(17,283)</w:t>
            </w:r>
          </w:p>
        </w:tc>
      </w:tr>
      <w:tr>
        <w:trPr/>
        <w:tc>
          <w:tcPr>
            <w:tcW w:w="564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Balance at June 30</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14,770</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13,101</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918"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6"/>
              </w:rPr>
              <w:t>For the three and six months ended June 30, 2026, $1.0</w:t>
            </w:r>
            <w:r>
              <w:rPr>
                <w:caps w:val="false"/>
                <w:smallCaps w:val="false"/>
              </w:rPr>
              <w:t> </w:t>
            </w:r>
            <w:r>
              <w:rPr>
                <w:rFonts w:ascii="Helvetica;sans-serif" w:hAnsi="Helvetica;sans-serif"/>
                <w:b w:val="false"/>
                <w:i w:val="false"/>
                <w:caps w:val="false"/>
                <w:smallCaps w:val="false"/>
                <w:sz w:val="16"/>
              </w:rPr>
              <w:t>million and $2.0</w:t>
            </w:r>
            <w:r>
              <w:rPr>
                <w:caps w:val="false"/>
                <w:smallCaps w:val="false"/>
              </w:rPr>
              <w:t xml:space="preserve"> </w:t>
            </w:r>
            <w:r>
              <w:rPr>
                <w:rFonts w:ascii="Helvetica;sans-serif" w:hAnsi="Helvetica;sans-serif"/>
                <w:b w:val="false"/>
                <w:i w:val="false"/>
                <w:caps w:val="false"/>
                <w:smallCaps w:val="false"/>
                <w:sz w:val="16"/>
              </w:rPr>
              <w:t>million, respectively, was presented in continuing operations. For the three months ended June 30, 2025, interest expense was $1.0</w:t>
            </w:r>
            <w:r>
              <w:rPr>
                <w:caps w:val="false"/>
                <w:smallCaps w:val="false"/>
              </w:rPr>
              <w:t xml:space="preserve"> </w:t>
            </w:r>
            <w:r>
              <w:rPr>
                <w:rFonts w:ascii="Helvetica;sans-serif" w:hAnsi="Helvetica;sans-serif"/>
                <w:b w:val="false"/>
                <w:i w:val="false"/>
                <w:caps w:val="false"/>
                <w:smallCaps w:val="false"/>
                <w:sz w:val="16"/>
              </w:rPr>
              <w:t>million for continuing operations and $0.2</w:t>
            </w:r>
            <w:r>
              <w:rPr>
                <w:caps w:val="false"/>
                <w:smallCaps w:val="false"/>
              </w:rPr>
              <w:t xml:space="preserve"> </w:t>
            </w:r>
            <w:r>
              <w:rPr>
                <w:rFonts w:ascii="Helvetica;sans-serif" w:hAnsi="Helvetica;sans-serif"/>
                <w:b w:val="false"/>
                <w:i w:val="false"/>
                <w:caps w:val="false"/>
                <w:smallCaps w:val="false"/>
                <w:sz w:val="16"/>
              </w:rPr>
              <w:t>million for discontinued operations related to UDENYCA. For the six months ended June 30, 2025, interest expense was $1.9</w:t>
            </w:r>
            <w:r>
              <w:rPr>
                <w:caps w:val="false"/>
                <w:smallCaps w:val="false"/>
              </w:rPr>
              <w:t xml:space="preserve"> </w:t>
            </w:r>
            <w:r>
              <w:rPr>
                <w:rFonts w:ascii="Helvetica;sans-serif" w:hAnsi="Helvetica;sans-serif"/>
                <w:b w:val="false"/>
                <w:i w:val="false"/>
                <w:caps w:val="false"/>
                <w:smallCaps w:val="false"/>
                <w:sz w:val="16"/>
              </w:rPr>
              <w:t>million for continuing operations and $1.9</w:t>
            </w:r>
            <w:r>
              <w:rPr>
                <w:caps w:val="false"/>
                <w:smallCaps w:val="false"/>
              </w:rPr>
              <w:t> </w:t>
            </w:r>
            <w:r>
              <w:rPr>
                <w:rFonts w:ascii="Helvetica;sans-serif" w:hAnsi="Helvetica;sans-serif"/>
                <w:b w:val="false"/>
                <w:i w:val="false"/>
                <w:caps w:val="false"/>
                <w:smallCaps w:val="false"/>
                <w:sz w:val="16"/>
              </w:rPr>
              <w:t>million for discontinued operations .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Helvetica;sans-serif" w:hAnsi="Helvetica;sans-serif"/>
          <w:sz w:val="20"/>
        </w:rPr>
      </w:pPr>
      <w:r>
        <w:rPr>
          <w:rFonts w:ascii="Helvetica;sans-serif" w:hAnsi="Helvetica;sans-serif"/>
          <w:b/>
          <w:sz w:val="20"/>
        </w:rPr>
        <w:t>1.5%</w:t>
      </w:r>
      <w:r>
        <w:rPr>
          <w:rFonts w:ascii="Helvetica;sans-serif" w:hAnsi="Helvetica;sans-serif"/>
          <w:sz w:val="20"/>
        </w:rPr>
        <w:t xml:space="preserve"> </w:t>
      </w:r>
      <w:r>
        <w:rPr>
          <w:rFonts w:ascii="Helvetica;sans-serif" w:hAnsi="Helvetica;sans-serif"/>
          <w:b/>
          <w:sz w:val="20"/>
        </w:rPr>
        <w:t xml:space="preserve">Convertible Senior Subordinated Notes due 2026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April 2020, the Company issued and sold $230.0 million aggregate principal amount of its 1.5% Convertible Senior Subordinated Notes due 2026 (the “2026 Convertible Notes”). The 2026 Convertible Notes accrued interest at a rate of 1.5% per annum, payable semi-annually in arrears on April 15 and October 15 of each year and matured on April 15, 2026.</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On April 15, 2025, the Company paid $170.0 million in cash to repurchase $170.0 million aggregate principal amount of the 2026 Convertible Notes in privately negotiated transactions. On May 15, 2025, pursuant to the Fundamental Change Repurchase Right (as defined in the indenture, dated as of April 17, 2020, between the Company and U.S. Bank Trust Company, National Association, as trustee), the Company repurchased $59.9 million aggregate principal amount of the 2026 Convertible Notes, at a cash repurchase price of $59.9 million, which amount was equivalent to 100% of the principal amount of the repurchased notes, together with the accrued and unpaid interest. In connection with the repurchases, the Company recorded a $4.7 million loss on debt extinguishment which is classified within discontinued operations in the condensed consolidated statements of operations for the three and six months ended June 30, 2025. The charge included the write-off of the remaining debt discount and debt issuance costs and related transaction fees. The 2026 Convertible Notes were fully repaid in April 2026 at maturity.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annual effective interest rate was 2.1% for the 2026 Convertible Notes, and the following table presents the components of interest expense which have been presented within discontinued operations:</w:t>
      </w:r>
    </w:p>
    <w:p>
      <w:pPr>
        <w:pStyle w:val="TextBody"/>
        <w:bidi w:val="0"/>
        <w:spacing w:before="0" w:after="0"/>
        <w:ind w:left="0" w:right="0" w:hanging="0"/>
        <w:jc w:val="left"/>
        <w:rPr/>
      </w:pPr>
      <w:r>
        <w:rPr/>
        <w:t>​</w:t>
      </w:r>
    </w:p>
    <w:tbl>
      <w:tblPr>
        <w:tblW w:w="8920" w:type="dxa"/>
        <w:jc w:val="left"/>
        <w:tblInd w:w="0" w:type="dxa"/>
        <w:tblLayout w:type="fixed"/>
        <w:tblCellMar>
          <w:top w:w="0" w:type="dxa"/>
          <w:left w:w="0" w:type="dxa"/>
          <w:bottom w:w="0" w:type="dxa"/>
          <w:right w:w="0" w:type="dxa"/>
        </w:tblCellMar>
      </w:tblPr>
      <w:tblGrid>
        <w:gridCol w:w="4861"/>
        <w:gridCol w:w="346"/>
        <w:gridCol w:w="292"/>
        <w:gridCol w:w="480"/>
        <w:gridCol w:w="151"/>
        <w:gridCol w:w="292"/>
        <w:gridCol w:w="584"/>
        <w:gridCol w:w="109"/>
        <w:gridCol w:w="211"/>
        <w:gridCol w:w="346"/>
        <w:gridCol w:w="346"/>
        <w:gridCol w:w="211"/>
        <w:gridCol w:w="69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086735" cy="175260"/>
                      <wp:effectExtent l="0" t="0" r="0" b="0"/>
                      <wp:wrapNone/>
                      <wp:docPr id="249" name="Frame249"/>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5420" cy="175260"/>
                      <wp:effectExtent l="0" t="0" r="0" b="0"/>
                      <wp:wrapNone/>
                      <wp:docPr id="251" name="Frame25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04800" cy="175260"/>
                      <wp:effectExtent l="0" t="0" r="0" b="0"/>
                      <wp:wrapNone/>
                      <wp:docPr id="252" name="Frame252"/>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5885" cy="175260"/>
                      <wp:effectExtent l="0" t="0" r="0" b="0"/>
                      <wp:wrapNone/>
                      <wp:docPr id="253" name="Frame253"/>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5420" cy="175260"/>
                      <wp:effectExtent l="0" t="0" r="0" b="0"/>
                      <wp:wrapNone/>
                      <wp:docPr id="254" name="Frame25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0840" cy="175260"/>
                      <wp:effectExtent l="0" t="0" r="0" b="0"/>
                      <wp:wrapNone/>
                      <wp:docPr id="255" name="Frame255"/>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38785" cy="175260"/>
                      <wp:effectExtent l="0" t="0" r="0" b="0"/>
                      <wp:wrapNone/>
                      <wp:docPr id="261" name="Frame2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805"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r>
      <w:tr>
        <w:trPr/>
        <w:tc>
          <w:tcPr>
            <w:tcW w:w="4861"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7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151" w:type="dxa"/>
            <w:tcBorders/>
            <w:vAlign w:val="center"/>
          </w:tcPr>
          <w:p>
            <w:pPr>
              <w:pStyle w:val="TableContents"/>
              <w:bidi w:val="0"/>
              <w:spacing w:before="0" w:after="1"/>
              <w:ind w:left="0" w:right="0" w:hanging="0"/>
              <w:jc w:val="center"/>
              <w:rPr/>
            </w:pPr>
            <w:r>
              <w:rPr/>
              <w:t>​</w:t>
            </w:r>
          </w:p>
        </w:tc>
        <w:tc>
          <w:tcPr>
            <w:tcW w:w="8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109" w:type="dxa"/>
            <w:tcBorders/>
            <w:vAlign w:val="center"/>
          </w:tcPr>
          <w:p>
            <w:pPr>
              <w:pStyle w:val="TableContents"/>
              <w:bidi w:val="0"/>
              <w:spacing w:before="0"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r>
      <w:tr>
        <w:trPr/>
        <w:tc>
          <w:tcPr>
            <w:tcW w:w="486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Stated coupon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480" w:type="dxa"/>
            <w:tcBorders/>
            <w:shd w:fill="CCEEFF" w:val="clear"/>
            <w:vAlign w:val="center"/>
          </w:tcPr>
          <w:p>
            <w:pPr>
              <w:pStyle w:val="TableContents"/>
              <w:bidi w:val="0"/>
              <w:spacing w:before="0" w:after="1"/>
              <w:ind w:left="0" w:right="0" w:hanging="0"/>
              <w:jc w:val="right"/>
              <w:rPr/>
            </w:pPr>
            <w:r>
              <w:rPr/>
              <w:t>—</w:t>
            </w:r>
          </w:p>
        </w:tc>
        <w:tc>
          <w:tcPr>
            <w:tcW w:w="151"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4"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209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1,072</w:t>
            </w:r>
          </w:p>
        </w:tc>
      </w:tr>
      <w:tr>
        <w:trPr/>
        <w:tc>
          <w:tcPr>
            <w:tcW w:w="486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Amortization of debt discount and debt issuance costs</w:t>
            </w:r>
          </w:p>
        </w:tc>
        <w:tc>
          <w:tcPr>
            <w:tcW w:w="34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1" w:type="dxa"/>
            <w:tcBorders/>
            <w:vAlign w:val="center"/>
          </w:tcPr>
          <w:p>
            <w:pPr>
              <w:pStyle w:val="TableContents"/>
              <w:bidi w:val="0"/>
              <w:spacing w:before="0" w:after="1"/>
              <w:ind w:left="0" w:right="0" w:hanging="0"/>
              <w:jc w:val="righ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83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423</w:t>
            </w:r>
          </w:p>
        </w:tc>
      </w:tr>
      <w:tr>
        <w:trPr/>
        <w:tc>
          <w:tcPr>
            <w:tcW w:w="486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Total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1" w:type="dxa"/>
            <w:tcBorders/>
            <w:shd w:fill="CCEEFF" w:val="clear"/>
            <w:vAlign w:val="center"/>
          </w:tcPr>
          <w:p>
            <w:pPr>
              <w:pStyle w:val="TableContents"/>
              <w:bidi w:val="0"/>
              <w:spacing w:before="0" w:after="1"/>
              <w:ind w:left="0" w:right="0" w:hanging="0"/>
              <w:jc w:val="righ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292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1,495</w:t>
            </w:r>
          </w:p>
        </w:tc>
      </w:tr>
    </w:tbl>
    <w:p>
      <w:pPr>
        <w:pStyle w:val="TextBody"/>
        <w:bidi w:val="0"/>
        <w:spacing w:before="0" w:after="240"/>
        <w:ind w:left="0" w:right="0" w:firstLine="490"/>
        <w:jc w:val="both"/>
        <w:rPr>
          <w:shd w:fill="FFFFFF" w:val="clear"/>
        </w:rPr>
      </w:pPr>
      <w:r>
        <w:rPr>
          <w:shd w:fill="FFFFFF" w:val="clear"/>
        </w:rPr>
        <w:t>​</w:t>
      </w:r>
    </w:p>
    <w:p>
      <w:pPr>
        <w:pStyle w:val="TextBody"/>
        <w:bidi w:val="0"/>
        <w:spacing w:before="0" w:after="240"/>
        <w:ind w:left="0" w:right="0" w:firstLine="490"/>
        <w:jc w:val="both"/>
        <w:rPr/>
      </w:pPr>
      <w:r>
        <w:rPr/>
        <w:t>​</w:t>
      </w:r>
    </w:p>
    <w:p>
      <w:pPr>
        <w:pStyle w:val="TextBody"/>
        <w:bidi w:val="0"/>
        <w:spacing w:before="0" w:after="240"/>
        <w:ind w:left="0" w:right="0" w:firstLine="490"/>
        <w:jc w:val="both"/>
        <w:rPr>
          <w:shd w:fill="00FF00" w:val="clear"/>
        </w:rPr>
      </w:pPr>
      <w:r>
        <w:rPr>
          <w:shd w:fill="00FF00" w:val="clear"/>
        </w:rPr>
        <w:t>​</w:t>
      </w:r>
    </w:p>
    <w:p>
      <w:pPr>
        <w:pStyle w:val="TextBody"/>
        <w:bidi w:val="0"/>
        <w:spacing w:before="0" w:after="240"/>
        <w:ind w:left="0" w:right="0" w:firstLine="49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9.       Commitments and Contingencies</w:t>
      </w:r>
    </w:p>
    <w:p>
      <w:pPr>
        <w:pStyle w:val="TextBody"/>
        <w:bidi w:val="0"/>
        <w:spacing w:before="0" w:after="180"/>
        <w:ind w:left="0" w:right="0" w:hanging="0"/>
        <w:jc w:val="both"/>
        <w:rPr>
          <w:rFonts w:ascii="Helvetica;sans-serif" w:hAnsi="Helvetica;sans-serif"/>
          <w:b/>
          <w:sz w:val="20"/>
        </w:rPr>
      </w:pPr>
      <w:r>
        <w:rPr>
          <w:rFonts w:ascii="Helvetica;sans-serif" w:hAnsi="Helvetica;sans-serif"/>
          <w:b/>
          <w:sz w:val="20"/>
        </w:rPr>
        <w:t xml:space="preserve">Purchase Commitments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Company entered into agreements with certain vendors to secure raw materials and certain CMOs to manufacture products. As of June 30, 2026, the Company’s non-cancelable purchase commitments were $3.3 million, and they pertain to the second half of 2026.</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connection with the divestiture of the UDENYCA Business, the Company has certain contractual obligations related to inventory replacement under a legacy customer agreement. Pursuant to the terms of that agreement, the Company may be required to pay Accord for replacing certain inventory in specified circumstances. The Company’s maximum potential exposure under this obligation is approximately $5.9 million. As of June 30, 2026, no amounts have been recorded in the condensed consolidated financial statements related to this matter. The Company will continue to assess this matter each reporting period and recognize a liability at such time as reimbursement is required.</w:t>
      </w:r>
    </w:p>
    <w:p>
      <w:pPr>
        <w:pStyle w:val="TextBody"/>
        <w:bidi w:val="0"/>
        <w:spacing w:before="0" w:after="180"/>
        <w:ind w:left="0" w:right="0" w:hanging="0"/>
        <w:jc w:val="both"/>
        <w:rPr>
          <w:rFonts w:ascii="Helvetica;sans-serif" w:hAnsi="Helvetica;sans-serif"/>
          <w:b/>
          <w:sz w:val="20"/>
        </w:rPr>
      </w:pPr>
      <w:r>
        <w:rPr>
          <w:rFonts w:ascii="Helvetica;sans-serif" w:hAnsi="Helvetica;sans-serif"/>
          <w:b/>
          <w:sz w:val="20"/>
        </w:rPr>
        <w:t xml:space="preserve">Guarantees and Indemnifications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has not received any material claims or been required to defend any action related to its indemnification obligations. However, the Company may record charges in the future as a result of these indemnification obligations. The Company assesses the likelihood of any adverse judgments or related claims, as well as ranges of probable losses. In the cases where the Company believes that a reasonably possible or probable loss exists, it will disclose the facts and circumstances of the claims, including an estimate range, if possible.</w:t>
      </w:r>
    </w:p>
    <w:p>
      <w:pPr>
        <w:pStyle w:val="TextBody"/>
        <w:bidi w:val="0"/>
        <w:spacing w:before="0" w:after="180"/>
        <w:ind w:left="0" w:right="0" w:hanging="0"/>
        <w:jc w:val="both"/>
        <w:rPr>
          <w:rFonts w:ascii="Helvetica;sans-serif" w:hAnsi="Helvetica;sans-serif"/>
          <w:b/>
          <w:sz w:val="20"/>
        </w:rPr>
      </w:pPr>
      <w:r>
        <w:rPr>
          <w:rFonts w:ascii="Helvetica;sans-serif" w:hAnsi="Helvetica;sans-serif"/>
          <w:b/>
          <w:sz w:val="20"/>
        </w:rPr>
        <w:t>Legal Proceedings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There are no pending legal proceedings, other than ordinary routine litigation incidental to the business, to which the Company or any of its subsidiaries is a party, or that any of the Company or its subsidiaries' property is subject. </w:t>
      </w:r>
    </w:p>
    <w:p>
      <w:pPr>
        <w:pStyle w:val="TextBody"/>
        <w:bidi w:val="0"/>
        <w:spacing w:before="0" w:after="180"/>
        <w:ind w:left="0" w:right="0" w:hanging="0"/>
        <w:jc w:val="both"/>
        <w:rPr>
          <w:rFonts w:ascii="Helvetica;sans-serif" w:hAnsi="Helvetica;sans-serif"/>
          <w:b/>
          <w:sz w:val="20"/>
        </w:rPr>
      </w:pPr>
      <w:r>
        <w:rPr>
          <w:rFonts w:ascii="Helvetica;sans-serif" w:hAnsi="Helvetica;sans-serif"/>
          <w:b/>
          <w:sz w:val="20"/>
        </w:rPr>
        <w:t>Income Tax Matters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Company’s 2023 tax year is currently under examination by the Internal Revenue Service. The Company is currently evaluating the scope and potential outcomes of the tax audit.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Helvetica;sans-serif" w:hAnsi="Helvetica;sans-serif"/>
          <w:b/>
          <w:sz w:val="20"/>
        </w:rPr>
      </w:pPr>
      <w:r>
        <w:rPr>
          <w:rFonts w:ascii="Helvetica;sans-serif" w:hAnsi="Helvetica;sans-serif"/>
          <w:b/>
          <w:sz w:val="20"/>
        </w:rPr>
        <w:t xml:space="preserve">10.       Stockholders’ Equity </w:t>
      </w:r>
    </w:p>
    <w:p>
      <w:pPr>
        <w:pStyle w:val="TextBody"/>
        <w:shd w:fill="FFFFFF" w:val="clear"/>
        <w:bidi w:val="0"/>
        <w:spacing w:before="0" w:after="240"/>
        <w:ind w:left="0" w:right="0" w:hanging="0"/>
        <w:jc w:val="left"/>
        <w:rPr>
          <w:rFonts w:ascii="Helvetica;sans-serif" w:hAnsi="Helvetica;sans-serif"/>
          <w:b/>
          <w:sz w:val="20"/>
        </w:rPr>
      </w:pPr>
      <w:r>
        <w:rPr>
          <w:rFonts w:ascii="Helvetica;sans-serif" w:hAnsi="Helvetica;sans-serif"/>
          <w:b/>
          <w:sz w:val="20"/>
        </w:rPr>
        <w:t xml:space="preserve">Sales Agreement </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rPr>
        <w:t>On November 8, 2022, the Company entered into a Sales Agreement, as amended, with Cowen and Company, LLC (“TD Cowen”), pursuant to which (and subject to applicable law) the Company may issue and sell from time to time up to $92.5 million of its common stock, including the common stock already sold, through or to TD Cowen as the Company’s sales agent or principal under the Sales Agreement. No shares were sold under the Sales Agreement during the six months ended June 30, 2026 or 2025. As of June 30, 2026, the Company had approximately $64.9 million of its common stock remaining available for sales under the Sales Agreement.</w:t>
      </w:r>
    </w:p>
    <w:p>
      <w:pPr>
        <w:pStyle w:val="TextBody"/>
        <w:shd w:fill="FFFFFF" w:val="clear"/>
        <w:bidi w:val="0"/>
        <w:spacing w:before="0" w:after="240"/>
        <w:ind w:left="0" w:right="0" w:hanging="0"/>
        <w:jc w:val="left"/>
        <w:rPr>
          <w:rFonts w:ascii="Helvetica;sans-serif" w:hAnsi="Helvetica;sans-serif"/>
          <w:b/>
          <w:sz w:val="20"/>
        </w:rPr>
      </w:pPr>
      <w:r>
        <w:rPr>
          <w:rFonts w:ascii="Helvetica;sans-serif" w:hAnsi="Helvetica;sans-serif"/>
          <w:b/>
          <w:sz w:val="20"/>
        </w:rPr>
        <w:t>Private Placement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On October 21, 2025, the Company sold to certain unaffiliated third-party investors (i) an aggregate of 4,634,995 shares of our common stock (the “PIPE Shares”) and (ii) warrants (the “PIPE Warrants”) to purchase an aggregate of 463,498 shares of common stock, each for an exercise price of $0.01 per share, for an aggregate purchase price of $8.0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million (collectively, the “Private Placement”) and net proceeds were $7.9 million. The PIPE Warrants may be exercised at any time on or before October 21, 2030. There was no exercise activity during the six months ended June 30, 2026, and all PIPE Warrants remained outstanding as of June 30, 2026. The PIPE Warrants are subject to appropriate adjustment in the event of share dividends, stock splits, reorganizations or similar events affecting our common stock.</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rPr>
        <w:t>The Company determined that the PIPE Warrants issued to investors are indexed to its own stock and meet the requirements for equity classification. Accordingly, the fair value of the PIPE Warrants was recorded as a component of additional paid-in capital within stockholders’ equity and is not subject to subsequent remeasurement.</w:t>
      </w:r>
    </w:p>
    <w:p>
      <w:pPr>
        <w:pStyle w:val="TextBody"/>
        <w:shd w:fill="FFFFFF" w:val="clear"/>
        <w:bidi w:val="0"/>
        <w:spacing w:before="0" w:after="240"/>
        <w:ind w:left="0" w:right="0" w:hanging="0"/>
        <w:jc w:val="left"/>
        <w:rPr>
          <w:rFonts w:ascii="Helvetica;sans-serif" w:hAnsi="Helvetica;sans-serif"/>
          <w:b/>
          <w:sz w:val="20"/>
        </w:rPr>
      </w:pPr>
      <w:r>
        <w:rPr>
          <w:rFonts w:ascii="Helvetica;sans-serif" w:hAnsi="Helvetica;sans-serif"/>
          <w:b/>
          <w:sz w:val="20"/>
        </w:rPr>
        <w:t xml:space="preserve">Public Offering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On February 12, 2026, the Company entered into an underwriting agreement (the “Underwriting Agreement”) with TD Securities (USA) LLC, Guggenheim Securities, LLC and Oppenheimer &amp; Co. Inc. as representatives of the several underwriters named therein (collectively, the “Underwriters”), pursuant to which the Company agreed to issue and sell an aggregate of 28,600,000 shares (the “Firm Shares”) of its common stock, par value $0.0001 per share (“Common Stock”) to the Underwriters (the “Public Offering”). Additionally, under the terms of the Underwriting Agreement, the Company granted the Underwriters an option, for 30 days from the date of the Underwriting Agreement, solely for the purpose of covering over-allotments, if any, to purchase up to an additional 4,290,000 shares of Common Stock (the “Optional Shares,” and together with the Firm Shares, the “Offering Shares”). The price to the public in the Public Offering was $1.75 per share. The Underwriters agreed to purchase the Offering Shares from the Company pursuant to the Underwriting Agreement at a price of $1.645 per share. </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rPr>
        <w:t>During the three months ended March 31, 2026, the Company completed the sale and issuance of 32,890,000 Offering Shares, which included all the Optional Shares. The Company received net proceeds of $53.6 million, after deducting the Underwriters’ discounts and commissions and offering expenses payable by the Company.</w:t>
      </w:r>
    </w:p>
    <w:p>
      <w:pPr>
        <w:pStyle w:val="TextBody"/>
        <w:shd w:fill="FFFFFF" w:val="clear"/>
        <w:bidi w:val="0"/>
        <w:spacing w:before="0" w:after="0"/>
        <w:ind w:left="0" w:right="0" w:firstLine="490"/>
        <w:jc w:val="both"/>
        <w:rPr/>
      </w:pPr>
      <w:r>
        <w:rPr/>
        <w:t>​</w:t>
      </w:r>
    </w:p>
    <w:p>
      <w:pPr>
        <w:pStyle w:val="TextBody"/>
        <w:bidi w:val="0"/>
        <w:spacing w:before="0" w:after="200"/>
        <w:ind w:left="0" w:right="0" w:hanging="0"/>
        <w:jc w:val="left"/>
        <w:rPr>
          <w:rFonts w:ascii="Helvetica;sans-serif" w:hAnsi="Helvetica;sans-serif"/>
          <w:b/>
          <w:sz w:val="20"/>
        </w:rPr>
      </w:pPr>
      <w:r>
        <w:rPr>
          <w:rFonts w:ascii="Helvetica;sans-serif" w:hAnsi="Helvetica;sans-serif"/>
          <w:b/>
          <w:sz w:val="20"/>
        </w:rPr>
        <w:t xml:space="preserve">11.       Stock-Based Compensation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On May 29, 2026 (the “modification date”), the Company’s stockholders approved a one-time option repricing (the “Repricing”) of certain outstanding stock options (“Eligible Options”) granted under the Amended and Restated 2014 Equity Incentive Award Plan (the “2014 Plan”) and the 2016 Employment Commencement Incentive Plan (the “2016 Plan”). The Repricing was eligible to current employees, including executive officers, and certain consultants, but explicitly excluded non-employee directors. Only options with an original exercise price of $5.00 or higher were included in the Repricing. The pool of Eligible Options were granted from 2016 through 2023 and carried per-share exercise prices ranging from $5.44 to $30.98. The Company pursued the Repricing to restore the retention and motivational value of these underwater options without causing the equity dilution or cash expenditures associated with alternative compensation structures.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As of the modification date, the total number of shares underlying the Eligible Options was 8,907,542. These options were automatically repriced to the closing price on the date of stockholder approval of $1.59 per share. Additionally, the contractual term of all Eligible Options was extended to 10 years from the modification date.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a holder terminates service or exercises an Eligible Option prior to the one-year retention date of May 29, 2027, the exercise price will automatically revert to its original exercise price, except as otherwise determined by the Company’s Board or Compensation Committee. Except for the reduction in exercise price and the extension of the contractual term, all other original terms and conditions of the options remain unchanged.</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The incremental stock-based compensation expense was calculated using the Black-Scholes model. The Repricing resulted in total incremental stock-based compensation expense of $6.3 million, which will be recognized on a straight-line basis through May 29, 2027, the end of the retention period. For the three months ended June 30, 2026, the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Helvetica;sans-serif" w:hAnsi="Helvetica;sans-serif"/>
          <w:sz w:val="20"/>
        </w:rPr>
      </w:pPr>
      <w:bookmarkStart w:id="1160" w:name="Tc_J1_4HyY_z0WO5PwUlHJTxg_11_11"/>
      <w:bookmarkStart w:id="1161" w:name="Tc_kz5kYfqxvUO_3sV_ipud5Q_11_8"/>
      <w:bookmarkStart w:id="1162" w:name="Tc_UO8V3mZnxUmUfZzdcqApog_11_5"/>
      <w:bookmarkStart w:id="1163" w:name="Tc_9TU_UzAmmkqEXB8CAQtEZQ_11_2"/>
      <w:bookmarkStart w:id="1164" w:name="Tc_FGzPuhN8gUaKCXa_IOzBRg_11_0"/>
      <w:bookmarkStart w:id="1165" w:name="Tc_KaeoFR5luEWtNeWoNn52MA_9_11"/>
      <w:bookmarkStart w:id="1166" w:name="Tc_Nj6dsQaCSEaBHmxuTrYmdA_9_8"/>
      <w:bookmarkStart w:id="1167" w:name="Tc_OU3dA2jlYkSzmeWk-QgucQ_9_5"/>
      <w:bookmarkStart w:id="1168" w:name="Tc_FbW1fRvtPkaYKaZwfRElEQ_9_2"/>
      <w:bookmarkStart w:id="1169" w:name="Tc_HFB4xv8cUEWdMOTh_CNFhg_9_0"/>
      <w:bookmarkStart w:id="1170" w:name="Tc_Inb28PbeGU-k_JE8BXZIbA_8_9"/>
      <w:bookmarkStart w:id="1171" w:name="Tc_bQYJb0G0bkKzFVBUFfEHaA_8_3"/>
      <w:bookmarkStart w:id="1172" w:name="Tc_j19otDOExUygdFZKYjDZGA_8_0"/>
      <w:bookmarkStart w:id="1173" w:name="Tc_GFyn4AicBUmeWinY-iR9_w_7_0"/>
      <w:bookmarkStart w:id="1174" w:name="Tc_J66sAC-Lx0qplX2x2Hw0dg_6_0"/>
      <w:bookmarkStart w:id="1175" w:name="Tc_sOCla61WTkumsbeWRXYRUQ_5_0"/>
      <w:bookmarkStart w:id="1176" w:name="Tc_lULT2C21q0GKOv8iSDDsHw_4_11"/>
      <w:bookmarkStart w:id="1177" w:name="Tc_tgR2PJVwbkKnhZVF7IHtjg_4_8"/>
      <w:bookmarkStart w:id="1178" w:name="Tc_YpNhzjpq0UuWGVRaJSkLHQ_4_5"/>
      <w:bookmarkStart w:id="1179" w:name="Tc_cYiLgmjKq0mJMuzbwn3f2A_4_2"/>
      <w:bookmarkStart w:id="1180" w:name="Tc_4ZFS6JO-rUuQW3Sop5I44w_4_0"/>
      <w:bookmarkStart w:id="1181" w:name="Tc_XEQNhq_FY029sK9nWAR_8g_3_11"/>
      <w:bookmarkStart w:id="1182" w:name="Tc_5WyR3q2Zu0Ke0BCmeivvrw_3_8"/>
      <w:bookmarkStart w:id="1183" w:name="Tc_0GOTsi1WzEmKzO9HOwNdlQ_3_5"/>
      <w:bookmarkStart w:id="1184" w:name="Tc_fia0nfrqdk2mMbfQUxoCxg_3_2"/>
      <w:bookmarkStart w:id="1185" w:name="Tc_WXdlKFoio0CaroFf14huqw_3_0"/>
      <w:bookmarkStart w:id="1186" w:name="Tc_bj1vmUllJECH8ijDAA4EpA_2_8"/>
      <w:bookmarkStart w:id="1187" w:name="Tc_ZGv7BTZR70iLP5JSbO9lrA_2_2"/>
      <w:bookmarkStart w:id="1188" w:name="Tc_O4j2L_NmD0mJQGE9N-UvWA_1_8"/>
      <w:bookmarkStart w:id="1189" w:name="Tc_YLWitn54VkuHPwji1Yl0WA_1_2"/>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Helvetica;sans-serif" w:hAnsi="Helvetica;sans-serif"/>
          <w:sz w:val="20"/>
        </w:rPr>
        <w:t>Company recognized incremental stock-based compensation expense of $0.5 million associated with the Repricing, which is included in the table below.</w:t>
      </w:r>
    </w:p>
    <w:p>
      <w:pPr>
        <w:pStyle w:val="TextBody"/>
        <w:shd w:fill="FFFFFF" w:val="clear"/>
        <w:bidi w:val="0"/>
        <w:spacing w:before="0" w:after="0"/>
        <w:ind w:left="0" w:right="0" w:firstLine="490"/>
        <w:jc w:val="both"/>
        <w:rPr>
          <w:rFonts w:ascii="Helvetica;sans-serif" w:hAnsi="Helvetica;sans-serif"/>
          <w:sz w:val="20"/>
        </w:rPr>
      </w:pPr>
      <w:r>
        <w:rPr>
          <w:rFonts w:ascii="Helvetica;sans-serif" w:hAnsi="Helvetica;sans-serif"/>
          <w:sz w:val="20"/>
        </w:rPr>
        <w:t xml:space="preserve">The following table summarizes the classification of stock-based compensation expense in the Company’s condensed consolidated statements of operations related to employees and non-employees: </w:t>
      </w:r>
    </w:p>
    <w:p>
      <w:pPr>
        <w:pStyle w:val="TextBody"/>
        <w:shd w:fill="FFFFFF" w:val="clear"/>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5483"/>
        <w:gridCol w:w="346"/>
        <w:gridCol w:w="211"/>
        <w:gridCol w:w="586"/>
        <w:gridCol w:w="346"/>
        <w:gridCol w:w="211"/>
        <w:gridCol w:w="586"/>
        <w:gridCol w:w="346"/>
        <w:gridCol w:w="211"/>
        <w:gridCol w:w="586"/>
        <w:gridCol w:w="346"/>
        <w:gridCol w:w="211"/>
        <w:gridCol w:w="736"/>
      </w:tblGrid>
      <w:tr>
        <w:trPr/>
        <w:tc>
          <w:tcPr>
            <w:tcW w:w="5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481705" cy="175260"/>
                      <wp:effectExtent l="0" t="0" r="0" b="0"/>
                      <wp:wrapNone/>
                      <wp:docPr id="262" name="Frame262"/>
                      <a:graphic xmlns:a="http://schemas.openxmlformats.org/drawingml/2006/main">
                        <a:graphicData uri="http://schemas.microsoft.com/office/word/2010/wordprocessingShape">
                          <wps:wsp>
                            <wps:cNvSpPr txBox="1"/>
                            <wps:spPr>
                              <a:xfrm>
                                <a:off x="0" y="0"/>
                                <a:ext cx="3481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72110" cy="175260"/>
                      <wp:effectExtent l="0" t="0" r="0" b="0"/>
                      <wp:wrapNone/>
                      <wp:docPr id="265" name="Frame2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2110" cy="175260"/>
                      <wp:effectExtent l="0" t="0" r="0" b="0"/>
                      <wp:wrapNone/>
                      <wp:docPr id="268" name="Frame2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72110" cy="175260"/>
                      <wp:effectExtent l="0" t="0" r="0" b="0"/>
                      <wp:wrapNone/>
                      <wp:docPr id="271" name="Frame2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67360" cy="175260"/>
                      <wp:effectExtent l="0" t="0" r="0" b="0"/>
                      <wp:wrapNone/>
                      <wp:docPr id="274" name="Frame2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09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54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5483"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5483" w:type="dxa"/>
            <w:tcBorders/>
            <w:shd w:fill="CCEEFF" w:val="clear"/>
            <w:vAlign w:val="center"/>
          </w:tcPr>
          <w:p>
            <w:pPr>
              <w:pStyle w:val="TableContents"/>
              <w:bidi w:val="0"/>
              <w:spacing w:lineRule="auto" w:line="240" w:before="0" w:after="0"/>
              <w:ind w:left="0" w:right="0" w:hanging="0"/>
              <w:jc w:val="left"/>
              <w:rPr>
                <w:rFonts w:ascii="Helvetica;sans-serif" w:hAnsi="Helvetica;sans-serif"/>
                <w:sz w:val="20"/>
              </w:rPr>
            </w:pPr>
            <w:r>
              <w:rPr>
                <w:rFonts w:ascii="Helvetica;sans-serif" w:hAnsi="Helvetica;sans-serif"/>
                <w:sz w:val="20"/>
              </w:rPr>
              <w:t xml:space="preserve">Cost of goods sold </w:t>
            </w:r>
            <w:r>
              <w:rPr>
                <w:rFonts w:ascii="Helvetica;sans-serif" w:hAnsi="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3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368</w:t>
            </w:r>
          </w:p>
        </w:tc>
      </w:tr>
      <w:tr>
        <w:trPr/>
        <w:tc>
          <w:tcPr>
            <w:tcW w:w="5483"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1,308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3,841</w:t>
            </w:r>
          </w:p>
        </w:tc>
      </w:tr>
      <w:tr>
        <w:trPr/>
        <w:tc>
          <w:tcPr>
            <w:tcW w:w="548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6,584</w:t>
            </w:r>
          </w:p>
        </w:tc>
      </w:tr>
      <w:tr>
        <w:trPr/>
        <w:tc>
          <w:tcPr>
            <w:tcW w:w="5483"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Stock-based compensation subtotal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4,968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10,793</w:t>
            </w:r>
          </w:p>
        </w:tc>
      </w:tr>
      <w:tr>
        <w:trPr/>
        <w:tc>
          <w:tcPr>
            <w:tcW w:w="548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Less: Stock-based compensation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(581)</w:t>
            </w:r>
          </w:p>
        </w:tc>
      </w:tr>
      <w:tr>
        <w:trPr/>
        <w:tc>
          <w:tcPr>
            <w:tcW w:w="5483"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stock-based compensation expense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5,166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4,968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10,212</w:t>
            </w:r>
          </w:p>
        </w:tc>
      </w:tr>
      <w:tr>
        <w:trPr/>
        <w:tc>
          <w:tcPr>
            <w:tcW w:w="5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483"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stock-based compensation expense capitalized into inventory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286</w:t>
            </w:r>
          </w:p>
        </w:tc>
      </w:tr>
    </w:tbl>
    <w:p>
      <w:pPr>
        <w:pStyle w:val="TextBody"/>
        <w:bidi w:val="0"/>
        <w:spacing w:before="0" w:after="0"/>
        <w:ind w:left="0" w:right="0" w:hanging="0"/>
        <w:jc w:val="left"/>
        <w:rPr/>
      </w:pPr>
      <w:r>
        <w:rPr/>
        <w:t>​</w:t>
      </w:r>
    </w:p>
    <w:tbl>
      <w:tblPr>
        <w:tblW w:w="9332" w:type="dxa"/>
        <w:jc w:val="left"/>
        <w:tblInd w:w="0" w:type="dxa"/>
        <w:tblLayout w:type="fixed"/>
        <w:tblCellMar>
          <w:top w:w="0" w:type="dxa"/>
          <w:left w:w="0" w:type="dxa"/>
          <w:bottom w:w="0" w:type="dxa"/>
          <w:right w:w="0" w:type="dxa"/>
        </w:tblCellMar>
      </w:tblPr>
      <w:tblGrid>
        <w:gridCol w:w="331"/>
        <w:gridCol w:w="9001"/>
      </w:tblGrid>
      <w:tr>
        <w:trPr/>
        <w:tc>
          <w:tcPr>
            <w:tcW w:w="331"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001"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Stock-based compensation capitalized into inventory is recognized as cost of goods sold when the related product is sold.</w:t>
            </w:r>
          </w:p>
        </w:tc>
      </w:tr>
    </w:tbl>
    <w:p>
      <w:pPr>
        <w:pStyle w:val="TextBody"/>
        <w:bidi w:val="0"/>
        <w:spacing w:before="120" w:after="240"/>
        <w:ind w:left="720" w:right="0" w:hanging="0"/>
        <w:jc w:val="left"/>
        <w:rPr/>
      </w:pPr>
      <w:r>
        <w:rPr/>
        <w:t>​</w:t>
      </w:r>
    </w:p>
    <w:p>
      <w:pPr>
        <w:pStyle w:val="TextBody"/>
        <w:bidi w:val="0"/>
        <w:spacing w:before="120" w:after="240"/>
        <w:ind w:left="360" w:right="0" w:hanging="0"/>
        <w:jc w:val="left"/>
        <w:rPr/>
      </w:pPr>
      <w:r>
        <w:rPr/>
        <w:t>​</w:t>
      </w:r>
    </w:p>
    <w:p>
      <w:pPr>
        <w:pStyle w:val="TextBody"/>
        <w:bidi w:val="0"/>
        <w:spacing w:before="0" w:after="240"/>
        <w:ind w:left="0" w:right="0" w:hanging="0"/>
        <w:jc w:val="left"/>
        <w:rPr>
          <w:rFonts w:ascii="Helvetica;sans-serif" w:hAnsi="Helvetica;sans-serif"/>
          <w:b/>
          <w:sz w:val="20"/>
        </w:rPr>
      </w:pPr>
      <w:bookmarkStart w:id="1190" w:name="Tc_B6iSJNlsFUuzeKUbhkYLvA_14_11"/>
      <w:bookmarkStart w:id="1191" w:name="Tc_KCpJUSW6_kydrrzb-q4brQ_14_8"/>
      <w:bookmarkStart w:id="1192" w:name="Tc_LYzxNJJozk6HcxlbNp93Xw_14_5"/>
      <w:bookmarkStart w:id="1193" w:name="Tc_T8e53kluQUWr2jVEGd8gdQ_14_2"/>
      <w:bookmarkStart w:id="1194" w:name="Tc_EEVet2QWJUq9YDFwAmsfBg_14_0"/>
      <w:bookmarkStart w:id="1195" w:name="Tc_AZ_IILOIsUGYfSbv7NLRKA_13_0"/>
      <w:bookmarkStart w:id="1196" w:name="Tc_uVaeLbHoWECNF7KH6H3A8g_12_11"/>
      <w:bookmarkStart w:id="1197" w:name="Tc_RTm8bMs8WUOPuj2N0FDI8A_12_8"/>
      <w:bookmarkStart w:id="1198" w:name="Tc_cgh5jyKa-0utHVlEV3pbNw_12_5"/>
      <w:bookmarkStart w:id="1199" w:name="Tc_pKkTrUYEl0i28KV9FeW-Fw_12_2"/>
      <w:bookmarkStart w:id="1200" w:name="Tc_lXz93km_U0WxC-VVlNufgw_12_0"/>
      <w:bookmarkStart w:id="1201" w:name="Tc_nrZt3Aw_7kyQLS6WbfSKqQ_10_11"/>
      <w:bookmarkStart w:id="1202" w:name="Tc_e2YEjw9PLEaMtqBXEUmVeA_10_8"/>
      <w:bookmarkStart w:id="1203" w:name="Tc_AOnX_7EJaUmJeILmyuICQQ_10_5"/>
      <w:bookmarkStart w:id="1204" w:name="Tc_-WsuCQzv70m2DzCYhvrGBA_10_2"/>
      <w:bookmarkStart w:id="1205" w:name="Tc_AwY6PCwPl0aACm-hFOGlWw_10_0"/>
      <w:bookmarkStart w:id="1206" w:name="Tc_5mMe0w8eS06WdzvZvGtCpw_9_0"/>
      <w:bookmarkStart w:id="1207" w:name="Tc_Ts3OEPaC0UGnmeD5aUIigg_8_11"/>
      <w:bookmarkStart w:id="1208" w:name="Tc_7MaEaeQvYkyyIk2-ngIqQg_8_8"/>
      <w:bookmarkStart w:id="1209" w:name="Tc_U4CVQLjkcEyVHykZvl3jpQ_8_5"/>
      <w:bookmarkStart w:id="1210" w:name="Tc_jGwLYIRWRket3tapxkCepQ_8_2"/>
      <w:bookmarkStart w:id="1211" w:name="Tc_4Bdcm8KFBkKAsuoGdxJrpQ_8_0"/>
      <w:bookmarkStart w:id="1212" w:name="Tc_RQwkT1Vig0-Pi7x6-O4A4Q_6_11"/>
      <w:bookmarkStart w:id="1213" w:name="Tc_3zq2DZ3qK0CyzaIMhC5Kxw_6_8"/>
      <w:bookmarkStart w:id="1214" w:name="Tc_7Cai-nnmvEajKg7j6ZgKEg_6_5"/>
      <w:bookmarkStart w:id="1215" w:name="Tc_hvBGEC2JvkOuX87XlyYSQw_6_2"/>
      <w:bookmarkStart w:id="1216" w:name="Tc_WNmBxaEOvECWiBjYoNDuXw_6_0"/>
      <w:bookmarkStart w:id="1217" w:name="Tc_28dJct8-_kGzEABXiguBaA_5_0"/>
      <w:bookmarkStart w:id="1218" w:name="Tc_WN7p12T8nUGEEdWAuFH77w_4_11"/>
      <w:bookmarkStart w:id="1219" w:name="Tc_PA-p4M4oKE6XN_66_UTk_w_4_8"/>
      <w:bookmarkStart w:id="1220" w:name="Tc_us_RlHXdq0i5XbawWRLvXA_4_5"/>
      <w:bookmarkStart w:id="1221" w:name="Tc_61J32bWQVUeVCnXEHmHiuw_4_2"/>
      <w:bookmarkStart w:id="1222" w:name="Tc_fEpKd_ku2EujBUXCW39i8Q_4_0"/>
      <w:bookmarkStart w:id="1223" w:name="Tc_RBaFOiXmF0W5d9HN_o6Olw_3_11"/>
      <w:bookmarkStart w:id="1224" w:name="Tc_QIpWtFpr40q4qCNm4EyV8g_3_8"/>
      <w:bookmarkStart w:id="1225" w:name="Tc_RF4jdH8uwkSMh9EzrVEz6A_3_5"/>
      <w:bookmarkStart w:id="1226" w:name="Tc_YZede6l_gkG_gq3hBOkbaQ_3_2"/>
      <w:bookmarkStart w:id="1227" w:name="Tc_fn0SxxAboU-cQHKUu3kytA_3_0"/>
      <w:bookmarkStart w:id="1228" w:name="Tc_0fSd9o-sUkO0oh9IHR-fdw_2_9"/>
      <w:bookmarkStart w:id="1229" w:name="Tc__N_p_TVCv0OkeaKc-sqkDQ_2_2"/>
      <w:bookmarkStart w:id="1230" w:name="Tc_LobjnOi_Zkmrmu_5_r9niQ_1_8"/>
      <w:bookmarkStart w:id="1231" w:name="Tc_zclvQegnmkG87rAhvhNBmQ_1_2"/>
      <w:bookmarkStart w:id="1232" w:name="_9cbd7274_fe96_48bc_884e_d0d60bb1c0de"/>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Fonts w:ascii="Helvetica;sans-serif" w:hAnsi="Helvetica;sans-serif"/>
          <w:b/>
          <w:sz w:val="20"/>
        </w:rPr>
        <w:t xml:space="preserve">12.      Net Income (Loss) Per Share </w:t>
      </w:r>
    </w:p>
    <w:p>
      <w:pPr>
        <w:pStyle w:val="TextBody"/>
        <w:bidi w:val="0"/>
        <w:spacing w:before="0" w:after="200"/>
        <w:ind w:left="0" w:right="0" w:firstLine="490"/>
        <w:jc w:val="both"/>
        <w:rPr>
          <w:rFonts w:ascii="Helvetica;sans-serif" w:hAnsi="Helvetica;sans-serif"/>
          <w:sz w:val="20"/>
        </w:rPr>
      </w:pPr>
      <w:r>
        <w:rPr>
          <w:rFonts w:ascii="Helvetica;sans-serif" w:hAnsi="Helvetica;sans-serif"/>
          <w:sz w:val="20"/>
        </w:rPr>
        <w:t xml:space="preserve">Basic net loss per share is calculated by dividing the net loss by the weighted-average number of shares of common stock outstanding for the period, without consideration for potential dilutive common shares. </w:t>
      </w:r>
      <w:r>
        <w:rPr>
          <w:rFonts w:ascii="Helvetica;sans-serif" w:hAnsi="Helvetica;sans-serif"/>
          <w:sz w:val="20"/>
          <w:shd w:fill="FFFFFF" w:val="clear"/>
        </w:rPr>
        <w:t>Diluted net l</w:t>
      </w:r>
      <w:r>
        <w:rPr>
          <w:rFonts w:ascii="Helvetica;sans-serif" w:hAnsi="Helvetica;sans-serif"/>
          <w:sz w:val="20"/>
        </w:rPr>
        <w:t xml:space="preserve">oss per share is computed by dividing net loss by the weighted-average number of common shares outstanding for the period, without consideration for any potential dilutive common share equivalents as their effect would be antidilutive. </w:t>
      </w:r>
    </w:p>
    <w:p>
      <w:pPr>
        <w:pStyle w:val="TextBody"/>
        <w:bidi w:val="0"/>
        <w:spacing w:before="0" w:after="120"/>
        <w:ind w:left="0" w:right="0" w:firstLine="490"/>
        <w:jc w:val="both"/>
        <w:rPr>
          <w:rFonts w:ascii="Helvetica;sans-serif" w:hAnsi="Helvetica;sans-serif"/>
          <w:sz w:val="20"/>
        </w:rPr>
      </w:pPr>
      <w:r>
        <w:rPr>
          <w:rFonts w:ascii="Helvetica;sans-serif" w:hAnsi="Helvetica;sans-serif"/>
          <w:color w:val="212529"/>
          <w:sz w:val="20"/>
          <w:shd w:fill="FFFFFF" w:val="clear"/>
        </w:rPr>
        <w:t>The following table sets forth the computation of the basic and diluted net income (loss) per share:</w:t>
      </w:r>
      <w:r>
        <w:rPr>
          <w:rFonts w:ascii="Helvetica;sans-serif" w:hAnsi="Helvetica;sans-serif"/>
          <w:color w:val="FF0000"/>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68"/>
        <w:gridCol w:w="346"/>
        <w:gridCol w:w="211"/>
        <w:gridCol w:w="1141"/>
        <w:gridCol w:w="346"/>
        <w:gridCol w:w="211"/>
        <w:gridCol w:w="1141"/>
        <w:gridCol w:w="346"/>
        <w:gridCol w:w="211"/>
        <w:gridCol w:w="1141"/>
        <w:gridCol w:w="346"/>
        <w:gridCol w:w="211"/>
        <w:gridCol w:w="1186"/>
      </w:tblGrid>
      <w:tr>
        <w:trPr/>
        <w:tc>
          <w:tcPr>
            <w:tcW w:w="33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24535" cy="175260"/>
                      <wp:effectExtent l="0" t="0" r="0" b="0"/>
                      <wp:wrapNone/>
                      <wp:docPr id="277" name="Frame27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24535" cy="175260"/>
                      <wp:effectExtent l="0" t="0" r="0" b="0"/>
                      <wp:wrapNone/>
                      <wp:docPr id="280" name="Frame2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24535" cy="175260"/>
                      <wp:effectExtent l="0" t="0" r="0" b="0"/>
                      <wp:wrapNone/>
                      <wp:docPr id="283" name="Frame28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53110" cy="175260"/>
                      <wp:effectExtent l="0" t="0" r="0" b="0"/>
                      <wp:wrapNone/>
                      <wp:docPr id="286" name="Frame28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50"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095" w:type="dxa"/>
            <w:gridSpan w:val="5"/>
            <w:tcBorders/>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33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June 30, </w:t>
            </w:r>
          </w:p>
        </w:tc>
      </w:tr>
      <w:tr>
        <w:trPr/>
        <w:tc>
          <w:tcPr>
            <w:tcW w:w="3368"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 except share and per share data)</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r>
      <w:tr>
        <w:trPr/>
        <w:tc>
          <w:tcPr>
            <w:tcW w:w="3368"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loss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(33,347)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(44,862)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(70,282)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86"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(92,260)</w:t>
            </w:r>
          </w:p>
        </w:tc>
      </w:tr>
      <w:tr>
        <w:trPr/>
        <w:tc>
          <w:tcPr>
            <w:tcW w:w="3368"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Weighted-average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154,816,912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116,077,710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145,658,487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115,968,352</w:t>
            </w:r>
          </w:p>
        </w:tc>
      </w:tr>
      <w:tr>
        <w:trPr/>
        <w:tc>
          <w:tcPr>
            <w:tcW w:w="3368"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loss per share from continuing operations,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(0.80)</w:t>
            </w:r>
          </w:p>
        </w:tc>
      </w:tr>
      <w:tr>
        <w:trPr/>
        <w:tc>
          <w:tcPr>
            <w:tcW w:w="33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3368"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income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12,716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342,629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11,324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86"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333,458</w:t>
            </w:r>
          </w:p>
        </w:tc>
      </w:tr>
      <w:tr>
        <w:trPr/>
        <w:tc>
          <w:tcPr>
            <w:tcW w:w="3368"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Weighted-average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154,816,912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116,077,710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145,658,487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115,968,352</w:t>
            </w:r>
          </w:p>
        </w:tc>
      </w:tr>
      <w:tr>
        <w:trPr/>
        <w:tc>
          <w:tcPr>
            <w:tcW w:w="3368"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income per share from discontinued operations,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2.88</w:t>
            </w:r>
          </w:p>
        </w:tc>
      </w:tr>
      <w:tr>
        <w:trPr/>
        <w:tc>
          <w:tcPr>
            <w:tcW w:w="33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3368"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(20,631)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297,767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(58,958)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86" w:type="dxa"/>
            <w:tcBorders/>
            <w:shd w:fill="CCEEFF" w:val="cle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241,198</w:t>
            </w:r>
          </w:p>
        </w:tc>
      </w:tr>
      <w:tr>
        <w:trPr/>
        <w:tc>
          <w:tcPr>
            <w:tcW w:w="3368" w:type="dxa"/>
            <w:tcBorders/>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Weighted-average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154,816,912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116,077,710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145,658,487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115,968,352</w:t>
            </w:r>
          </w:p>
        </w:tc>
      </w:tr>
      <w:tr>
        <w:trPr/>
        <w:tc>
          <w:tcPr>
            <w:tcW w:w="3368" w:type="dxa"/>
            <w:tcBorders/>
            <w:shd w:fill="CCEEFF" w:val="cle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Net income (loss) per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2.57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Helvetica;sans-serif" w:hAnsi="Helvetica;sans-serif"/>
                <w:sz w:val="18"/>
              </w:rPr>
            </w:pPr>
            <w:r>
              <w:rPr>
                <w:rFonts w:ascii="Helvetica;sans-serif" w:hAnsi="Helvetica;sans-serif"/>
                <w:sz w:val="18"/>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Helvetica;sans-serif" w:hAnsi="Helvetica;sans-serif"/>
                <w:sz w:val="18"/>
              </w:rPr>
            </w:pPr>
            <w:r>
              <w:rPr>
                <w:rFonts w:ascii="Helvetica;sans-serif" w:hAnsi="Helvetica;sans-serif"/>
                <w:sz w:val="18"/>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Helvetica;sans-serif" w:hAnsi="Helvetica;sans-serif"/>
                <w:sz w:val="18"/>
              </w:rPr>
            </w:pPr>
            <w:r>
              <w:rPr>
                <w:rFonts w:ascii="Helvetica;sans-serif" w:hAnsi="Helvetica;sans-serif"/>
                <w:sz w:val="18"/>
              </w:rPr>
              <w:t>2.08</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pPr>
      <w:bookmarkStart w:id="1233" w:name="Tc_TuZFORC_j0etusPFKAk8EQ_7_0"/>
      <w:bookmarkStart w:id="1234" w:name="Tc_UpOiWUQ4RUe1rZx8fEMHIg_6_6"/>
      <w:bookmarkStart w:id="1235" w:name="Tc_aA3hzGhirE6mIH-oePdAuw_6_2"/>
      <w:bookmarkStart w:id="1236" w:name="Tc_M9i2uf8xC0SnXDdTH3fhqg_6_0"/>
      <w:bookmarkStart w:id="1237" w:name="Tc_TTV5Cix44UqutY8-vEz9ew_5_0"/>
      <w:bookmarkStart w:id="1238" w:name="Tc_s764PW62Q0C95rBEoOYxhw_4_0"/>
      <w:bookmarkStart w:id="1239" w:name="Tc_1kgpT1drHkKig0EBwu1NFA_3_8"/>
      <w:bookmarkStart w:id="1240" w:name="Tc_ENIbPrs2PU2mQohoF1ctsw_3_6"/>
      <w:bookmarkStart w:id="1241" w:name="Tc_GBiJjmw_MUKtm4vSM_wVfQ_3_4"/>
      <w:bookmarkStart w:id="1242" w:name="Tc_zd-WgHG_M0-GWy0vrvCwmA_3_2"/>
      <w:bookmarkStart w:id="1243" w:name="Tc_jJUeriGWbU-CI_0NG7kOUQ_2_6"/>
      <w:bookmarkStart w:id="1244" w:name="Tc_YYoSBt6g3keouRhoU92QDA_2_2"/>
      <w:bookmarkStart w:id="1245" w:name="Tc_T68zQ_utUEGx2Avv9gCN0g_1_6"/>
      <w:bookmarkStart w:id="1246" w:name="Tc_S1oIokkxUkmq2lbKGduCUQ_1_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Pr/>
        <w:t>​</w:t>
      </w:r>
    </w:p>
    <w:p>
      <w:pPr>
        <w:pStyle w:val="TextBody"/>
        <w:bidi w:val="0"/>
        <w:spacing w:before="0" w:after="200"/>
        <w:ind w:left="0" w:right="0" w:firstLine="490"/>
        <w:jc w:val="both"/>
        <w:rPr>
          <w:rFonts w:ascii="Helvetica;sans-serif" w:hAnsi="Helvetica;sans-serif"/>
          <w:sz w:val="20"/>
        </w:rPr>
      </w:pPr>
      <w:r>
        <w:rPr>
          <w:rFonts w:ascii="Helvetica;sans-serif" w:hAnsi="Helvetica;sans-serif"/>
          <w:sz w:val="20"/>
        </w:rPr>
        <w:t>For the three and six months ended June 30, 2026, the PIPE Warrants issued in the Private Placement to purchase the Company’s common stock were included in the basic and diluted earnings per share calculation because their exercise price was non-substantive.</w:t>
      </w:r>
    </w:p>
    <w:p>
      <w:pPr>
        <w:pStyle w:val="TextBody"/>
        <w:bidi w:val="0"/>
        <w:spacing w:before="0" w:after="200"/>
        <w:ind w:left="0" w:right="0" w:firstLine="490"/>
        <w:jc w:val="both"/>
        <w:rPr>
          <w:rFonts w:ascii="Helvetica;sans-serif" w:hAnsi="Helvetica;sans-serif"/>
          <w:sz w:val="20"/>
        </w:rPr>
      </w:pPr>
      <w:r>
        <w:rPr>
          <w:rFonts w:ascii="Helvetica;sans-serif" w:hAnsi="Helvetica;sans-serif"/>
          <w:sz w:val="20"/>
        </w:rPr>
        <w:t>As the Company had discontinued operations, the Company used net loss from continuing operations as the control number to determine whether potential common shares were dilutive or anti-dilutive for purposes of reporting each of the basic and diluted net loss per common share presentations above. Because there is a loss from continuing operations in each of the periods presented, the potentially dilutive shares are anti-dilutive and diluted net income (loss) per share in each of the presentations is the same as basic net income (loss) per share.</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The following outstanding dilutive potential shares were excluded from the calculation of diluted net income (loss) per share due to their anti-dilutive effect: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72"/>
        <w:gridCol w:w="346"/>
        <w:gridCol w:w="1036"/>
        <w:gridCol w:w="346"/>
        <w:gridCol w:w="1036"/>
        <w:gridCol w:w="346"/>
        <w:gridCol w:w="1036"/>
        <w:gridCol w:w="346"/>
        <w:gridCol w:w="1141"/>
      </w:tblGrid>
      <w:tr>
        <w:trPr/>
        <w:tc>
          <w:tcPr>
            <w:tcW w:w="4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903220" cy="175260"/>
                      <wp:effectExtent l="0" t="0" r="0" b="0"/>
                      <wp:wrapNone/>
                      <wp:docPr id="287" name="Frame287"/>
                      <a:graphic xmlns:a="http://schemas.openxmlformats.org/drawingml/2006/main">
                        <a:graphicData uri="http://schemas.microsoft.com/office/word/2010/wordprocessingShape">
                          <wps:wsp>
                            <wps:cNvSpPr txBox="1"/>
                            <wps:spPr>
                              <a:xfrm>
                                <a:off x="0" y="0"/>
                                <a:ext cx="290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57860" cy="175260"/>
                      <wp:effectExtent l="0" t="0" r="0" b="0"/>
                      <wp:wrapNone/>
                      <wp:docPr id="289" name="Frame2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57860" cy="175260"/>
                      <wp:effectExtent l="0" t="0" r="0" b="0"/>
                      <wp:wrapNone/>
                      <wp:docPr id="291" name="Frame2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57860" cy="175260"/>
                      <wp:effectExtent l="0" t="0" r="0" b="0"/>
                      <wp:wrapNone/>
                      <wp:docPr id="293" name="Frame2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24535" cy="175260"/>
                      <wp:effectExtent l="0" t="0" r="0" b="0"/>
                      <wp:wrapNone/>
                      <wp:docPr id="295" name="Frame29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gridSpan w:val="3"/>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523" w:type="dxa"/>
            <w:gridSpan w:val="3"/>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5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4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572"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Stock options, performance stock options and shares subject to ESPP</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32,088,228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29,704,100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31,937,390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30,386,951</w:t>
            </w:r>
          </w:p>
        </w:tc>
      </w:tr>
      <w:tr>
        <w:trPr/>
        <w:tc>
          <w:tcPr>
            <w:tcW w:w="457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Restricted stock units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1,594,655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236,960</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1,411,459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300,388</w:t>
            </w:r>
          </w:p>
        </w:tc>
      </w:tr>
      <w:tr>
        <w:trPr/>
        <w:tc>
          <w:tcPr>
            <w:tcW w:w="4572"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Shares issuable upon conversion of 2026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6,283</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6,283</w:t>
            </w:r>
          </w:p>
        </w:tc>
      </w:tr>
      <w:tr>
        <w:trPr/>
        <w:tc>
          <w:tcPr>
            <w:tcW w:w="457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33,682,883</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29,947,343</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33,348,849</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18"/>
              </w:rPr>
            </w:pPr>
            <w:r>
              <w:rPr>
                <w:rFonts w:ascii="Helvetica;sans-serif" w:hAnsi="Helvetica;sans-serif"/>
                <w:sz w:val="18"/>
              </w:rPr>
              <w:t>30,693,622</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 xml:space="preserve">In connection with the Surface Acquisition, the Company entered into the Contingent Value Rights Agreement, dated September 8, 2023, by and among the Company and Computershare Inc. and its affiliate Computershare Trust Company, N.A., together, as the rights agent thereunder (the “CVR Agreement”). </w:t>
      </w:r>
      <w:r>
        <w:rPr>
          <w:rFonts w:ascii="Helvetica;sans-serif" w:hAnsi="Helvetica;sans-serif"/>
          <w:sz w:val="20"/>
        </w:rPr>
        <w:t xml:space="preserve">The amounts in the table above exclude any shares contingently issuable pursuant to the CVR Agreement because the conditions that could result in a payment becoming due were not met.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Helvetica;sans-serif" w:hAnsi="Helvetica;sans-serif"/>
          <w:b/>
          <w:sz w:val="20"/>
        </w:rPr>
      </w:pPr>
      <w:bookmarkStart w:id="1247" w:name="ITEM2_265983"/>
      <w:bookmarkStart w:id="1248" w:name="ManagementsDiscussionandAnalysisofFinanc"/>
      <w:bookmarkStart w:id="1249" w:name="_ead6112f_bbae_4f1c_9dbe_32b2d408869d"/>
      <w:bookmarkEnd w:id="1247"/>
      <w:bookmarkEnd w:id="1248"/>
      <w:bookmarkEnd w:id="1249"/>
      <w:r>
        <w:rPr>
          <w:rFonts w:ascii="Helvetica;sans-serif" w:hAnsi="Helvetica;san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Helvetica;sans-serif" w:hAnsi="Helvetica;sans-serif"/>
          <w:i/>
          <w:sz w:val="20"/>
        </w:rPr>
      </w:pPr>
      <w:r>
        <w:rPr>
          <w:rFonts w:ascii="Helvetica;sans-serif" w:hAnsi="Helvetica;sans-serif"/>
          <w:i/>
          <w:sz w:val="20"/>
        </w:rPr>
        <w:t xml:space="preserve">The interim financial statements included in this Quarterly Report on Form 10-Q and this Management’s Discussion and Analysis of Financial Condition and Results of Operations should be read in conjunction with the financial statements and notes thereto for the year ended December 31, 2025, and the related Management’s Discussion and Analysis of Financial Condition and Results of Operations, contained in the 2025 Form 10-K. In addition to historical information, this discussion and analysis contains forward-looking statements within the meaning of Section 27A of the Securities Act and Section 21E of the Exchange Act. These forward-looking statements are subject to risks and uncertainties, including those discussed in the section titled “Risk Factors,” set forth in Part II – Other Information, Item 1A below and elsewhere in this report, that could cause actual results to differ materially from historical results or anticipated results. </w:t>
      </w:r>
    </w:p>
    <w:p>
      <w:pPr>
        <w:pStyle w:val="TextBody"/>
        <w:pBdr/>
        <w:bidi w:val="0"/>
        <w:spacing w:before="0" w:after="0"/>
        <w:ind w:left="0" w:right="0" w:hanging="0"/>
        <w:jc w:val="left"/>
        <w:rPr>
          <w:rFonts w:ascii="Helvetica;sans-serif" w:hAnsi="Helvetica;sans-serif"/>
          <w:b/>
          <w:sz w:val="20"/>
        </w:rPr>
      </w:pPr>
      <w:r>
        <w:rPr>
          <w:rFonts w:ascii="Helvetica;sans-serif" w:hAnsi="Helvetica;sans-serif"/>
          <w:b/>
          <w:sz w:val="20"/>
        </w:rPr>
        <w:t xml:space="preserve">Overview </w:t>
      </w:r>
    </w:p>
    <w:p>
      <w:pPr>
        <w:pStyle w:val="TextBody"/>
        <w:pBdr/>
        <w:shd w:fill="FFFFFF" w:val="clear"/>
        <w:bidi w:val="0"/>
        <w:spacing w:before="0" w:after="0"/>
        <w:ind w:left="0" w:right="0" w:firstLine="450"/>
        <w:jc w:val="both"/>
        <w:rPr>
          <w:rFonts w:ascii="Helvetica;sans-serif" w:hAnsi="Helvetica;sans-serif"/>
          <w:sz w:val="20"/>
        </w:rPr>
      </w:pPr>
      <w:r>
        <w:rPr>
          <w:rFonts w:ascii="Helvetica;sans-serif" w:hAnsi="Helvetica;sans-serif"/>
          <w:sz w:val="20"/>
        </w:rPr>
        <w:t>We are a fully integrated commercial-stage innovative oncology company with an approved next-generation PD-1 inhibitor, LOQTORZI, and a pipeline that includes two mid-stage clinical candidates targeting liver, prostate, head &amp; neck, colorectal and other cancers. Our strategy is to grow sales of LOQTORZI in NPC while advancing the development of our two pipeline candidates in combination with LOQTORZI and/or with other novel agents, and through strategic partnerships. We have global rights to both clinical-stage candidates and plan to execute ex-U.S. licensing deals as the clinical data supports such transactions.</w:t>
      </w:r>
    </w:p>
    <w:p>
      <w:pPr>
        <w:pStyle w:val="TextBody"/>
        <w:pBdr/>
        <w:shd w:fill="FFFFFF" w:val="clear"/>
        <w:bidi w:val="0"/>
        <w:spacing w:before="0" w:after="0"/>
        <w:ind w:left="0" w:right="0" w:firstLine="450"/>
        <w:jc w:val="both"/>
        <w:rPr>
          <w:rFonts w:ascii="Helvetica;sans-serif" w:hAnsi="Helvetica;sans-serif"/>
          <w:sz w:val="20"/>
        </w:rPr>
      </w:pPr>
      <w:r>
        <w:rPr>
          <w:rFonts w:ascii="Helvetica;sans-serif" w:hAnsi="Helvetica;sans-serif"/>
          <w:sz w:val="20"/>
        </w:rPr>
        <w:t>We primarily operate in the United States and partner with companies that operate in other countries.</w:t>
      </w:r>
    </w:p>
    <w:p>
      <w:pPr>
        <w:pStyle w:val="TextBody"/>
        <w:pBdr/>
        <w:shd w:fill="FFFFFF" w:val="clear"/>
        <w:bidi w:val="0"/>
        <w:spacing w:before="0" w:after="0"/>
        <w:ind w:left="0" w:right="0" w:hanging="0"/>
        <w:jc w:val="left"/>
        <w:rPr>
          <w:rFonts w:ascii="Helvetica;sans-serif" w:hAnsi="Helvetica;sans-serif"/>
          <w:b/>
          <w:sz w:val="20"/>
        </w:rPr>
      </w:pPr>
      <w:r>
        <w:rPr>
          <w:rFonts w:ascii="Helvetica;sans-serif" w:hAnsi="Helvetica;sans-serif"/>
          <w:b/>
          <w:sz w:val="20"/>
        </w:rPr>
        <w:t xml:space="preserve">Product and Product Candidates </w:t>
      </w:r>
    </w:p>
    <w:p>
      <w:pPr>
        <w:pStyle w:val="TextBody"/>
        <w:pBdr/>
        <w:shd w:fill="FFFFFF" w:val="clear"/>
        <w:bidi w:val="0"/>
        <w:spacing w:before="0" w:after="0"/>
        <w:ind w:left="0" w:right="0" w:firstLine="450"/>
        <w:jc w:val="both"/>
        <w:rPr>
          <w:rFonts w:ascii="Helvetica;sans-serif" w:hAnsi="Helvetica;sans-serif"/>
          <w:sz w:val="20"/>
        </w:rPr>
      </w:pPr>
      <w:r>
        <w:rPr>
          <w:rFonts w:ascii="Helvetica;sans-serif" w:hAnsi="Helvetica;sans-serif"/>
          <w:sz w:val="20"/>
        </w:rPr>
        <w:t>Our portfolio includes the following product and product candidates:</w:t>
      </w:r>
    </w:p>
    <w:p>
      <w:pPr>
        <w:pStyle w:val="TextBody"/>
        <w:shd w:fill="FFFFFF" w:val="clear"/>
        <w:bidi w:val="0"/>
        <w:spacing w:before="0" w:after="240"/>
        <w:ind w:left="0" w:right="0" w:firstLine="450"/>
        <w:jc w:val="both"/>
        <w:rPr>
          <w:rFonts w:ascii="Helvetica;sans-serif" w:hAnsi="Helvetica;sans-serif"/>
          <w:b/>
          <w:sz w:val="20"/>
        </w:rPr>
      </w:pPr>
      <w:r>
        <w:rPr>
          <w:rFonts w:ascii="Helvetica;sans-serif" w:hAnsi="Helvetica;sans-serif"/>
          <w:b/>
          <w:sz w:val="20"/>
        </w:rPr>
        <w:t>Oncology</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shd w:fill="FFFFFF" w:val="clear"/>
              <w:bidi w:val="0"/>
              <w:spacing w:before="0" w:after="240"/>
              <w:jc w:val="both"/>
              <w:rPr/>
            </w:pPr>
            <w:r>
              <w:rPr/>
              <w:t>●</w:t>
            </w:r>
          </w:p>
        </w:tc>
        <w:tc>
          <w:tcPr>
            <w:tcW w:w="9825" w:type="dxa"/>
            <w:tcBorders/>
            <w:vAlign w:val="center"/>
          </w:tcPr>
          <w:p>
            <w:pPr>
              <w:pStyle w:val="TableContents"/>
              <w:shd w:fill="FFFFFF" w:val="clear"/>
              <w:bidi w:val="0"/>
              <w:spacing w:before="0" w:after="240"/>
              <w:jc w:val="both"/>
              <w:rPr>
                <w:rFonts w:ascii="Helvetica;sans-serif" w:hAnsi="Helvetica;sans-serif"/>
                <w:sz w:val="20"/>
              </w:rPr>
            </w:pPr>
            <w:r>
              <w:rPr>
                <w:rFonts w:ascii="Helvetica;sans-serif" w:hAnsi="Helvetica;sans-serif"/>
                <w:sz w:val="20"/>
              </w:rPr>
              <w:t>LOQTORZI was developed for its ability to block PD-1 interactions with its ligands, PD-L1 and PD-L2, by binding to the FG loop on the PD-1 receptor. We believe blocking PD-1 interactions with PD-L1 and PD-L2 can help to promote the immune system’s ability to attack and kill tumor cells. 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tc>
      </w:tr>
    </w:tbl>
    <w:p>
      <w:pPr>
        <w:pStyle w:val="TextBody"/>
        <w:pBdr/>
        <w:shd w:fill="FFFFFF" w:val="clear"/>
        <w:bidi w:val="0"/>
        <w:spacing w:before="0" w:after="0"/>
        <w:ind w:left="965" w:right="0" w:hanging="0"/>
        <w:jc w:val="both"/>
        <w:rPr>
          <w:rFonts w:ascii="Helvetica;sans-serif" w:hAnsi="Helvetica;sans-serif"/>
          <w:sz w:val="20"/>
        </w:rPr>
      </w:pPr>
      <w:r>
        <w:rPr>
          <w:rFonts w:ascii="Helvetica;sans-serif" w:hAnsi="Helvetica;sans-serif"/>
          <w:sz w:val="20"/>
        </w:rPr>
        <w:t>On December 11, 2023 we announced that National Comprehensive Cancer Network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with disease progression on or after a platinum-containing therapy.</w:t>
      </w:r>
    </w:p>
    <w:p>
      <w:pPr>
        <w:pStyle w:val="TextBody"/>
        <w:shd w:fill="FFFFFF" w:val="clear"/>
        <w:bidi w:val="0"/>
        <w:spacing w:before="0" w:after="0"/>
        <w:ind w:left="965" w:right="0" w:hanging="0"/>
        <w:jc w:val="both"/>
        <w:rPr>
          <w:rFonts w:ascii="Helvetica;sans-serif" w:hAnsi="Helvetica;sans-serif"/>
          <w:sz w:val="20"/>
        </w:rPr>
      </w:pPr>
      <w:r>
        <w:rPr>
          <w:rFonts w:ascii="Helvetica;sans-serif" w:hAnsi="Helvetica;sans-serif"/>
          <w:sz w:val="20"/>
        </w:rPr>
        <w:t xml:space="preserve">Further evaluation of LOQTORZI is expected through multiple current and planned clinical studies by us and our partners. We have a post marketing commitment study active and enrolling patients in locations in the U.S. and Canada in order to further evaluate the efficacy of toripalimab in combination with chemotherapy (cisplatin and gemcitabine) in patients with advanced NPC (clinicaltrials.gov identifier# NCT06457503). Junshi Biosciences is currently enrolling in a multiregional Phase 3 clinical study evaluating the treatment of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965" w:right="0" w:hanging="0"/>
        <w:jc w:val="both"/>
        <w:rPr>
          <w:rFonts w:ascii="Helvetica;sans-serif" w:hAnsi="Helvetica;sans-serif"/>
          <w:sz w:val="20"/>
        </w:rPr>
      </w:pPr>
      <w:r>
        <w:rPr>
          <w:rFonts w:ascii="Helvetica;sans-serif" w:hAnsi="Helvetica;sans-serif"/>
          <w:sz w:val="20"/>
        </w:rPr>
        <w:t>LOQTORZI with its investigational anti-BTLA antibody in Limited-Stage Small Cell Lung Cancer (“LS-SCLC”) (clinicaltrials.gov identifier# NCT06095583). INOVIO Pharmaceuticals, Inc. plans a randomized Phase 3 study of INO-3112 and toripalimab in locally advanced, high risk HPV16/18+ oropharyngeal squamous cell carcinoma. Cancer Research Institute is evaluating toripalimab in combination with ENB Therapeutics’ investigational agent ENB-003 in its Phase 2 trial titled, “Immunotherapy Platform Study in Platinum Resistant High Grade Serous Ovarian Cancer (IPROC)” (clinicaltrials.gov identifier# NCT04918186) that is being performed in collaboration with Canadian Cancer Trials Group. Zumutor Biologics is evaluating ZM008, a novel NK checkpoint anti-LLT1 monoclonal antibody in combination with toripalimab (clinicaltrials.gov identifier# NCT06451497). The study will enroll patients with advanced solid tumors including colorectal, head and neck, non-small cell lung cancer, clear cell renal cell carcinoma and urothelial cancers. On June 27, 2024, we entered into the Canada License Agreement with Apotex.</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shd w:fill="FFFFFF" w:val="clear"/>
              <w:bidi w:val="0"/>
              <w:spacing w:before="0" w:after="240"/>
              <w:jc w:val="both"/>
              <w:rPr/>
            </w:pPr>
            <w:r>
              <w:rPr/>
              <w:t>●</w:t>
            </w:r>
          </w:p>
        </w:tc>
        <w:tc>
          <w:tcPr>
            <w:tcW w:w="9825" w:type="dxa"/>
            <w:tcBorders/>
            <w:vAlign w:val="center"/>
          </w:tcPr>
          <w:p>
            <w:pPr>
              <w:pStyle w:val="TableContents"/>
              <w:shd w:fill="FFFFFF" w:val="clear"/>
              <w:bidi w:val="0"/>
              <w:spacing w:before="0" w:after="240"/>
              <w:jc w:val="both"/>
              <w:rPr>
                <w:rFonts w:ascii="Helvetica;sans-serif" w:hAnsi="Helvetica;sans-serif"/>
                <w:sz w:val="20"/>
              </w:rPr>
            </w:pPr>
            <w:r>
              <w:rPr>
                <w:rFonts w:ascii="Helvetica;sans-serif" w:hAnsi="Helvetica;sans-serif"/>
                <w:sz w:val="20"/>
              </w:rPr>
              <w:t>Casdozokitug (CHS-388, formerly SRF388), is an investigational recombinant human IgG1 monoclonal antibody targeting IL-27, an immune regulatory cytokine, or protein that is overexpressed in certain cancers, including hepatocellular, lung and renal cell carcinoma. IL-27 is a cytokine secreted by macrophages and antigen presenting cells that plays an important physiological role in suppressing the immune system, as evidenced by its ability to resolve tissue inflammation. In addition, IL-27 is highly expressed during pregnancy and its expression is correlated with maternal-fetal tolerance. Due to its immune regulatory nature, there is a rationale for inhibiting IL-27 to treat cancer, as this approach will influence the activity of multiple types of immune cells that are necessary to recognize and attack a tumor. Casdozokitug received orphan drug designation from the FDA for the treatment of hepatocellular carcinoma (“HCC”) in October 2020. Casdozokitug is currently being evaluated in an ongoing randomized Phase 2 clinical study in HCC evaluating casdozokitug in combination with toripalimab and bevacizumab (clinicaltrials.gov identifier# NCT06679985).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val="false"/>
                <w:caps w:val="false"/>
                <w:smallCaps w:val="false"/>
                <w:sz w:val="20"/>
                <w:shd w:fill="FFFFFF" w:val="clear"/>
              </w:rPr>
              <w:t>Tagmokitug (CHS-114, formerly SRF114), is an investigational human afucosylated IgG1 monoclonal antibody selectively targeting CCR8, a chemokine receptor highly expressed on regulatory T cells (“Treg cells”) in the tumor microenvironment. T</w:t>
            </w:r>
            <w:r>
              <w:rPr>
                <w:rFonts w:ascii="Helvetica;sans-serif" w:hAnsi="Helvetica;sans-serif"/>
                <w:b w:val="false"/>
                <w:i w:val="false"/>
                <w:caps w:val="false"/>
                <w:smallCaps w:val="false"/>
                <w:sz w:val="20"/>
              </w:rPr>
              <w:t>agmokitug</w:t>
            </w:r>
            <w:r>
              <w:rPr>
                <w:caps w:val="false"/>
                <w:smallCaps w:val="false"/>
                <w:shd w:fill="FFFFFF" w:val="clear"/>
              </w:rPr>
              <w:t xml:space="preserve"> </w:t>
            </w:r>
            <w:r>
              <w:rPr>
                <w:rFonts w:ascii="Helvetica;sans-serif" w:hAnsi="Helvetica;sans-serif"/>
                <w:b w:val="false"/>
                <w:i w:val="false"/>
                <w:caps w:val="false"/>
                <w:smallCaps w:val="false"/>
                <w:sz w:val="20"/>
                <w:shd w:fill="FFFFFF" w:val="clear"/>
              </w:rPr>
              <w:t>is designed as a cytolytic antibody to cause depletion of CCR8+ Treg cells, important regulators of immune suppression and tolerance, through Antibody-Dependent Cell-mediated Cytotoxicity (“ADCC”), Antibody-Dependent Cellular Phagocytosis or (“ADCP”) or both. T</w:t>
            </w:r>
            <w:r>
              <w:rPr>
                <w:rFonts w:ascii="Helvetica;sans-serif" w:hAnsi="Helvetica;sans-serif"/>
                <w:b w:val="false"/>
                <w:i w:val="false"/>
                <w:caps w:val="false"/>
                <w:smallCaps w:val="false"/>
                <w:sz w:val="20"/>
              </w:rPr>
              <w:t>agmokitug</w:t>
            </w:r>
            <w:r>
              <w:rPr>
                <w:caps w:val="false"/>
                <w:smallCaps w:val="false"/>
                <w:shd w:fill="FFFFFF" w:val="clear"/>
              </w:rPr>
              <w:t xml:space="preserve"> </w:t>
            </w:r>
            <w:r>
              <w:rPr>
                <w:rFonts w:ascii="Helvetica;sans-serif" w:hAnsi="Helvetica;sans-serif"/>
                <w:b w:val="false"/>
                <w:i w:val="false"/>
                <w:caps w:val="false"/>
                <w:smallCaps w:val="false"/>
                <w:sz w:val="20"/>
                <w:shd w:fill="FFFFFF" w:val="clear"/>
              </w:rPr>
              <w:t>has shown anti-tumor activity as monotherapy and in combination with anti-PD-1 antibodies in preclinical models. We are currently evaluating t</w:t>
            </w:r>
            <w:r>
              <w:rPr>
                <w:rFonts w:ascii="Helvetica;sans-serif" w:hAnsi="Helvetica;sans-serif"/>
                <w:b w:val="false"/>
                <w:i w:val="false"/>
                <w:caps w:val="false"/>
                <w:smallCaps w:val="false"/>
                <w:sz w:val="20"/>
              </w:rPr>
              <w:t>agmokitug</w:t>
            </w:r>
            <w:r>
              <w:rPr>
                <w:caps w:val="false"/>
                <w:smallCaps w:val="false"/>
                <w:shd w:fill="FFFFFF" w:val="clear"/>
              </w:rPr>
              <w:t xml:space="preserve"> </w:t>
            </w:r>
            <w:r>
              <w:rPr>
                <w:rFonts w:ascii="Helvetica;sans-serif" w:hAnsi="Helvetica;sans-serif"/>
                <w:b w:val="false"/>
                <w:i w:val="false"/>
                <w:caps w:val="false"/>
                <w:smallCaps w:val="false"/>
                <w:sz w:val="20"/>
                <w:shd w:fill="FFFFFF" w:val="clear"/>
              </w:rPr>
              <w:t>in combination with toripalimab in a Phase 1b clinical study in second-line head and neck squamous cell carcinoma (“HNSCC”) (clinicaltrials.gov identifier# NCT05635643). We also have an ongoing Phase 1b/2a clinical study of t</w:t>
            </w:r>
            <w:r>
              <w:rPr>
                <w:rFonts w:ascii="Helvetica;sans-serif" w:hAnsi="Helvetica;sans-serif"/>
                <w:b w:val="false"/>
                <w:i w:val="false"/>
                <w:caps w:val="false"/>
                <w:smallCaps w:val="false"/>
                <w:sz w:val="20"/>
              </w:rPr>
              <w:t>agmokitug</w:t>
            </w:r>
            <w:r>
              <w:rPr>
                <w:caps w:val="false"/>
                <w:smallCaps w:val="false"/>
                <w:shd w:fill="FFFFFF" w:val="clear"/>
              </w:rPr>
              <w:t xml:space="preserve"> </w:t>
            </w:r>
            <w:r>
              <w:rPr>
                <w:rFonts w:ascii="Helvetica;sans-serif" w:hAnsi="Helvetica;sans-serif"/>
                <w:b w:val="false"/>
                <w:i w:val="false"/>
                <w:caps w:val="false"/>
                <w:smallCaps w:val="false"/>
                <w:sz w:val="20"/>
                <w:shd w:fill="FFFFFF" w:val="clear"/>
              </w:rPr>
              <w:t xml:space="preserve">in combination with toripalimab and/or other treatments in participants with advanced solid tumors with the first cohorts evaluating </w:t>
            </w:r>
            <w:r>
              <w:rPr>
                <w:rFonts w:ascii="Helvetica;sans-serif" w:hAnsi="Helvetica;sans-serif"/>
                <w:b w:val="false"/>
                <w:i w:val="false"/>
                <w:caps w:val="false"/>
                <w:smallCaps w:val="false"/>
                <w:sz w:val="20"/>
              </w:rPr>
              <w:t>upper GI adenocarcinomas</w:t>
            </w:r>
            <w:r>
              <w:rPr>
                <w:rFonts w:ascii="Helvetica;sans-serif" w:hAnsi="Helvetica;sans-serif"/>
                <w:b w:val="false"/>
                <w:i w:val="false"/>
                <w:caps w:val="false"/>
                <w:smallCaps w:val="false"/>
                <w:sz w:val="20"/>
                <w:shd w:fill="FFFFFF" w:val="clear"/>
              </w:rPr>
              <w:t>, esophageal squamous cell cancer and microsatellite stable colorectal cancer (clinicaltrials.gov identifier# NCT06657144).</w:t>
            </w:r>
          </w:p>
        </w:tc>
      </w:tr>
    </w:tbl>
    <w:p>
      <w:pPr>
        <w:pStyle w:val="TextBody"/>
        <w:shd w:fill="FFFFFF" w:val="clear"/>
        <w:bidi w:val="0"/>
        <w:spacing w:before="0" w:after="240"/>
        <w:ind w:left="1008" w:right="0" w:hanging="0"/>
        <w:jc w:val="both"/>
        <w:rPr>
          <w:rFonts w:ascii="Helvetica;sans-serif" w:hAnsi="Helvetica;sans-serif"/>
          <w:sz w:val="20"/>
        </w:rPr>
      </w:pPr>
      <w:r>
        <w:rPr>
          <w:rFonts w:ascii="Helvetica;sans-serif" w:hAnsi="Helvetica;sans-serif"/>
          <w:sz w:val="20"/>
        </w:rPr>
        <w:t>On February 4, 2026, we announced a clinical supply agreement with Janssen Research &amp; Development, LLC, to evaluate tagmokitug in combination with pasritamig, a T-cell engaging bispecific antibody, in a Phase 1b clinical study in patients with metastatic castration-resistant prostate cancer. Under the terms of the clinical supply agreement, Janssen will provide pasritamig to us, and we will be the sponsor of the Phase 1b clinical trial. Janssen and us each retain all commercial rights to our respective compounds, including as monotherapy or as combination treatments. The pasritamig combination study is expected to initiate in the fall of 2026.</w:t>
      </w:r>
    </w:p>
    <w:p>
      <w:pPr>
        <w:pStyle w:val="TextBody"/>
        <w:pBdr/>
        <w:shd w:fill="FFFFFF" w:val="clear"/>
        <w:bidi w:val="0"/>
        <w:spacing w:before="0" w:after="240"/>
        <w:ind w:left="0" w:right="0" w:hanging="490"/>
        <w:jc w:val="both"/>
        <w:rPr>
          <w:rFonts w:ascii="Helvetica;sans-serif" w:hAnsi="Helvetica;sans-serif"/>
          <w:b/>
          <w:sz w:val="20"/>
        </w:rPr>
      </w:pPr>
      <w:r>
        <w:rPr>
          <w:rFonts w:ascii="Helvetica;sans-serif" w:hAnsi="Helvetica;sans-serif"/>
          <w:b/>
          <w:sz w:val="20"/>
        </w:rPr>
        <w:t xml:space="preserve">License Agreement with Junshi Biosciences </w:t>
      </w:r>
    </w:p>
    <w:p>
      <w:pPr>
        <w:pStyle w:val="TextBody"/>
        <w:pBdr/>
        <w:bidi w:val="0"/>
        <w:spacing w:before="0" w:after="0"/>
        <w:ind w:left="0" w:right="0" w:firstLine="490"/>
        <w:jc w:val="both"/>
        <w:rPr>
          <w:rFonts w:ascii="Helvetica;sans-serif" w:hAnsi="Helvetica;sans-serif"/>
          <w:sz w:val="20"/>
          <w:shd w:fill="FFFFFF" w:val="clear"/>
        </w:rPr>
      </w:pPr>
      <w:r>
        <w:rPr>
          <w:rFonts w:ascii="Helvetica;sans-serif" w:hAnsi="Helvetica;sans-serif"/>
          <w:sz w:val="20"/>
          <w:shd w:fill="FFFFFF" w:val="clear"/>
        </w:rPr>
        <w:t>On February 1, 2021, we entered into the Collaboration Agreement with Junshi Biosciences for the co-development and commercialization of LOQTORZI, Junshi Biosciences’ anti-PD-1 antibody in the United States and Canada.</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90"/>
        <w:jc w:val="both"/>
        <w:rPr>
          <w:rFonts w:ascii="Helvetica;sans-serif" w:hAnsi="Helvetica;sans-serif"/>
          <w:sz w:val="20"/>
        </w:rPr>
      </w:pPr>
      <w:r>
        <w:rPr>
          <w:rFonts w:ascii="Helvetica;sans-serif" w:hAnsi="Helvetica;sans-serif"/>
          <w:sz w:val="20"/>
        </w:rPr>
        <w:t>Under the terms of the Collaboration Agreement, we paid $150.0 million upfront for exclusive rights to LOQTORZI in the United States and Canada. We obtained the right to conduct all commercial activities of LOQTORZI in the United States and Canada. We paid $25.0 million for the achievement of certain milestones, and we pay a royalty in the low twenty percent range on net sales of LOQTORZI. On June 27, 2024, we entered into the Canada License Agreement. In October 2025, Apotex received Health Canada approval for LOQTORZI for the treatment of recurrent unresectable or metastatic nasopharyngeal cancer.</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Results of Operations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Comparison of Three and Six Months Ended June 30, 2026 and 2025 </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Revenue</w:t>
      </w:r>
    </w:p>
    <w:tbl>
      <w:tblPr>
        <w:tblW w:w="8839" w:type="dxa"/>
        <w:jc w:val="left"/>
        <w:tblInd w:w="0" w:type="dxa"/>
        <w:tblLayout w:type="fixed"/>
        <w:tblCellMar>
          <w:top w:w="0" w:type="dxa"/>
          <w:left w:w="0" w:type="dxa"/>
          <w:bottom w:w="0" w:type="dxa"/>
          <w:right w:w="0" w:type="dxa"/>
        </w:tblCellMar>
      </w:tblPr>
      <w:tblGrid>
        <w:gridCol w:w="1546"/>
        <w:gridCol w:w="346"/>
        <w:gridCol w:w="211"/>
        <w:gridCol w:w="676"/>
        <w:gridCol w:w="346"/>
        <w:gridCol w:w="211"/>
        <w:gridCol w:w="676"/>
        <w:gridCol w:w="346"/>
        <w:gridCol w:w="211"/>
        <w:gridCol w:w="571"/>
        <w:gridCol w:w="346"/>
        <w:gridCol w:w="211"/>
        <w:gridCol w:w="676"/>
        <w:gridCol w:w="346"/>
        <w:gridCol w:w="211"/>
        <w:gridCol w:w="676"/>
        <w:gridCol w:w="346"/>
        <w:gridCol w:w="211"/>
        <w:gridCol w:w="676"/>
      </w:tblGrid>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9260" cy="175260"/>
                      <wp:effectExtent l="0" t="0" r="0" b="0"/>
                      <wp:wrapNone/>
                      <wp:docPr id="298" name="Frame2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1" name="Frame3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304"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9260" cy="175260"/>
                      <wp:effectExtent l="0" t="0" r="0" b="0"/>
                      <wp:wrapNone/>
                      <wp:docPr id="307" name="Frame3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29260" cy="175260"/>
                      <wp:effectExtent l="0" t="0" r="0" b="0"/>
                      <wp:wrapNone/>
                      <wp:docPr id="310" name="Frame3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29260" cy="175260"/>
                      <wp:effectExtent l="0" t="0" r="0" b="0"/>
                      <wp:wrapNone/>
                      <wp:docPr id="313" name="Frame3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3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 </w:t>
            </w:r>
          </w:p>
        </w:tc>
      </w:tr>
      <w:tr>
        <w:trPr/>
        <w:tc>
          <w:tcPr>
            <w:tcW w:w="154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Change</w:t>
            </w:r>
          </w:p>
        </w:tc>
      </w:tr>
      <w:tr>
        <w:trPr/>
        <w:tc>
          <w:tcPr>
            <w:tcW w:w="1546"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xml:space="preserve">LOQTORZI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57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25,416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8,109</w:t>
            </w:r>
          </w:p>
        </w:tc>
      </w:tr>
      <w:tr>
        <w:trPr/>
        <w:tc>
          <w:tcPr>
            <w:tcW w:w="154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Other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655</w:t>
            </w:r>
          </w:p>
        </w:tc>
      </w:tr>
      <w:tr>
        <w:trPr/>
        <w:tc>
          <w:tcPr>
            <w:tcW w:w="1546"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net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17,853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sans-serif" w:hAnsi="Helvetica;sans-serif"/>
                <w:sz w:val="18"/>
              </w:rPr>
            </w:pPr>
            <w:r>
              <w:rPr>
                <w:rFonts w:ascii="Helvetica;sans-serif" w:hAnsi="Helvetica;sans-serif"/>
                <w:sz w:val="18"/>
              </w:rPr>
              <w:t>8,764</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increases in LOQTORZI net revenue for the three and six months ended June 30, 2026, compared to the same periods in the prior year, were driven primarily by volume growth of LOQTORZI.</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We expect net revenue from continuing operations in 2026 to be higher than in 2025 because of continued growth of LOQTORZI.</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i/>
          <w:sz w:val="20"/>
        </w:rPr>
      </w:pPr>
      <w:r>
        <w:rPr>
          <w:rFonts w:ascii="Helvetica;sans-serif" w:hAnsi="Helvetica;sans-serif"/>
          <w:i/>
          <w:sz w:val="20"/>
        </w:rPr>
        <w:t xml:space="preserve">Cost of Goods Sold </w:t>
      </w:r>
    </w:p>
    <w:tbl>
      <w:tblPr>
        <w:tblW w:w="9041" w:type="dxa"/>
        <w:jc w:val="left"/>
        <w:tblInd w:w="0" w:type="dxa"/>
        <w:tblLayout w:type="fixed"/>
        <w:tblCellMar>
          <w:top w:w="0" w:type="dxa"/>
          <w:left w:w="0" w:type="dxa"/>
          <w:bottom w:w="0" w:type="dxa"/>
          <w:right w:w="0" w:type="dxa"/>
        </w:tblCellMar>
      </w:tblPr>
      <w:tblGrid>
        <w:gridCol w:w="1756"/>
        <w:gridCol w:w="346"/>
        <w:gridCol w:w="211"/>
        <w:gridCol w:w="586"/>
        <w:gridCol w:w="406"/>
        <w:gridCol w:w="211"/>
        <w:gridCol w:w="586"/>
        <w:gridCol w:w="406"/>
        <w:gridCol w:w="240"/>
        <w:gridCol w:w="481"/>
        <w:gridCol w:w="346"/>
        <w:gridCol w:w="211"/>
        <w:gridCol w:w="586"/>
        <w:gridCol w:w="406"/>
        <w:gridCol w:w="211"/>
        <w:gridCol w:w="586"/>
        <w:gridCol w:w="406"/>
        <w:gridCol w:w="211"/>
        <w:gridCol w:w="586"/>
        <w:gridCol w:w="109"/>
        <w:gridCol w:w="154"/>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115060" cy="175260"/>
                      <wp:effectExtent l="0" t="0" r="0" b="0"/>
                      <wp:wrapNone/>
                      <wp:docPr id="314" name="Frame314"/>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72110" cy="175260"/>
                      <wp:effectExtent l="0" t="0" r="0" b="0"/>
                      <wp:wrapNone/>
                      <wp:docPr id="317" name="Frame31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57810" cy="175260"/>
                      <wp:effectExtent l="0" t="0" r="0" b="0"/>
                      <wp:wrapNone/>
                      <wp:docPr id="318" name="Frame31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72110" cy="175260"/>
                      <wp:effectExtent l="0" t="0" r="0" b="0"/>
                      <wp:wrapNone/>
                      <wp:docPr id="320" name="Frame3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7810" cy="175260"/>
                      <wp:effectExtent l="0" t="0" r="0" b="0"/>
                      <wp:wrapNone/>
                      <wp:docPr id="321" name="Frame3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2400" cy="175260"/>
                      <wp:effectExtent l="0" t="0" r="0" b="0"/>
                      <wp:wrapNone/>
                      <wp:docPr id="322" name="Frame3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05435" cy="175260"/>
                      <wp:effectExtent l="0" t="0" r="0" b="0"/>
                      <wp:wrapNone/>
                      <wp:docPr id="323" name="Frame32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72110" cy="175260"/>
                      <wp:effectExtent l="0" t="0" r="0" b="0"/>
                      <wp:wrapNone/>
                      <wp:docPr id="326" name="Frame3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57810" cy="175260"/>
                      <wp:effectExtent l="0" t="0" r="0" b="0"/>
                      <wp:wrapNone/>
                      <wp:docPr id="327" name="Frame3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72110" cy="175260"/>
                      <wp:effectExtent l="0" t="0" r="0" b="0"/>
                      <wp:wrapNone/>
                      <wp:docPr id="329" name="Frame3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57810" cy="175260"/>
                      <wp:effectExtent l="0" t="0" r="0" b="0"/>
                      <wp:wrapNone/>
                      <wp:docPr id="330" name="Frame3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72110" cy="175260"/>
                      <wp:effectExtent l="0" t="0" r="0" b="0"/>
                      <wp:wrapNone/>
                      <wp:docPr id="332" name="Frame3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97790" cy="175260"/>
                      <wp:effectExtent l="0" t="0" r="0" b="0"/>
                      <wp:wrapNone/>
                      <wp:docPr id="334" name="Frame3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7" w:type="dxa"/>
            <w:gridSpan w:val="8"/>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203" w:type="dxa"/>
            <w:gridSpan w:val="8"/>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2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5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40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406" w:type="dxa"/>
            <w:tcBorders/>
            <w:vAlign w:val="center"/>
          </w:tcPr>
          <w:p>
            <w:pPr>
              <w:pStyle w:val="TableContents"/>
              <w:bidi w:val="0"/>
              <w:spacing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40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40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Change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5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4,242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3,395</w:t>
            </w:r>
          </w:p>
        </w:tc>
        <w:tc>
          <w:tcPr>
            <w:tcW w:w="40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48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8,056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6,048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2,008</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75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70</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67</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40"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70</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66</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The increases in cost of goods sold from continuing operations for the three and six months ended June 30, 2026, compared to the same periods in the prior year, were primarily due to volume growth of LOQTORZI.</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We expect cost of goods sold from continuing operations for 2026 to be higher than 2025 because of continued growth of LOQTORZI.</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 xml:space="preserve">Research and Development Expense </w:t>
      </w:r>
    </w:p>
    <w:tbl>
      <w:tblPr>
        <w:tblW w:w="10205" w:type="dxa"/>
        <w:jc w:val="left"/>
        <w:tblInd w:w="0" w:type="dxa"/>
        <w:tblLayout w:type="fixed"/>
        <w:tblCellMar>
          <w:top w:w="0" w:type="dxa"/>
          <w:left w:w="0" w:type="dxa"/>
          <w:bottom w:w="0" w:type="dxa"/>
          <w:right w:w="0" w:type="dxa"/>
        </w:tblCellMar>
      </w:tblPr>
      <w:tblGrid>
        <w:gridCol w:w="2312"/>
        <w:gridCol w:w="346"/>
        <w:gridCol w:w="1142"/>
        <w:gridCol w:w="109"/>
        <w:gridCol w:w="196"/>
        <w:gridCol w:w="601"/>
        <w:gridCol w:w="346"/>
        <w:gridCol w:w="196"/>
        <w:gridCol w:w="601"/>
        <w:gridCol w:w="346"/>
        <w:gridCol w:w="196"/>
        <w:gridCol w:w="588"/>
        <w:gridCol w:w="109"/>
        <w:gridCol w:w="196"/>
        <w:gridCol w:w="601"/>
        <w:gridCol w:w="346"/>
        <w:gridCol w:w="196"/>
        <w:gridCol w:w="601"/>
        <w:gridCol w:w="346"/>
        <w:gridCol w:w="196"/>
        <w:gridCol w:w="635"/>
      </w:tblGrid>
      <w:tr>
        <w:trPr/>
        <w:tc>
          <w:tcPr>
            <w:tcW w:w="2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68120" cy="175260"/>
                      <wp:effectExtent l="0" t="0" r="0" b="0"/>
                      <wp:wrapNone/>
                      <wp:docPr id="335" name="Frame335"/>
                      <a:graphic xmlns:a="http://schemas.openxmlformats.org/drawingml/2006/main">
                        <a:graphicData uri="http://schemas.microsoft.com/office/word/2010/wordprocessingShape">
                          <wps:wsp>
                            <wps:cNvSpPr txBox="1"/>
                            <wps:spPr>
                              <a:xfrm>
                                <a:off x="0" y="0"/>
                                <a:ext cx="146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25170" cy="175260"/>
                      <wp:effectExtent l="0" t="0" r="0" b="0"/>
                      <wp:wrapNone/>
                      <wp:docPr id="337" name="Frame337"/>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4460" cy="175260"/>
                      <wp:effectExtent l="0" t="0" r="0" b="0"/>
                      <wp:wrapNone/>
                      <wp:docPr id="339"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81635" cy="175260"/>
                      <wp:effectExtent l="0" t="0" r="0" b="0"/>
                      <wp:wrapNone/>
                      <wp:docPr id="340" name="Frame3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42" name="Frame3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81635" cy="175260"/>
                      <wp:effectExtent l="0" t="0" r="0" b="0"/>
                      <wp:wrapNone/>
                      <wp:docPr id="343" name="Frame34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4460" cy="175260"/>
                      <wp:effectExtent l="0" t="0" r="0" b="0"/>
                      <wp:wrapNone/>
                      <wp:docPr id="345" name="Frame3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73380" cy="175260"/>
                      <wp:effectExtent l="0" t="0" r="0" b="0"/>
                      <wp:wrapNone/>
                      <wp:docPr id="346" name="Frame346"/>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4460" cy="175260"/>
                      <wp:effectExtent l="0" t="0" r="0" b="0"/>
                      <wp:wrapNone/>
                      <wp:docPr id="348" name="Frame3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81635" cy="175260"/>
                      <wp:effectExtent l="0" t="0" r="0" b="0"/>
                      <wp:wrapNone/>
                      <wp:docPr id="349" name="Frame3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51"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81635" cy="175260"/>
                      <wp:effectExtent l="0" t="0" r="0" b="0"/>
                      <wp:wrapNone/>
                      <wp:docPr id="352" name="Frame35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54" name="Frame3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03225" cy="175260"/>
                      <wp:effectExtent l="0" t="0" r="0" b="0"/>
                      <wp:wrapNone/>
                      <wp:docPr id="355" name="Frame355"/>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Clinical Stage as of</w:t>
            </w:r>
          </w:p>
        </w:tc>
        <w:tc>
          <w:tcPr>
            <w:tcW w:w="109" w:type="dxa"/>
            <w:tcBorders/>
            <w:vAlign w:val="center"/>
          </w:tcPr>
          <w:p>
            <w:pPr>
              <w:pStyle w:val="TableContents"/>
              <w:bidi w:val="0"/>
              <w:spacing w:before="0" w:after="0"/>
              <w:ind w:left="0" w:right="0" w:hanging="0"/>
              <w:jc w:val="center"/>
              <w:rPr/>
            </w:pPr>
            <w:r>
              <w:rPr/>
              <w:t>​</w:t>
            </w:r>
          </w:p>
        </w:tc>
        <w:tc>
          <w:tcPr>
            <w:tcW w:w="307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Three Months Ended June 30, </w:t>
            </w:r>
          </w:p>
        </w:tc>
        <w:tc>
          <w:tcPr>
            <w:tcW w:w="109" w:type="dxa"/>
            <w:tcBorders/>
            <w:vAlign w:val="center"/>
          </w:tcPr>
          <w:p>
            <w:pPr>
              <w:pStyle w:val="TableContents"/>
              <w:bidi w:val="0"/>
              <w:spacing w:before="0" w:after="0"/>
              <w:ind w:left="0" w:right="0" w:hanging="0"/>
              <w:jc w:val="left"/>
              <w:rPr/>
            </w:pPr>
            <w:r>
              <w:rPr/>
              <w:t>​</w:t>
            </w:r>
          </w:p>
        </w:tc>
        <w:tc>
          <w:tcPr>
            <w:tcW w:w="311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Six Months Ended June 30, </w:t>
            </w:r>
          </w:p>
        </w:tc>
      </w:tr>
      <w:tr>
        <w:trPr/>
        <w:tc>
          <w:tcPr>
            <w:tcW w:w="2312" w:type="dxa"/>
            <w:tcBorders/>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(in thousands)</w:t>
            </w:r>
          </w:p>
        </w:tc>
        <w:tc>
          <w:tcPr>
            <w:tcW w:w="346" w:type="dxa"/>
            <w:tcBorders/>
            <w:vAlign w:val="center"/>
          </w:tcPr>
          <w:p>
            <w:pPr>
              <w:pStyle w:val="TableContents"/>
              <w:bidi w:val="0"/>
              <w:spacing w:before="0" w:after="0"/>
              <w:ind w:left="0" w:right="0" w:hanging="0"/>
              <w:jc w:val="left"/>
              <w:rPr/>
            </w:pPr>
            <w:r>
              <w:rPr/>
              <w:t>  ​ ​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June 30, 2026</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2025</w:t>
            </w:r>
          </w:p>
        </w:tc>
        <w:tc>
          <w:tcPr>
            <w:tcW w:w="346" w:type="dxa"/>
            <w:tcBorders/>
            <w:vAlign w:val="center"/>
          </w:tcPr>
          <w:p>
            <w:pPr>
              <w:pStyle w:val="TableContents"/>
              <w:bidi w:val="0"/>
              <w:spacing w:before="0" w:after="0"/>
              <w:ind w:left="0" w:right="0" w:hanging="0"/>
              <w:jc w:val="left"/>
              <w:rPr/>
            </w:pPr>
            <w:r>
              <w:rPr/>
              <w:t>  ​ ​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Change</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2025</w:t>
            </w:r>
          </w:p>
        </w:tc>
        <w:tc>
          <w:tcPr>
            <w:tcW w:w="346" w:type="dxa"/>
            <w:tcBorders/>
            <w:vAlign w:val="center"/>
          </w:tcPr>
          <w:p>
            <w:pPr>
              <w:pStyle w:val="TableContents"/>
              <w:bidi w:val="0"/>
              <w:spacing w:before="0" w:after="0"/>
              <w:ind w:left="0" w:right="0" w:hanging="0"/>
              <w:jc w:val="left"/>
              <w:rPr/>
            </w:pPr>
            <w:r>
              <w:rPr/>
              <w:t>  ​ ​ ​</w:t>
            </w:r>
          </w:p>
        </w:tc>
        <w:tc>
          <w:tcPr>
            <w:tcW w:w="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Change</w:t>
            </w:r>
          </w:p>
        </w:tc>
      </w:tr>
      <w:tr>
        <w:trPr/>
        <w:tc>
          <w:tcPr>
            <w:tcW w:w="2312"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External costs incurred by product candidate:</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left"/>
              <w:rPr/>
            </w:pPr>
            <w:r>
              <w:rPr/>
              <w:t>​</w:t>
            </w:r>
          </w:p>
        </w:tc>
      </w:tr>
      <w:tr>
        <w:trPr/>
        <w:tc>
          <w:tcPr>
            <w:tcW w:w="2312"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Casdozokitug</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Clinical trials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6,405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8,240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588"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(1,835)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12,403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12,775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35"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(372)</w:t>
            </w:r>
          </w:p>
        </w:tc>
      </w:tr>
      <w:tr>
        <w:trPr/>
        <w:tc>
          <w:tcPr>
            <w:tcW w:w="2312"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Tagmokitug</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Clinical trials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6,209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5,523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12,457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(150)</w:t>
            </w:r>
          </w:p>
        </w:tc>
      </w:tr>
      <w:tr>
        <w:trPr/>
        <w:tc>
          <w:tcPr>
            <w:tcW w:w="2312"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LOQTORZI</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lineRule="auto" w:line="240" w:before="0" w:after="0"/>
              <w:ind w:left="0" w:right="0" w:hanging="0"/>
              <w:jc w:val="left"/>
              <w:rPr>
                <w:rFonts w:ascii="Helvetica;sans-serif" w:hAnsi="Helvetica;sans-serif"/>
                <w:sz w:val="16"/>
              </w:rPr>
            </w:pPr>
            <w:r>
              <w:rPr>
                <w:rFonts w:ascii="Helvetica;sans-serif" w:hAnsi="Helvetica;sans-serif"/>
                <w:sz w:val="16"/>
              </w:rPr>
              <w:t>Approved</w:t>
            </w:r>
            <w:r>
              <w:rPr>
                <w:rFonts w:ascii="Helvetica;sans-serif" w:hAnsi="Helvetica;sans-serif"/>
                <w:sz w:val="12"/>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1,888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(1,346)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3,566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(1,783)</w:t>
            </w:r>
          </w:p>
        </w:tc>
      </w:tr>
      <w:tr>
        <w:trPr/>
        <w:tc>
          <w:tcPr>
            <w:tcW w:w="2312"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discontinued projects</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Discontinued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93</w:t>
            </w:r>
          </w:p>
        </w:tc>
      </w:tr>
      <w:tr>
        <w:trPr/>
        <w:tc>
          <w:tcPr>
            <w:tcW w:w="2312"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research and development expenses</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(203)</w:t>
            </w:r>
          </w:p>
        </w:tc>
      </w:tr>
      <w:tr>
        <w:trPr/>
        <w:tc>
          <w:tcPr>
            <w:tcW w:w="2312"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Internal costs</w:t>
            </w:r>
          </w:p>
        </w:tc>
        <w:tc>
          <w:tcPr>
            <w:tcW w:w="346"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8,069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10,240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16,023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(5,262)</w:t>
            </w:r>
          </w:p>
        </w:tc>
      </w:tr>
      <w:tr>
        <w:trPr/>
        <w:tc>
          <w:tcPr>
            <w:tcW w:w="2312"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research and development expenses from continuing operations</w:t>
            </w:r>
          </w:p>
        </w:tc>
        <w:tc>
          <w:tcPr>
            <w:tcW w:w="346"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21,442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26,306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588"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(4,864)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42,985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50,662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(7,677)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91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In October 2023, LOQTORZI was approved by the FDA in combination with cisplatin and gemcitabine for the first-line treatment of adults with metastatic or recurrent locally advanced NPC, and for LOQTORZI as monotherapy for the treatment of adults with recurrent, unresectable, or metastatic NPC with disease progression on or after platinum-containing chemotherapy.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 xml:space="preserve">The reduction in internal costs for the three months ended June 30, 2026 includes a $2.3 million decrease in employee-related costs including stock-based compensation. The reduction in internal costs for the six months ended June 30, 2026 includes a $3.5 million decrease in employee-related costs, including stock-based compensation, and a $1.8 million decrease in facilities, supplies, material and other infrastructure costs. </w:t>
      </w:r>
    </w:p>
    <w:p>
      <w:pPr>
        <w:pStyle w:val="TextBody"/>
        <w:bidi w:val="0"/>
        <w:spacing w:before="24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We expect our fixed research and development expenses in 2026 to be lower than in 2025 primarily due to lower expenditures on manufacturing-related development activities and reduced headcount.</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Selling, General and Administrative Expense</w:t>
      </w:r>
    </w:p>
    <w:tbl>
      <w:tblPr>
        <w:tblW w:w="10205" w:type="dxa"/>
        <w:jc w:val="left"/>
        <w:tblInd w:w="0" w:type="dxa"/>
        <w:tblLayout w:type="fixed"/>
        <w:tblCellMar>
          <w:top w:w="0" w:type="dxa"/>
          <w:left w:w="0" w:type="dxa"/>
          <w:bottom w:w="0" w:type="dxa"/>
          <w:right w:w="0" w:type="dxa"/>
        </w:tblCellMar>
      </w:tblPr>
      <w:tblGrid>
        <w:gridCol w:w="2671"/>
        <w:gridCol w:w="346"/>
        <w:gridCol w:w="211"/>
        <w:gridCol w:w="691"/>
        <w:gridCol w:w="346"/>
        <w:gridCol w:w="211"/>
        <w:gridCol w:w="691"/>
        <w:gridCol w:w="346"/>
        <w:gridCol w:w="211"/>
        <w:gridCol w:w="691"/>
        <w:gridCol w:w="346"/>
        <w:gridCol w:w="211"/>
        <w:gridCol w:w="691"/>
        <w:gridCol w:w="346"/>
        <w:gridCol w:w="211"/>
        <w:gridCol w:w="691"/>
        <w:gridCol w:w="346"/>
        <w:gridCol w:w="211"/>
        <w:gridCol w:w="737"/>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696085" cy="175260"/>
                      <wp:effectExtent l="0" t="0" r="0" b="0"/>
                      <wp:wrapNone/>
                      <wp:docPr id="356" name="Frame35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8785" cy="175260"/>
                      <wp:effectExtent l="0" t="0" r="0" b="0"/>
                      <wp:wrapNone/>
                      <wp:docPr id="359" name="Frame3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38785" cy="175260"/>
                      <wp:effectExtent l="0" t="0" r="0" b="0"/>
                      <wp:wrapNone/>
                      <wp:docPr id="362" name="Frame3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38785" cy="175260"/>
                      <wp:effectExtent l="0" t="0" r="0" b="0"/>
                      <wp:wrapNone/>
                      <wp:docPr id="365" name="Frame3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8785" cy="175260"/>
                      <wp:effectExtent l="0" t="0" r="0" b="0"/>
                      <wp:wrapNone/>
                      <wp:docPr id="368" name="Frame3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38785" cy="175260"/>
                      <wp:effectExtent l="0" t="0" r="0" b="0"/>
                      <wp:wrapNone/>
                      <wp:docPr id="371" name="Frame3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67995" cy="175260"/>
                      <wp:effectExtent l="0" t="0" r="0" b="0"/>
                      <wp:wrapNone/>
                      <wp:docPr id="374" name="Frame37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44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Six Months Ended June 30, </w:t>
            </w:r>
          </w:p>
        </w:tc>
      </w:tr>
      <w:tr>
        <w:trPr/>
        <w:tc>
          <w:tcPr>
            <w:tcW w:w="2671"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Change</w:t>
            </w:r>
          </w:p>
        </w:tc>
      </w:tr>
      <w:tr>
        <w:trPr/>
        <w:tc>
          <w:tcPr>
            <w:tcW w:w="267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20,954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52,064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37"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(8,006)</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decrease in selling, general and administrative expenses from continuing operations in the three and six months ended June 30, 2026 was primarily driven by a lower average headcount and reduced operating costs following our 2025 exit from the biosimilar business. As a result, employee-related costs, including stock-based compensation, decreased $2.3 million and $4.5 million for the three- and six-month periods, respectively, while professional fees decreased by $2.3 million and $2.8 million, respectively.</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expect our selling, general and administrative expense from continuing operations for the full year 2026 to be lower than the full year 2025 primarily as a result of decreased operating costs and headcount.</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Interest Expense</w:t>
      </w:r>
    </w:p>
    <w:tbl>
      <w:tblPr>
        <w:tblW w:w="8327" w:type="dxa"/>
        <w:jc w:val="left"/>
        <w:tblInd w:w="0" w:type="dxa"/>
        <w:tblLayout w:type="fixed"/>
        <w:tblCellMar>
          <w:top w:w="0" w:type="dxa"/>
          <w:left w:w="0" w:type="dxa"/>
          <w:bottom w:w="0" w:type="dxa"/>
          <w:right w:w="0" w:type="dxa"/>
        </w:tblCellMar>
      </w:tblPr>
      <w:tblGrid>
        <w:gridCol w:w="1576"/>
        <w:gridCol w:w="346"/>
        <w:gridCol w:w="211"/>
        <w:gridCol w:w="586"/>
        <w:gridCol w:w="346"/>
        <w:gridCol w:w="211"/>
        <w:gridCol w:w="586"/>
        <w:gridCol w:w="346"/>
        <w:gridCol w:w="288"/>
        <w:gridCol w:w="433"/>
        <w:gridCol w:w="346"/>
        <w:gridCol w:w="211"/>
        <w:gridCol w:w="586"/>
        <w:gridCol w:w="346"/>
        <w:gridCol w:w="211"/>
        <w:gridCol w:w="586"/>
        <w:gridCol w:w="346"/>
        <w:gridCol w:w="255"/>
        <w:gridCol w:w="51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000760" cy="175260"/>
                      <wp:effectExtent l="0" t="0" r="0" b="0"/>
                      <wp:wrapNone/>
                      <wp:docPr id="375" name="Frame37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72110" cy="175260"/>
                      <wp:effectExtent l="0" t="0" r="0" b="0"/>
                      <wp:wrapNone/>
                      <wp:docPr id="378" name="Frame3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72110" cy="175260"/>
                      <wp:effectExtent l="0" t="0" r="0" b="0"/>
                      <wp:wrapNone/>
                      <wp:docPr id="381" name="Frame3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82880" cy="175260"/>
                      <wp:effectExtent l="0" t="0" r="0" b="0"/>
                      <wp:wrapNone/>
                      <wp:docPr id="383" name="Frame38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74955" cy="175260"/>
                      <wp:effectExtent l="0" t="0" r="0" b="0"/>
                      <wp:wrapNone/>
                      <wp:docPr id="384" name="Frame384"/>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72110" cy="175260"/>
                      <wp:effectExtent l="0" t="0" r="0" b="0"/>
                      <wp:wrapNone/>
                      <wp:docPr id="387" name="Frame3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72110" cy="175260"/>
                      <wp:effectExtent l="0" t="0" r="0" b="0"/>
                      <wp:wrapNone/>
                      <wp:docPr id="390" name="Frame39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61925" cy="175260"/>
                      <wp:effectExtent l="0" t="0" r="0" b="0"/>
                      <wp:wrapNone/>
                      <wp:docPr id="392" name="Frame39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24485" cy="175260"/>
                      <wp:effectExtent l="0" t="0" r="0" b="0"/>
                      <wp:wrapNone/>
                      <wp:docPr id="393" name="Frame3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305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 June 30, </w:t>
            </w:r>
          </w:p>
        </w:tc>
      </w:tr>
      <w:tr>
        <w:trPr/>
        <w:tc>
          <w:tcPr>
            <w:tcW w:w="157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Change</w:t>
            </w:r>
          </w:p>
        </w:tc>
      </w:tr>
      <w:tr>
        <w:trPr/>
        <w:tc>
          <w:tcPr>
            <w:tcW w:w="157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2,277</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433"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4,427</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11" w:type="dxa"/>
            <w:tcBorders/>
            <w:shd w:fill="CCEEFF" w:val="clear"/>
            <w:vAlign w:val="center"/>
          </w:tcPr>
          <w:p>
            <w:pPr>
              <w:pStyle w:val="TableContents"/>
              <w:bidi w:val="0"/>
              <w:spacing w:before="0" w:after="1"/>
              <w:ind w:left="0" w:right="60" w:hanging="0"/>
              <w:jc w:val="right"/>
              <w:rPr>
                <w:rFonts w:ascii="Helvetica;sans-serif" w:hAnsi="Helvetica;sans-serif"/>
                <w:sz w:val="20"/>
              </w:rPr>
            </w:pPr>
            <w:r>
              <w:rPr>
                <w:rFonts w:ascii="Helvetica;sans-serif" w:hAnsi="Helvetica;sans-serif"/>
                <w:sz w:val="20"/>
              </w:rPr>
              <w:t>82</w:t>
            </w:r>
          </w:p>
        </w:tc>
      </w:tr>
    </w:tbl>
    <w:p>
      <w:pPr>
        <w:pStyle w:val="TextBody"/>
        <w:bidi w:val="0"/>
        <w:spacing w:before="0" w:after="240"/>
        <w:ind w:left="0" w:right="0" w:firstLine="490"/>
        <w:jc w:val="both"/>
        <w:rPr/>
      </w:pPr>
      <w: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Interest expense from continuing operations for the three and six months ended June 30, 2026 and 2025, respectively, was comparable and consisted of interest expense on the $38.7 million 2029 Term Loan and the LOQTORZI portion of the Revenue Purchase and Sale Agreement.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expect interest expense from continuing operations to be comparable in 2026 to 2025. </w:t>
      </w:r>
    </w:p>
    <w:p>
      <w:pPr>
        <w:pStyle w:val="TextBody"/>
        <w:bidi w:val="0"/>
        <w:spacing w:before="0" w:after="200"/>
        <w:ind w:left="0" w:right="0" w:hanging="0"/>
        <w:jc w:val="left"/>
        <w:rPr>
          <w:rFonts w:ascii="Helvetica;sans-serif" w:hAnsi="Helvetica;sans-serif"/>
          <w:i/>
          <w:sz w:val="20"/>
        </w:rPr>
      </w:pPr>
      <w:r>
        <w:rPr>
          <w:rFonts w:ascii="Helvetica;sans-serif" w:hAnsi="Helvetica;sans-serif"/>
          <w:i/>
          <w:sz w:val="20"/>
        </w:rPr>
        <w:t xml:space="preserve">Other Income (Expense), Net </w:t>
      </w:r>
    </w:p>
    <w:tbl>
      <w:tblPr>
        <w:tblW w:w="9634" w:type="dxa"/>
        <w:jc w:val="left"/>
        <w:tblInd w:w="0" w:type="dxa"/>
        <w:tblLayout w:type="fixed"/>
        <w:tblCellMar>
          <w:top w:w="0" w:type="dxa"/>
          <w:left w:w="0" w:type="dxa"/>
          <w:bottom w:w="0" w:type="dxa"/>
          <w:right w:w="0" w:type="dxa"/>
        </w:tblCellMar>
      </w:tblPr>
      <w:tblGrid>
        <w:gridCol w:w="2656"/>
        <w:gridCol w:w="346"/>
        <w:gridCol w:w="211"/>
        <w:gridCol w:w="586"/>
        <w:gridCol w:w="346"/>
        <w:gridCol w:w="211"/>
        <w:gridCol w:w="586"/>
        <w:gridCol w:w="346"/>
        <w:gridCol w:w="211"/>
        <w:gridCol w:w="706"/>
        <w:gridCol w:w="346"/>
        <w:gridCol w:w="211"/>
        <w:gridCol w:w="586"/>
        <w:gridCol w:w="346"/>
        <w:gridCol w:w="211"/>
        <w:gridCol w:w="586"/>
        <w:gridCol w:w="346"/>
        <w:gridCol w:w="211"/>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686560" cy="175260"/>
                      <wp:effectExtent l="0" t="0" r="0" b="0"/>
                      <wp:wrapNone/>
                      <wp:docPr id="394" name="Frame39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72110" cy="175260"/>
                      <wp:effectExtent l="0" t="0" r="0" b="0"/>
                      <wp:wrapNone/>
                      <wp:docPr id="397" name="Frame39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72110" cy="175260"/>
                      <wp:effectExtent l="0" t="0" r="0" b="0"/>
                      <wp:wrapNone/>
                      <wp:docPr id="400" name="Frame4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48310" cy="175260"/>
                      <wp:effectExtent l="0" t="0" r="0" b="0"/>
                      <wp:wrapNone/>
                      <wp:docPr id="403" name="Frame40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72110" cy="175260"/>
                      <wp:effectExtent l="0" t="0" r="0" b="0"/>
                      <wp:wrapNone/>
                      <wp:docPr id="406" name="Frame40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72110" cy="175260"/>
                      <wp:effectExtent l="0" t="0" r="0" b="0"/>
                      <wp:wrapNone/>
                      <wp:docPr id="409" name="Frame40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72110" cy="175260"/>
                      <wp:effectExtent l="0" t="0" r="0" b="0"/>
                      <wp:wrapNone/>
                      <wp:docPr id="412" name="Frame41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308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 June 30, </w:t>
            </w:r>
          </w:p>
        </w:tc>
      </w:tr>
      <w:tr>
        <w:trPr/>
        <w:tc>
          <w:tcPr>
            <w:tcW w:w="2656"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Change</w:t>
            </w:r>
          </w:p>
        </w:tc>
      </w:tr>
      <w:tr>
        <w:trPr/>
        <w:tc>
          <w:tcPr>
            <w:tcW w:w="2656"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 xml:space="preserve">Other income (expense), net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2,901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0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(1,594)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2,709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58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(379)</w:t>
            </w:r>
          </w:p>
        </w:tc>
      </w:tr>
    </w:tbl>
    <w:p>
      <w:pPr>
        <w:pStyle w:val="TextBody"/>
        <w:bidi w:val="0"/>
        <w:spacing w:before="0" w:after="240"/>
        <w:ind w:left="0" w:right="0" w:firstLine="490"/>
        <w:jc w:val="both"/>
        <w:rPr>
          <w:shd w:fill="FFFFFF" w:val="clear"/>
        </w:rPr>
      </w:pPr>
      <w:r>
        <w:rPr>
          <w:shd w:fill="FFFFFF" w:val="clea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Other income (expense), net from continuing operations for the three and six months ended June 30, 2026 changed unfavorably compared to the same periods in the prior year by $1.6 million and $0.4 million, respectively, primarily due to lower total interest and investment income. The unfavorable change for the six-month period was partially offset by a $0.8 million charge for the LOQTORZI Royalty Fee Derivative Liability adjustment in the first quarter of 2025.</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 xml:space="preserve">Net Income from Discontinued Operations, net of tax </w:t>
      </w:r>
    </w:p>
    <w:tbl>
      <w:tblPr>
        <w:tblW w:w="10205" w:type="dxa"/>
        <w:jc w:val="left"/>
        <w:tblInd w:w="0" w:type="dxa"/>
        <w:tblLayout w:type="fixed"/>
        <w:tblCellMar>
          <w:top w:w="0" w:type="dxa"/>
          <w:left w:w="0" w:type="dxa"/>
          <w:bottom w:w="0" w:type="dxa"/>
          <w:right w:w="0" w:type="dxa"/>
        </w:tblCellMar>
      </w:tblPr>
      <w:tblGrid>
        <w:gridCol w:w="2100"/>
        <w:gridCol w:w="346"/>
        <w:gridCol w:w="211"/>
        <w:gridCol w:w="691"/>
        <w:gridCol w:w="346"/>
        <w:gridCol w:w="211"/>
        <w:gridCol w:w="796"/>
        <w:gridCol w:w="346"/>
        <w:gridCol w:w="211"/>
        <w:gridCol w:w="871"/>
        <w:gridCol w:w="346"/>
        <w:gridCol w:w="211"/>
        <w:gridCol w:w="691"/>
        <w:gridCol w:w="346"/>
        <w:gridCol w:w="211"/>
        <w:gridCol w:w="796"/>
        <w:gridCol w:w="346"/>
        <w:gridCol w:w="211"/>
        <w:gridCol w:w="918"/>
      </w:tblGrid>
      <w:tr>
        <w:trPr/>
        <w:tc>
          <w:tcPr>
            <w:tcW w:w="2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3500" cy="175260"/>
                      <wp:effectExtent l="0" t="0" r="0" b="0"/>
                      <wp:wrapNone/>
                      <wp:docPr id="413" name="Frame413"/>
                      <a:graphic xmlns:a="http://schemas.openxmlformats.org/drawingml/2006/main">
                        <a:graphicData uri="http://schemas.microsoft.com/office/word/2010/wordprocessingShape">
                          <wps:wsp>
                            <wps:cNvSpPr txBox="1"/>
                            <wps:spPr>
                              <a:xfrm>
                                <a:off x="0" y="0"/>
                                <a:ext cx="1333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38785" cy="175260"/>
                      <wp:effectExtent l="0" t="0" r="0" b="0"/>
                      <wp:wrapNone/>
                      <wp:docPr id="416" name="Frame4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05460" cy="175260"/>
                      <wp:effectExtent l="0" t="0" r="0" b="0"/>
                      <wp:wrapNone/>
                      <wp:docPr id="419" name="Frame4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53085" cy="175260"/>
                      <wp:effectExtent l="0" t="0" r="0" b="0"/>
                      <wp:wrapNone/>
                      <wp:docPr id="422" name="Frame42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38785" cy="175260"/>
                      <wp:effectExtent l="0" t="0" r="0" b="0"/>
                      <wp:wrapNone/>
                      <wp:docPr id="425" name="Frame4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05460" cy="175260"/>
                      <wp:effectExtent l="0" t="0" r="0" b="0"/>
                      <wp:wrapNone/>
                      <wp:docPr id="428" name="Frame4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82930" cy="175260"/>
                      <wp:effectExtent l="0" t="0" r="0" b="0"/>
                      <wp:wrapNone/>
                      <wp:docPr id="431" name="Frame431"/>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8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373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Six Months Ended June 30, </w:t>
            </w:r>
          </w:p>
        </w:tc>
      </w:tr>
      <w:tr>
        <w:trPr/>
        <w:tc>
          <w:tcPr>
            <w:tcW w:w="2100" w:type="dxa"/>
            <w:tcBorders/>
            <w:vAlign w:val="center"/>
          </w:tcPr>
          <w:p>
            <w:pPr>
              <w:pStyle w:val="TableContents"/>
              <w:bidi w:val="0"/>
              <w:spacing w:before="0" w:after="1"/>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Helvetica;sans-serif" w:hAnsi="Helvetica;sans-serif"/>
                <w:b/>
                <w:sz w:val="16"/>
              </w:rPr>
            </w:pPr>
            <w:r>
              <w:rPr>
                <w:rFonts w:ascii="Helvetica;sans-serif" w:hAnsi="Helvetica;sans-serif"/>
                <w:b/>
                <w:sz w:val="16"/>
              </w:rPr>
              <w:t>Change</w:t>
            </w:r>
          </w:p>
        </w:tc>
      </w:tr>
      <w:tr>
        <w:trPr/>
        <w:tc>
          <w:tcPr>
            <w:tcW w:w="2100"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Net income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12,716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9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342,629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87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(329,913)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691"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11,324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796"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333,458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c>
          <w:tcPr>
            <w:tcW w:w="918" w:type="dxa"/>
            <w:tcBorders/>
            <w:shd w:fill="CCEEFF" w:val="clear"/>
            <w:vAlign w:val="center"/>
          </w:tcPr>
          <w:p>
            <w:pPr>
              <w:pStyle w:val="TableContents"/>
              <w:bidi w:val="0"/>
              <w:spacing w:before="0" w:after="1"/>
              <w:ind w:left="0" w:right="0" w:hanging="0"/>
              <w:jc w:val="right"/>
              <w:rPr>
                <w:rFonts w:ascii="Helvetica;sans-serif" w:hAnsi="Helvetica;sans-serif"/>
                <w:sz w:val="20"/>
              </w:rPr>
            </w:pPr>
            <w:r>
              <w:rPr>
                <w:rFonts w:ascii="Helvetica;sans-serif" w:hAnsi="Helvetica;sans-serif"/>
                <w:sz w:val="20"/>
              </w:rPr>
              <w:t>(322,134)</w:t>
            </w:r>
          </w:p>
        </w:tc>
      </w:tr>
    </w:tbl>
    <w:p>
      <w:pPr>
        <w:pStyle w:val="TextBody"/>
        <w:bidi w:val="0"/>
        <w:spacing w:before="0" w:after="240"/>
        <w:ind w:left="0" w:right="0" w:firstLine="490"/>
        <w:jc w:val="both"/>
        <w:rPr/>
      </w:pPr>
      <w: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reductions in net income from discontinued operations, net of tax compared to the prior year periods were primarily due to the $339.1 million net gain and lower net revenue in 2026 driven by the UDENYCA Sale, partially offset by the $10.3 million charge in 2025 for loss on debt extinguishment related to the 2026 Convertible Notes and the UDENYCA Buy-out, lower cost of goods sold and selling, general and administrative expense, and no discontinued operations interest expense in 2026. Total net revenues attributable to our divested products, UDENYCA, CIMERLI and YUSIMRY, which are reflected in discontinued operations, were $12.8 million and $23.1 million for the three months ended June 30, 2026 and 2025, respectively, and $11.9 million and $55.2 million during the six months ended June 30, 2026 and 2025, respectively. For the three and six months ended June 30, 2026, net revenue was primarily driven by favorable adjustments to prior period estimates.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the decrease in the six-month period was partially offset by an $11.8 million charge in the first quarter of 2025 for the change in fair value of the Royalty Fee Derivative Liability related to UDENYCA.</w:t>
      </w:r>
    </w:p>
    <w:p>
      <w:pPr>
        <w:pStyle w:val="TextBody"/>
        <w:bidi w:val="0"/>
        <w:spacing w:before="0" w:after="240"/>
        <w:ind w:left="0" w:right="0" w:firstLine="490"/>
        <w:jc w:val="both"/>
        <w:rPr>
          <w:rFonts w:ascii="Helvetica;sans-serif" w:hAnsi="Helvetica;sans-serif"/>
          <w:b/>
          <w:sz w:val="20"/>
        </w:rPr>
      </w:pPr>
      <w:r>
        <w:rPr>
          <w:rFonts w:ascii="Helvetica;sans-serif" w:hAnsi="Helvetica;sans-serif"/>
          <w:b/>
          <w:sz w:val="20"/>
        </w:rPr>
        <w:t xml:space="preserve">Liquidity and Capital Resources </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Certain relevant measures of our liquidity and capital resources are summarized as follows:</w:t>
      </w:r>
    </w:p>
    <w:tbl>
      <w:tblPr>
        <w:tblW w:w="7865" w:type="dxa"/>
        <w:jc w:val="left"/>
        <w:tblInd w:w="0" w:type="dxa"/>
        <w:tblLayout w:type="fixed"/>
        <w:tblCellMar>
          <w:top w:w="0" w:type="dxa"/>
          <w:left w:w="0" w:type="dxa"/>
          <w:bottom w:w="0" w:type="dxa"/>
          <w:right w:w="0" w:type="dxa"/>
        </w:tblCellMar>
      </w:tblPr>
      <w:tblGrid>
        <w:gridCol w:w="4951"/>
        <w:gridCol w:w="346"/>
        <w:gridCol w:w="211"/>
        <w:gridCol w:w="796"/>
        <w:gridCol w:w="346"/>
        <w:gridCol w:w="243"/>
        <w:gridCol w:w="972"/>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143885" cy="175260"/>
                      <wp:effectExtent l="0" t="0" r="0" b="0"/>
                      <wp:wrapNone/>
                      <wp:docPr id="432" name="Frame432"/>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05460" cy="175260"/>
                      <wp:effectExtent l="0" t="0" r="0" b="0"/>
                      <wp:wrapNone/>
                      <wp:docPr id="435" name="Frame4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54305" cy="175260"/>
                      <wp:effectExtent l="0" t="0" r="0" b="0"/>
                      <wp:wrapNone/>
                      <wp:docPr id="437" name="Frame43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17220" cy="175260"/>
                      <wp:effectExtent l="0" t="0" r="0" b="0"/>
                      <wp:wrapNone/>
                      <wp:docPr id="438" name="Frame438"/>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w:t>
            </w:r>
          </w:p>
        </w:tc>
      </w:tr>
      <w:tr>
        <w:trPr/>
        <w:tc>
          <w:tcPr>
            <w:tcW w:w="495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95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r>
      <w:tr>
        <w:trPr/>
        <w:tc>
          <w:tcPr>
            <w:tcW w:w="495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Cash, cash equivalents and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105,306</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172,125</w:t>
            </w:r>
          </w:p>
        </w:tc>
      </w:tr>
      <w:tr>
        <w:trPr/>
        <w:tc>
          <w:tcPr>
            <w:tcW w:w="49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r>
      <w:tr>
        <w:trPr/>
        <w:tc>
          <w:tcPr>
            <w:tcW w:w="4951" w:type="dxa"/>
            <w:tcBorders/>
            <w:vAlign w:val="center"/>
          </w:tcPr>
          <w:p>
            <w:pPr>
              <w:pStyle w:val="TableContents"/>
              <w:bidi w:val="0"/>
              <w:spacing w:lineRule="auto" w:line="240" w:before="0" w:after="0"/>
              <w:ind w:left="0" w:right="0" w:hanging="0"/>
              <w:jc w:val="left"/>
              <w:rPr>
                <w:rFonts w:ascii="Helvetica;sans-serif" w:hAnsi="Helvetica;sans-serif"/>
                <w:sz w:val="20"/>
              </w:rPr>
            </w:pPr>
            <w:r>
              <w:rPr>
                <w:rFonts w:ascii="Helvetica;sans-serif" w:hAnsi="Helvetica;sans-serif"/>
                <w:sz w:val="20"/>
              </w:rPr>
              <w:t>Financial liabilities</w:t>
            </w:r>
            <w:r>
              <w:rPr>
                <w:rFonts w:ascii="Helvetica;sans-serif" w:hAnsi="Helvetica;sans-serif"/>
                <w:sz w:val="17"/>
              </w:rPr>
              <w:t>(1)</w:t>
            </w:r>
            <w:r>
              <w:rPr>
                <w:rFonts w:ascii="Helvetica;sans-serif" w:hAnsi="Helvetica;san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pPr>
            <w:r>
              <w:rPr/>
              <w:t>​</w:t>
            </w:r>
          </w:p>
        </w:tc>
      </w:tr>
      <w:tr>
        <w:trPr/>
        <w:tc>
          <w:tcPr>
            <w:tcW w:w="495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2029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37,247</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72"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37,051</w:t>
            </w:r>
          </w:p>
        </w:tc>
      </w:tr>
      <w:tr>
        <w:trPr/>
        <w:tc>
          <w:tcPr>
            <w:tcW w:w="495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Revenue Purchase and Sale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14,770</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14,028</w:t>
            </w:r>
          </w:p>
        </w:tc>
      </w:tr>
      <w:tr>
        <w:trPr/>
        <w:tc>
          <w:tcPr>
            <w:tcW w:w="495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2026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w:t>
            </w:r>
          </w:p>
        </w:tc>
      </w:tr>
      <w:tr>
        <w:trPr/>
        <w:tc>
          <w:tcPr>
            <w:tcW w:w="495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52,017</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51,200</w:t>
            </w:r>
          </w:p>
        </w:tc>
      </w:tr>
    </w:tbl>
    <w:tbl>
      <w:tblPr>
        <w:tblW w:w="10205" w:type="dxa"/>
        <w:jc w:val="left"/>
        <w:tblInd w:w="0" w:type="dxa"/>
        <w:shd w:fill="FFFFFF" w:val="clear"/>
        <w:tblLayout w:type="fixed"/>
        <w:tblCellMar>
          <w:top w:w="0" w:type="dxa"/>
          <w:left w:w="0" w:type="dxa"/>
          <w:bottom w:w="0" w:type="dxa"/>
          <w:right w:w="0" w:type="dxa"/>
        </w:tblCellMar>
      </w:tblPr>
      <w:tblGrid>
        <w:gridCol w:w="320"/>
        <w:gridCol w:w="9885"/>
      </w:tblGrid>
      <w:tr>
        <w:trPr/>
        <w:tc>
          <w:tcPr>
            <w:tcW w:w="320" w:type="dxa"/>
            <w:tcBorders/>
            <w:shd w:fill="FFFFFF" w:val="clear"/>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88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16"/>
                <w:shd w:fill="FFFFFF" w:val="clear"/>
              </w:rPr>
            </w:pPr>
            <w:r>
              <w:rPr>
                <w:rFonts w:ascii="Helvetica;sans-serif" w:hAnsi="Helvetica;sans-serif"/>
                <w:b w:val="false"/>
                <w:i w:val="false"/>
                <w:caps w:val="false"/>
                <w:smallCaps w:val="false"/>
                <w:sz w:val="16"/>
                <w:shd w:fill="FFFFFF" w:val="clear"/>
              </w:rPr>
              <w:t>See “Note 8. Financial Liabilities” in the Notes to Condensed Consolidated Financial Statements contained in Part I, Item 1 of this Quarterly Report on Form 10-Q.</w:t>
            </w:r>
          </w:p>
        </w:tc>
      </w:tr>
    </w:tbl>
    <w:p>
      <w:pPr>
        <w:pStyle w:val="TextBody"/>
        <w:bidi w:val="0"/>
        <w:spacing w:before="0" w:after="0"/>
        <w:ind w:left="0" w:right="0" w:firstLine="720"/>
        <w:jc w:val="both"/>
        <w:rPr/>
      </w:pPr>
      <w:r>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As of June 30, 2026, we had cash, cash equivalents and marketable securities of $105.3 million and an accumulated deficit of $1.4 billion. We currently have one commercial product, LOQTORZI, which generated $13.6 million in net revenues during the three months ended June 30, 2026. Cash in excess of immediate requirements is invested in accordance with our investment policy, primarily with a view to liquidity and capital preservation. As of June 30, 2026, our cash, cash equivalents and marketable securities are primarily held in money market accounts, commercial paper and corporate notes, and U.S. Treasury securities. We have funded our operations primarily through the sale of our common stock, issuance and incurrence of debt, the Revenue Purchase and Sale Agreement, the Sale Transactions and sales of our products.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During the three months ended March 31, 2026, we completed the sale and issuance of 32,890,000 Offering Shares, which included all the Optional Shares. We received net proceeds of $53.6 million, after deducting the Underwriters’ discounts and commissions and offering expenses payable by us.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are party to a sales agreement with TD Cowen, pursuant to which (and subject to applicable law) we may sell shares of our common stock in an at-the-market offering. As of June 30, 2026, we had approximately $64.9 million of our common stock remaining available for sales under the Sales Agreement.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We belie</w:t>
      </w:r>
      <w:r>
        <w:rPr>
          <w:rFonts w:ascii="Helvetica;sans-serif" w:hAnsi="Helvetica;sans-serif"/>
          <w:sz w:val="20"/>
        </w:rPr>
        <w:t xml:space="preserve">ve that our available cash, cash equivalents and marketable securities, and product sales will be sufficient to fund our planned expenditures and meet our obligations for at least the twelve months following our financial </w:t>
      </w:r>
      <w:r>
        <w:rPr>
          <w:rFonts w:ascii="Helvetica;sans-serif" w:hAnsi="Helvetica;sans-serif"/>
          <w:sz w:val="20"/>
          <w:shd w:fill="FFFFFF" w:val="clear"/>
        </w:rPr>
        <w:t>statement issuance date. We have based this estimate on assumptions that may prove to be wrong, and we could utilize our available capital resources sooner t</w:t>
      </w:r>
      <w:r>
        <w:rPr>
          <w:rFonts w:ascii="Helvetica;sans-serif" w:hAnsi="Helvetica;sans-serif"/>
          <w:sz w:val="20"/>
        </w:rPr>
        <w:t>han we currently expect. Further, our operating plan may change, and we may need additional funds to meet operational needs and capital requirements for product development and commercialization sooner than planned. Because of the numerous risks and uncertainties associated with the development and commercialization of our product candidates and the extent to which we may enter into additional agreements with third parties to participate in their development and commercialization, we are unable to estimate the amounts of increased capital outlays and operating expenditures associated with our current and anticipated research and development activities, and on-going and future licensing and collaboration obligations. We may need to raise additional funds in the future; however, there can be no assurance that such efforts will be successful or that, if they are successful, the terms and conditions of such financing will be favorable. Our future funding requirements will depend on many factors, including the following:</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cash proceeds from product sales;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payment of interest, principal and royalties related to our financial liabilities;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costs of manufacturing, distributing and marketing our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of manufacturing clinical drug supplies and establishing commercial supplies of our product candidates and product;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percentage of customers that purchase our product and that do not choose or switch to products made by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terms and timing of any other collaborative, licensing and other arrangements that we have established or may establish;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timing, receipt and amount of sales, profit sharing or royalties, if any, from any product candidates that are approved in the future;</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number and characteristics of product candidates that we pursue;</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scope, rate of progress, results and cost of our clinical trials, preclinical testing and other related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costs of manufacturing preclinical study and clinical trial supplies and other materials from CMOs and related costs associated with release and stability testing;</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whether we receive either of the Earnout Payments from the sale of the UDENYCA Business;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cost, timing and outcomes of regulatory approvals; and</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extent to which we divest, acquire or invest in businesses, products or technologies.</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For further discussion of risks related to our financial condition and capital requirements, see “Risk Factors— Risks Related to Our Financial Condition and Capital Requirements.”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Contingent Milestones  </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shd w:fill="FFFFFF" w:val="clear"/>
        </w:rPr>
        <w:t>We have obligations to make future payments to third parties that become due and payable upon the achievement of certain development, regulatory and commercial milestones (such as clinical trial achievements, the filing of a B</w:t>
      </w:r>
      <w:r>
        <w:rPr>
          <w:rFonts w:ascii="Helvetica;sans-serif" w:hAnsi="Helvetica;sans-serif"/>
          <w:sz w:val="20"/>
        </w:rPr>
        <w:t>iologics License Application (“</w:t>
      </w:r>
      <w:r>
        <w:rPr>
          <w:rFonts w:ascii="Helvetica;sans-serif" w:hAnsi="Helvetica;sans-serif"/>
          <w:sz w:val="20"/>
          <w:shd w:fill="FFFFFF" w:val="clear"/>
        </w:rPr>
        <w:t>BLA”), approval by the FDA or product launch). These milestone payments and other similar fees are contingent upon future events and therefore are only recorded when it becomes probable that a milestone will be achieved or other applicable criteria will be met. Because the achievement of these milestones had not reached the threshold for recognition as of June 30, 2026, such contingencies were not recorded in our financial statements.</w:t>
      </w:r>
    </w:p>
    <w:p>
      <w:pPr>
        <w:pStyle w:val="TextBody"/>
        <w:shd w:fill="FFFFFF" w:val="clear"/>
        <w:bidi w:val="0"/>
        <w:spacing w:before="0" w:after="0"/>
        <w:ind w:left="0" w:right="0" w:firstLine="495"/>
        <w:jc w:val="both"/>
        <w:rPr>
          <w:rFonts w:ascii="Helvetica;sans-serif" w:hAnsi="Helvetica;sans-serif"/>
          <w:sz w:val="20"/>
        </w:rPr>
      </w:pPr>
      <w:r>
        <w:rPr>
          <w:rFonts w:ascii="Helvetica;sans-serif" w:hAnsi="Helvetica;sans-serif"/>
          <w:sz w:val="20"/>
        </w:rPr>
        <w:t xml:space="preserve">The following presents a summary of our active partnerships and collaborations that have material contingent regulatory and sales milestones as of June 30, 2026: </w:t>
      </w:r>
    </w:p>
    <w:p>
      <w:pPr>
        <w:pStyle w:val="TextBody"/>
        <w:shd w:fill="FFFFFF" w:val="clear"/>
        <w:bidi w:val="0"/>
        <w:spacing w:before="0" w:after="0"/>
        <w:ind w:left="0" w:right="0" w:firstLine="495"/>
        <w:jc w:val="both"/>
        <w:rPr/>
      </w:pPr>
      <w:r>
        <w:rPr/>
        <w:t>​</w:t>
      </w:r>
    </w:p>
    <w:tbl>
      <w:tblPr>
        <w:tblW w:w="9311" w:type="dxa"/>
        <w:jc w:val="left"/>
        <w:tblInd w:w="0" w:type="dxa"/>
        <w:tblLayout w:type="fixed"/>
        <w:tblCellMar>
          <w:top w:w="0" w:type="dxa"/>
          <w:left w:w="0" w:type="dxa"/>
          <w:bottom w:w="0" w:type="dxa"/>
          <w:right w:w="0" w:type="dxa"/>
        </w:tblCellMar>
      </w:tblPr>
      <w:tblGrid>
        <w:gridCol w:w="3676"/>
        <w:gridCol w:w="109"/>
        <w:gridCol w:w="1291"/>
        <w:gridCol w:w="109"/>
        <w:gridCol w:w="412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334260" cy="175260"/>
                      <wp:effectExtent l="0" t="0" r="0" b="0"/>
                      <wp:wrapNone/>
                      <wp:docPr id="439" name="Frame439"/>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40" name="Frame4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819785" cy="175260"/>
                      <wp:effectExtent l="0" t="0" r="0" b="0"/>
                      <wp:wrapNone/>
                      <wp:docPr id="441" name="Frame44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42"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620010" cy="175260"/>
                      <wp:effectExtent l="0" t="0" r="0" b="0"/>
                      <wp:wrapNone/>
                      <wp:docPr id="443" name="Frame443"/>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Counterparty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Description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Remaining Potential Aggregate Milestone Amount</w:t>
            </w:r>
          </w:p>
        </w:tc>
      </w:tr>
      <w:tr>
        <w:trPr/>
        <w:tc>
          <w:tcPr>
            <w:tcW w:w="367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Junshi Biosciences</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LOQTORZI</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lineRule="auto" w:line="240" w:before="0" w:after="0"/>
              <w:ind w:left="0" w:right="0" w:hanging="0"/>
              <w:jc w:val="left"/>
              <w:rPr>
                <w:rFonts w:ascii="Helvetica;sans-serif" w:hAnsi="Helvetica;sans-serif"/>
                <w:sz w:val="20"/>
              </w:rPr>
            </w:pPr>
            <w:r>
              <w:rPr>
                <w:rFonts w:ascii="Helvetica;sans-serif" w:hAnsi="Helvetica;sans-serif"/>
                <w:sz w:val="20"/>
              </w:rPr>
              <w:t xml:space="preserve">$355.0 million </w:t>
            </w:r>
            <w:r>
              <w:rPr>
                <w:rFonts w:ascii="Helvetica;sans-serif" w:hAnsi="Helvetica;sans-serif"/>
                <w:sz w:val="15"/>
              </w:rPr>
              <w:t>(1)</w:t>
            </w:r>
          </w:p>
        </w:tc>
      </w:tr>
      <w:tr>
        <w:trPr/>
        <w:tc>
          <w:tcPr>
            <w:tcW w:w="367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Adimab LLC</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Casdozokitug</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$10.5 million</w:t>
            </w:r>
          </w:p>
        </w:tc>
      </w:tr>
      <w:tr>
        <w:trPr/>
        <w:tc>
          <w:tcPr>
            <w:tcW w:w="367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Vaccinex, Inc.</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Tagmokitug</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$13.5 million</w:t>
            </w:r>
          </w:p>
        </w:tc>
      </w:tr>
      <w:tr>
        <w:trPr/>
        <w:tc>
          <w:tcPr>
            <w:tcW w:w="367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xml:space="preserve">Memorial Sloan Kettering Cancer Center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Tagmokitug</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$7.2 million</w:t>
            </w:r>
          </w:p>
        </w:tc>
      </w:tr>
    </w:tbl>
    <w:tbl>
      <w:tblPr>
        <w:tblW w:w="7097" w:type="dxa"/>
        <w:jc w:val="left"/>
        <w:tblInd w:w="0" w:type="dxa"/>
        <w:shd w:fill="FFFFFF" w:val="clear"/>
        <w:tblLayout w:type="fixed"/>
        <w:tblCellMar>
          <w:top w:w="0" w:type="dxa"/>
          <w:left w:w="0" w:type="dxa"/>
          <w:bottom w:w="0" w:type="dxa"/>
          <w:right w:w="0" w:type="dxa"/>
        </w:tblCellMar>
      </w:tblPr>
      <w:tblGrid>
        <w:gridCol w:w="331"/>
        <w:gridCol w:w="6766"/>
      </w:tblGrid>
      <w:tr>
        <w:trPr/>
        <w:tc>
          <w:tcPr>
            <w:tcW w:w="331" w:type="dxa"/>
            <w:tcBorders/>
            <w:shd w:fill="FFFFFF" w:val="clear"/>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6766"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 xml:space="preserve">$65.0 million relates to regulatory milestones and $290.0 million relates to sales milestones. </w:t>
            </w:r>
          </w:p>
        </w:tc>
      </w:tr>
    </w:tbl>
    <w:p>
      <w:pPr>
        <w:pStyle w:val="TextBody"/>
        <w:pBdr/>
        <w:shd w:fill="FFFFFF" w:val="clear"/>
        <w:bidi w:val="0"/>
        <w:spacing w:before="0" w:after="0"/>
        <w:ind w:left="0" w:right="0" w:hanging="0"/>
        <w:jc w:val="left"/>
        <w:rPr>
          <w:rFonts w:ascii="Helvetica;sans-serif" w:hAnsi="Helvetica;sans-serif"/>
          <w:b/>
          <w:i/>
          <w:sz w:val="20"/>
        </w:rPr>
      </w:pPr>
      <w:r>
        <w:rPr>
          <w:rFonts w:ascii="Helvetica;sans-serif" w:hAnsi="Helvetica;sans-serif"/>
          <w:b/>
          <w:i/>
          <w:sz w:val="20"/>
        </w:rPr>
        <w:t xml:space="preserve">Contingent Value Rights </w:t>
      </w:r>
    </w:p>
    <w:p>
      <w:pPr>
        <w:pStyle w:val="TextBody"/>
        <w:bidi w:val="0"/>
        <w:spacing w:before="0" w:after="240"/>
        <w:ind w:left="0" w:right="0" w:firstLine="490"/>
        <w:jc w:val="both"/>
        <w:rPr/>
      </w:pPr>
      <w:r>
        <w:rPr/>
        <w:t>​</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shd w:fill="FFFFFF" w:val="clear"/>
        </w:rPr>
        <w:t xml:space="preserve">As of June 30, 2026, the remaining CVRs </w:t>
      </w:r>
      <w:r>
        <w:rPr>
          <w:rFonts w:ascii="Helvetica;sans-serif" w:hAnsi="Helvetica;sans-serif"/>
          <w:sz w:val="20"/>
        </w:rPr>
        <w:t xml:space="preserve">in connection with the </w:t>
      </w:r>
      <w:r>
        <w:rPr>
          <w:rFonts w:ascii="Helvetica;sans-serif" w:hAnsi="Helvetica;sans-serif"/>
          <w:sz w:val="20"/>
          <w:shd w:fill="FFFFFF" w:val="clear"/>
        </w:rPr>
        <w:t>Surface Acquisition consisted of the CVRs associated with the receipt by us of any upfront payments pursuant to ex-U.S. licensing agreements related to casdozokitug or tagmokitug. The potential payments are only due if we first receive upfront payments pursuant to ex-U.S. licensing agreements, less any permitted deductions in accordance with the CVR Agreement. Payments to CVR holders can be in the form of cash, stock or a combination of cash and stock.</w:t>
      </w:r>
    </w:p>
    <w:p>
      <w:pPr>
        <w:pStyle w:val="TextBody"/>
        <w:shd w:fill="FFFFFF" w:val="clear"/>
        <w:bidi w:val="0"/>
        <w:spacing w:before="0" w:after="0"/>
        <w:ind w:left="0" w:right="0" w:hanging="0"/>
        <w:jc w:val="left"/>
        <w:rPr>
          <w:rFonts w:ascii="Helvetica;sans-serif" w:hAnsi="Helvetica;sans-serif"/>
          <w:b/>
          <w:i/>
          <w:sz w:val="20"/>
        </w:rPr>
      </w:pPr>
      <w:r>
        <w:rPr>
          <w:rFonts w:ascii="Helvetica;sans-serif" w:hAnsi="Helvetica;sans-serif"/>
          <w:b/>
          <w:i/>
          <w:sz w:val="20"/>
        </w:rPr>
        <w:t>Other Commitments</w:t>
      </w:r>
    </w:p>
    <w:p>
      <w:pPr>
        <w:pStyle w:val="TextBody"/>
        <w:shd w:fill="FFFFFF" w:val="clear"/>
        <w:bidi w:val="0"/>
        <w:spacing w:before="0" w:after="0"/>
        <w:ind w:left="0" w:right="0" w:hanging="0"/>
        <w:jc w:val="left"/>
        <w:rPr/>
      </w:pPr>
      <w:r>
        <w:rPr/>
        <w:t>​</w:t>
      </w:r>
    </w:p>
    <w:p>
      <w:pPr>
        <w:pStyle w:val="TextBody"/>
        <w:shd w:fill="FFFFFF" w:val="clear"/>
        <w:bidi w:val="0"/>
        <w:spacing w:before="0" w:after="240"/>
        <w:ind w:left="0" w:right="0" w:hanging="0"/>
        <w:jc w:val="left"/>
        <w:rPr>
          <w:rFonts w:ascii="Helvetica;sans-serif" w:hAnsi="Helvetica;sans-serif"/>
          <w:i/>
          <w:sz w:val="20"/>
        </w:rPr>
      </w:pPr>
      <w:r>
        <w:rPr>
          <w:rFonts w:ascii="Helvetica;sans-serif" w:hAnsi="Helvetica;sans-serif"/>
          <w:i/>
          <w:sz w:val="20"/>
        </w:rPr>
        <w:t xml:space="preserve">Transition service agreements </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Since certain contracts with third parties related to the divested biosimilar businesses could not immediately be transitioned to the buyers in the Sale Transactions at the respective divestiture dates, generally because the contracts did not allow for assignment, we remained a legal party to transactions occurring after the closings, often functioning as an agent on behalf of the buyer. These transactions are presented within TSA receivables, net and TSA payables and accrued liabilities in the condensed consolidated balance sheets, and they generally do not have a net effect on the condensed consolidated statements of operations. The use of cash to settle TSA payables and accrued liabilities is expected to occur in a front-loaded fashion over the remainder of 2026. The CIMERLI and YUSIMRY TSAs were substantially completed as of December 31, 2025.</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shd w:fill="FFFFFF" w:val="clear"/>
        </w:rPr>
        <w:t xml:space="preserve">In addition, in connection with the divestiture of the UDENYCA Business, we have certain contractual obligations related to inventory replacement under a legacy customer agreement. Pursuant to the terms of that agreement, we may be required to pay Accord for replacing certain inventory in specified circumstances. Our maximum potential exposure under this obligation is approximately $5.9 million. As of June 30, 2026, no amounts have been recorded in the condensed consolidated financial statements related to this matter. </w:t>
      </w:r>
      <w:r>
        <w:rPr>
          <w:rFonts w:ascii="Helvetica;sans-serif" w:hAnsi="Helvetica;sans-serif"/>
          <w:sz w:val="20"/>
        </w:rPr>
        <w:t>We will continue to assess this matter each reporting period and recognize a liability at such time as reimbursement is required</w:t>
      </w:r>
      <w:r>
        <w:rPr>
          <w:rFonts w:ascii="Helvetica;sans-serif" w:hAnsi="Helvetica;sans-serif"/>
          <w:sz w:val="20"/>
          <w:shd w:fill="FFFFFF" w:val="clear"/>
        </w:rPr>
        <w:t xml:space="preserve">.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Helvetica;sans-serif" w:hAnsi="Helvetica;sans-serif"/>
          <w:i/>
          <w:sz w:val="20"/>
        </w:rPr>
      </w:pPr>
      <w:r>
        <w:rPr>
          <w:rFonts w:ascii="Helvetica;sans-serif" w:hAnsi="Helvetica;sans-serif"/>
          <w:i/>
          <w:sz w:val="20"/>
        </w:rPr>
        <w:t>Non-cancelable purchase commitments</w:t>
      </w:r>
    </w:p>
    <w:p>
      <w:pPr>
        <w:pStyle w:val="TextBody"/>
        <w:pBdr/>
        <w:bidi w:val="0"/>
        <w:spacing w:before="0" w:after="0"/>
        <w:ind w:left="0" w:right="0" w:firstLine="490"/>
        <w:jc w:val="both"/>
        <w:rPr>
          <w:rFonts w:ascii="Helvetica;sans-serif" w:hAnsi="Helvetica;sans-serif"/>
          <w:sz w:val="20"/>
        </w:rPr>
      </w:pPr>
      <w:r>
        <w:rPr>
          <w:rFonts w:ascii="Helvetica;sans-serif" w:hAnsi="Helvetica;sans-serif"/>
          <w:sz w:val="20"/>
        </w:rPr>
        <w:t>We enter into contracts in the normal course of business with third-party contract research organizations (“CROs”) for preclinical research studies and clinical trials, research supplies and other services and products for operating purposes. We have also entered into agreements with several CMOs for the manufacture of our commercial product and clinical drug supply.</w:t>
      </w:r>
      <w:r>
        <w:rPr>
          <w:rFonts w:ascii="Helvetica;sans-serif" w:hAnsi="Helvetica;sans-serif"/>
          <w:sz w:val="20"/>
          <w:shd w:fill="FFFFFF" w:val="clear"/>
        </w:rPr>
        <w:t xml:space="preserve"> Our non-cancelable purchase commitments as of June 30, 2026 were $3.3 million, as outlined in Note 9. Commitments and Contingencies in the Notes to Condensed Consolidated Financial Statements contained in Part I, Item 1 of this Quarterly Report on Form 10-Q.</w:t>
      </w:r>
    </w:p>
    <w:p>
      <w:pPr>
        <w:pStyle w:val="TextBody"/>
        <w:shd w:fill="FFFFFF" w:val="clear"/>
        <w:bidi w:val="0"/>
        <w:spacing w:before="0" w:after="240"/>
        <w:ind w:left="0" w:right="0" w:hanging="0"/>
        <w:jc w:val="left"/>
        <w:rPr>
          <w:rFonts w:ascii="Helvetica;sans-serif" w:hAnsi="Helvetica;sans-serif"/>
          <w:i/>
          <w:sz w:val="20"/>
        </w:rPr>
      </w:pPr>
      <w:r>
        <w:rPr>
          <w:rFonts w:ascii="Helvetica;sans-serif" w:hAnsi="Helvetica;sans-serif"/>
          <w:i/>
          <w:sz w:val="20"/>
        </w:rPr>
        <w:t xml:space="preserve">Leases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There have been no significant changes to our leases during the six months ended June 30, 2026, as compared to the disclosure in our 2025 Form 10-K.</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Summary Statement of Cash Flows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The following table summarizes our cash flows for discontinued and continuing operations on a combined basis as follows: </w:t>
      </w:r>
    </w:p>
    <w:tbl>
      <w:tblPr>
        <w:tblW w:w="9187" w:type="dxa"/>
        <w:jc w:val="left"/>
        <w:tblInd w:w="0" w:type="dxa"/>
        <w:tblLayout w:type="fixed"/>
        <w:tblCellMar>
          <w:top w:w="0" w:type="dxa"/>
          <w:left w:w="0" w:type="dxa"/>
          <w:bottom w:w="0" w:type="dxa"/>
          <w:right w:w="0" w:type="dxa"/>
        </w:tblCellMar>
      </w:tblPr>
      <w:tblGrid>
        <w:gridCol w:w="6196"/>
        <w:gridCol w:w="346"/>
        <w:gridCol w:w="211"/>
        <w:gridCol w:w="916"/>
        <w:gridCol w:w="346"/>
        <w:gridCol w:w="211"/>
        <w:gridCol w:w="961"/>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934460" cy="175260"/>
                      <wp:effectExtent l="0" t="0" r="0" b="0"/>
                      <wp:wrapNone/>
                      <wp:docPr id="444" name="Frame444"/>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81660" cy="175260"/>
                      <wp:effectExtent l="0" t="0" r="0" b="0"/>
                      <wp:wrapNone/>
                      <wp:docPr id="447" name="Frame4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10235" cy="175260"/>
                      <wp:effectExtent l="0" t="0" r="0" b="0"/>
                      <wp:wrapNone/>
                      <wp:docPr id="450" name="Frame45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6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619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619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1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(119,976)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(72,458)</w:t>
            </w:r>
          </w:p>
        </w:tc>
      </w:tr>
      <w:tr>
        <w:trPr/>
        <w:tc>
          <w:tcPr>
            <w:tcW w:w="619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60,286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445,152</w:t>
            </w:r>
          </w:p>
        </w:tc>
      </w:tr>
      <w:tr>
        <w:trPr/>
        <w:tc>
          <w:tcPr>
            <w:tcW w:w="619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53,734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(281,788)</w:t>
            </w:r>
          </w:p>
        </w:tc>
      </w:tr>
      <w:tr>
        <w:trPr/>
        <w:tc>
          <w:tcPr>
            <w:tcW w:w="619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increase (decrease)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(5,956)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90,906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Net cash used in operating activities</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 xml:space="preserve">Net cash used in operating activities of $120.0 million and $72.5 million for the six months ended June 30, 2026 and 2025, respectively, was primarily due to commercial activity, research and development activities and selling, general and administrative expenses to support those activities. </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Net income (loss) for the six months ended June 30, 2026 and 2025, included, among other items, adjustments to arrive at operating cash flows. Adjustments for the six months ended June 30, 2026 included the non-cash release of biosimilar revenue related reserves of $13.1 million, non-cash stock-based compensation expense of $5.0 million, and non-cash depreciation and amortization of $1.7 million. Adjustments for the six months ended June 30, 2025 included the gain on Sale Transactions of $339.1 million, non-cash change in fair value of derivatives of $12.6 million, non-cash stock-based compensation expense of $10.8 million, loss on debt extinguishment of $10.3 million, and non-cash depreciation and amortization of $2.1 million.</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Net cash provided by investing activities</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Cash provided by investing activities of $60.3 million for the six months ended June 30, 2026 was primarily due to $81.7 million cash received from maturities of investments, offset by $20.3 million purchases of investments in marketable securities.</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Cash provided by investing activities of $445.2 million for the six months ended June 30, 2025 was primarily due to $483.4 million cash received for the UDENYCA Sale, partially offset by $20.7 million in purchases of investments in marketable securities, the second out of two $12.5 million milestone payments to Junshi Biosciences and $4.7 million in retention bonus payments in connection with the CIMERLI Sale.</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Net cash provided by (used in) financing activities</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 xml:space="preserve">Cash provided by financing activities of $53.7 million for the six months ended June 30, 2026 was mainly due to proceeds from issuance of common stock in connection with our Public Offering, net of issuance costs in the first quarter of 2026. </w:t>
      </w:r>
    </w:p>
    <w:p>
      <w:pPr>
        <w:pStyle w:val="TextBody"/>
        <w:bidi w:val="0"/>
        <w:spacing w:before="0" w:after="240"/>
        <w:ind w:left="0" w:right="0" w:firstLine="490"/>
        <w:jc w:val="both"/>
        <w:rPr>
          <w:rFonts w:ascii="Helvetica;sans-serif" w:hAnsi="Helvetica;sans-serif"/>
          <w:sz w:val="20"/>
          <w:shd w:fill="FFFFFF" w:val="clear"/>
        </w:rPr>
      </w:pPr>
      <w:r>
        <w:rPr>
          <w:rFonts w:ascii="Helvetica;sans-serif" w:hAnsi="Helvetica;sans-serif"/>
          <w:sz w:val="20"/>
          <w:shd w:fill="FFFFFF" w:val="clear"/>
        </w:rPr>
        <w:t>Cash used in financing activities of $281.8 million for the six months ended June 30, 2025 was due to $233.2 million for repayment of substantially all the 2026 Convertible Notes and $47.7 million for the UDENYCA Buy-out.</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 xml:space="preserve">Discontinued operations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shd w:fill="FFFFFF" w:val="clear"/>
        </w:rPr>
        <w:t>Cash flows from continuing operations and discontinued operations have been presented together in the condensed consolidated statement of cash flows. During the six months ended June 30, 2026, operating cash flows from discontinued operations primarily reflected $42.2 million of payments for TSA related operating assets and liabilities, net</w:t>
      </w:r>
      <w:r>
        <w:rPr>
          <w:rFonts w:ascii="Helvetica;sans-serif" w:hAnsi="Helvetica;sans-serif"/>
          <w:sz w:val="20"/>
        </w:rPr>
        <w:t xml:space="preserve">. </w:t>
      </w:r>
      <w:r>
        <w:rPr>
          <w:rFonts w:ascii="Helvetica;sans-serif" w:hAnsi="Helvetica;sans-serif"/>
          <w:sz w:val="20"/>
          <w:shd w:fill="FFFFFF" w:val="clear"/>
        </w:rPr>
        <w:t>During the six months ended June 30, 2025, operating cash flows of discontinued operations were primarily related to the following adjustments to arrive at operating cash flows: the net gain on UDENYCA Sale of $339.1 million, partially offset by the $11.8 million change in fair value for the UDENYCA portion of the Royalty Fee Derivative Liability and a loss on debt extinguishment of $10.3 million.</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Critical Accounting Policies and Significant Judgments and Estimates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preparation of our condensed consolidated financial statements in accordance with U.S. GAAP requires us to make estimates and assumptions that affect the reported amounts of assets and liabilities and the disclosure of contingent assets and liabilities at the date of the condensed consolidated financial statements, as well as the reported revenue generated and expense incurred during the reporting periods. Our estimates are based on our historical experience and on various other factors that we believe to be reasonable under the circumstances. These estimates form the basis for making judgments about the carrying value of assets and liabilities that are not readily apparent from other sources.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There have been no significant changes to our critical accounting estimates during the six months ended June 30, 2026, as compared to the critical accounting estimates described in our 2025 Form 10-K. We believe that the critical accounting estimates discussed in the 2025 Form 10-K are meaningful to understanding our historical and future performance, as these estimates relate to the more significant areas involving management’s judgments and assumptions.</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 xml:space="preserve">Recent Accounting Pronouncements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For a description of the impact of recent accounting pronouncements, see Note 1. Organization and Summary of Significant Accounting Policies in the Notes to Condensed Consolidated Financial Statements contained in Part I, Item 1 of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b/>
          <w:sz w:val="20"/>
        </w:rPr>
      </w:pPr>
      <w:bookmarkStart w:id="1250" w:name="ITEM3_924534"/>
      <w:bookmarkStart w:id="1251" w:name="QuantitativeandQualitativeDisclosuresAbo"/>
      <w:bookmarkStart w:id="1252" w:name="_138896d4_ef41_4cad_9376_861f8dd849dc"/>
      <w:bookmarkEnd w:id="1250"/>
      <w:bookmarkEnd w:id="1251"/>
      <w:bookmarkEnd w:id="1252"/>
      <w:r>
        <w:rPr>
          <w:rFonts w:ascii="Helvetica;sans-serif" w:hAnsi="Helvetica;sans-serif"/>
          <w:b/>
          <w:sz w:val="20"/>
        </w:rPr>
        <w:t xml:space="preserve">ITEM 3.              Quantitative and Qualitative Disclosures About Market Risk </w:t>
      </w:r>
    </w:p>
    <w:p>
      <w:pPr>
        <w:pStyle w:val="TextBody"/>
        <w:bidi w:val="0"/>
        <w:spacing w:before="240" w:after="0"/>
        <w:ind w:left="0" w:right="0" w:firstLine="556"/>
        <w:jc w:val="both"/>
        <w:rPr>
          <w:rFonts w:ascii="Helvetica;sans-serif" w:hAnsi="Helvetica;sans-serif"/>
          <w:sz w:val="20"/>
          <w:shd w:fill="FFFFFF" w:val="clear"/>
        </w:rPr>
      </w:pPr>
      <w:r>
        <w:rPr>
          <w:rFonts w:ascii="Helvetica;sans-serif" w:hAnsi="Helvetica;sans-serif"/>
          <w:sz w:val="20"/>
          <w:shd w:fill="FFFFFF" w:val="clear"/>
        </w:rPr>
        <w:t>We are a smaller reporting company as defined by Rule 12b-2 of the Exchange Act, and in Item 10(f)(1) of Regulation S-K, therefore this disclosure item is not applicable.</w:t>
      </w:r>
    </w:p>
    <w:p>
      <w:pPr>
        <w:pStyle w:val="TextBody"/>
        <w:bidi w:val="0"/>
        <w:spacing w:before="0" w:after="240"/>
        <w:ind w:left="0" w:right="0" w:firstLine="490"/>
        <w:jc w:val="both"/>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sz w:val="20"/>
        </w:rPr>
      </w:pPr>
      <w:bookmarkStart w:id="1253" w:name="ITEM4_80244"/>
      <w:bookmarkStart w:id="1254" w:name="ControlsandProcedures_262474"/>
      <w:bookmarkStart w:id="1255" w:name="_275c5668_ceec_476d_8321_aba32774c8cc"/>
      <w:bookmarkEnd w:id="1253"/>
      <w:bookmarkEnd w:id="1254"/>
      <w:bookmarkEnd w:id="1255"/>
      <w:r>
        <w:rPr>
          <w:rFonts w:ascii="Helvetica;sans-serif" w:hAnsi="Helvetica;sans-serif"/>
          <w:b/>
          <w:sz w:val="20"/>
        </w:rPr>
        <w:t>ITEM 4.              Controls and Procedures</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 xml:space="preserve">Evaluation of Effectiveness of Disclosure Controls and Procedures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carried out an evaluation, under the supervision of our President and Chief Executive Officer and our Chief Financial Officer, and evaluated the effectiveness of our disclosure controls and procedures as defined in Rules 13a-15(e) and 15d-15(e) under the Exchange Act, as of the end of the period covered by this Quarterly Report on Form 10-Q. Based on this evaluation, our President and Chief Executive Officer and our Chief Financial Officer have concluded that, as of the end of the period covered by this Quarterly Report on Form 10-Q, our disclosure controls and procedures were effective at a reasonable assurance level.</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principal financial officer and principal accounting officer, as appropriate, to allow for timely decisions regarding required disclosure.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review and evaluate the design and effectiveness of our disclosure controls and procedures on an ongoing basis and implement improvements as appropriate. Our goal is to ensure that our management has timely access to material information that could affect our business.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Changes in Internal Control Over Financial Reporting</w:t>
      </w:r>
      <w:r>
        <w:rPr>
          <w:rFonts w:ascii="Helvetica;sans-serif" w:hAnsi="Helvetica;sans-serif"/>
          <w:b/>
          <w:i/>
          <w:sz w:val="20"/>
        </w:rPr>
        <w: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There has been no change in the Company's internal control over financial reporting as defined in Rules 13a-15(f) and 15d-15(f) that occurred during the second quarter ended June 30, 2026 that has materially affected, or is reasonably likely to materially affect, our internal control over financial reporting.</w:t>
      </w:r>
    </w:p>
    <w:p>
      <w:pPr>
        <w:pStyle w:val="TextBody"/>
        <w:bidi w:val="0"/>
        <w:spacing w:before="0" w:after="240"/>
        <w:ind w:left="0" w:right="0" w:hanging="0"/>
        <w:jc w:val="left"/>
        <w:rPr>
          <w:rFonts w:ascii="Helvetica;sans-serif" w:hAnsi="Helvetica;sans-serif"/>
          <w:b/>
          <w:sz w:val="20"/>
        </w:rPr>
      </w:pPr>
      <w:bookmarkStart w:id="1256" w:name="OTHERINFORMATION_37114"/>
      <w:bookmarkStart w:id="1257" w:name="PARTII_679735"/>
      <w:bookmarkStart w:id="1258" w:name="_c32c0bef_1463_41be_a1e7_10fa5273f00c"/>
      <w:bookmarkEnd w:id="1256"/>
      <w:bookmarkEnd w:id="1257"/>
      <w:bookmarkEnd w:id="1258"/>
      <w:r>
        <w:rPr>
          <w:rFonts w:ascii="Helvetica;sans-serif" w:hAnsi="Helvetica;sans-serif"/>
          <w:b/>
          <w:sz w:val="20"/>
        </w:rPr>
        <w:t>PART II – OTHER INFORMATION</w:t>
      </w:r>
    </w:p>
    <w:p>
      <w:pPr>
        <w:pStyle w:val="TextBody"/>
        <w:bidi w:val="0"/>
        <w:spacing w:before="0" w:after="240"/>
        <w:ind w:left="0" w:right="0" w:hanging="0"/>
        <w:jc w:val="left"/>
        <w:rPr>
          <w:rFonts w:ascii="Helvetica;sans-serif" w:hAnsi="Helvetica;sans-serif"/>
          <w:b/>
          <w:sz w:val="20"/>
        </w:rPr>
      </w:pPr>
      <w:bookmarkStart w:id="1259" w:name="ITEM1LegalProceedings_470595"/>
      <w:bookmarkEnd w:id="1259"/>
      <w:r>
        <w:rPr>
          <w:rFonts w:ascii="Helvetica;sans-serif" w:hAnsi="Helvetica;sans-serif"/>
          <w:b/>
          <w:sz w:val="20"/>
        </w:rPr>
        <w:t xml:space="preserve">ITEM 1.              Legal Proceedings </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The information called for by this Item is incorporated herein by reference to the information set forth in Note 9. Commitments and Contingencies in the Notes to Condensed Consolidated Financial Statements contained in Part I, Item 1 of this Quarterly Report on Form 10-Q.</w:t>
      </w:r>
    </w:p>
    <w:p>
      <w:pPr>
        <w:pStyle w:val="TextBody"/>
        <w:bidi w:val="0"/>
        <w:spacing w:before="0" w:after="240"/>
        <w:ind w:left="0" w:right="0" w:firstLine="490"/>
        <w:jc w:val="both"/>
        <w:rPr/>
      </w:pPr>
      <w:r>
        <w:rPr/>
        <w:t>​</w:t>
      </w:r>
    </w:p>
    <w:p>
      <w:pPr>
        <w:pStyle w:val="TextBody"/>
        <w:bidi w:val="0"/>
        <w:spacing w:before="0" w:after="240"/>
        <w:ind w:left="0" w:right="0" w:hanging="0"/>
        <w:jc w:val="left"/>
        <w:rPr>
          <w:rFonts w:ascii="Helvetica;sans-serif" w:hAnsi="Helvetica;sans-serif"/>
          <w:b/>
          <w:sz w:val="20"/>
        </w:rPr>
      </w:pPr>
      <w:bookmarkStart w:id="1260" w:name="RiskFactors"/>
      <w:bookmarkStart w:id="1261" w:name="_08213d33_b361_4f5e_9159_272d0a321a7c"/>
      <w:bookmarkEnd w:id="1260"/>
      <w:bookmarkEnd w:id="1261"/>
      <w:r>
        <w:rPr>
          <w:rFonts w:ascii="Helvetica;sans-serif" w:hAnsi="Helvetica;sans-serif"/>
          <w:b/>
          <w:sz w:val="20"/>
        </w:rPr>
        <w:t>Item 1A.   </w:t>
      </w:r>
      <w:r>
        <w:rPr>
          <w:rFonts w:ascii="Helvetica;sans-serif" w:hAnsi="Helvetica;sans-serif"/>
          <w:b/>
          <w:i/>
          <w:sz w:val="20"/>
        </w:rPr>
        <w:t>Risk Factors</w:t>
      </w:r>
      <w:r>
        <w:rPr>
          <w:rFonts w:ascii="Helvetica;sans-serif" w:hAnsi="Helvetica;sans-serif"/>
          <w:b/>
          <w:sz w:val="20"/>
        </w:rPr>
        <w:t xml:space="preserve"> </w:t>
      </w:r>
    </w:p>
    <w:p>
      <w:pPr>
        <w:pStyle w:val="TextBody"/>
        <w:bidi w:val="0"/>
        <w:spacing w:before="0" w:after="240"/>
        <w:ind w:left="0" w:right="0" w:firstLine="720"/>
        <w:jc w:val="both"/>
        <w:rPr>
          <w:rFonts w:ascii="Helvetica;sans-serif" w:hAnsi="Helvetica;sans-serif"/>
          <w:b w:val="false"/>
          <w:i/>
          <w:sz w:val="20"/>
        </w:rPr>
      </w:pPr>
      <w:r>
        <w:rPr>
          <w:rFonts w:ascii="Helvetica;sans-serif" w:hAnsi="Helvetica;sans-serif"/>
          <w:b w:val="false"/>
          <w:i/>
          <w:sz w:val="20"/>
        </w:rPr>
        <w:t>Investing in the common stock of a commercial-stage innovative oncology company, including one with a significant international partnership and multiple product candidates in development, is a highly speculative undertaking and involves a substantial degree of risk. You should carefully consider the risks and uncertainties described below, together with all of the other information in this Quarterly Report on Form 10-Q. If any of the following risks are realized, our business, financial condition, results of operations and prospects could be materially and adversely affected. The risks described below are not the only risks facing us. Risks and uncertainties not currently known to us or that we currently deem to be immaterial also may materially adversely affect our business, financial condition, results of operations and/or prospects.</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 xml:space="preserve">Risks Related to Our Financial Condition and Capital Requirements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b/>
          <w:i/>
          <w:sz w:val="20"/>
          <w:shd w:fill="FFFFFF" w:val="clear"/>
        </w:rPr>
      </w:pPr>
      <w:r>
        <w:rPr>
          <w:rFonts w:ascii="Helvetica;sans-serif" w:hAnsi="Helvetica;sans-serif"/>
          <w:b/>
          <w:i/>
          <w:sz w:val="20"/>
          <w:shd w:fill="FFFFFF" w:val="clear"/>
        </w:rPr>
        <w:t>We have a limited history of profitability, which we have not maintained and may not achieve again, and only one product that has been approved and marketed and with multiple product candidates that are not approved and still in development.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have generated significant operating losses in all the years since our inception except for certain periods that had gains from divestitures and 2020 and 2019. It is uncertain that we will be profitable in future periods, particularly now that the UDENYCA Sale has been consummated, as research and development is expensive and risky. The amount of our future net losses or any future net income will depend, in part, on the amount of our future expenditures offset by the amount of future product sales, including sales of our current product or any other products that may receive regulatory approval. Innovative oncology product development is a highly speculative undertaking and involves a substantial degree of risk.</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For example, as of June 30, 2026, we had an accumulated deficit of $1.4 billion. The losses and accumulated deficit were primarily due to the substantial investments we made to commercialize our product and identify, develop or acquire our product candidates, including conducting, among other things, analytical characterization, process development and manufacturing, formulation and clinical studies and providing general and administrative support for these operations.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have incurred and anticipate we will continue to incur certain development and commercial expenses for LOQTORZI, the anti-PD-1 antibody we licensed from Junshi Biosciences in 2021, and we have agreed to pay up to $90.0 million for the achievement of certain regulatory approvals and up to $290.0 million for the attainment of certain sales thresholds. The launch of this product and future work to advance our other product candidates through clinical development in combination with toripalimab will be expensive and could result in us continuing to experience future net losses.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For LOQTORZI, our only commercial product, and if we obtain regulatory approval to market any other product candidate, our future revenue will depend upon the size of any markets in which our product candidates may receive approval, our ability to achieve market share within our approved indications, and our ability to achieve sufficient market acceptance, pricing, and reimbursement from third-party payers. However, even if additional product candidates in addition to our current product gain regulatory approval and are commercialized, we may not become profitable.</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Our expenses will increase substantially if and as we: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establish a sales, marketing and distribution infrastructure to commercialize any of our product candidates for which we may obtain marketing approval; </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make upfront, milestone, royalty or other payments under any license agreements; </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continue our nonclinical and clinical development of our product candidates; </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initiate additional nonclinical, clinical or other studies for our product candidates; </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expand the scope of our current clinical studies for our product candidates; </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advance our programs into more expensive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change or add contract manufacturers, clinical research service providers, testing laboratories, device suppliers, legal service providers or other vendors or suppliers; </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seek regulatory approvals for our product candidates that successfully complete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seek to identify, assess, acquire and/or develop other product candidates or products that may be complementary to our product; </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seek to create, maintain, protect and expand our intellectual property portfolio;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engage legal counsel and technical experts to help us evaluate and avoid infringing any valid and enforceable intellectual property rights of third parties; </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engage in litigation, including patent litigation; </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seek to attract and retain skilled personnel;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create additional infrastructure to support our operations as a public company and our product development and planned future commercialization efforts;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experience any delays or encounter issues with any of the above, including but not limited to failed studies, conflicting results, safety issues, manufacturing delays, litigation or regulatory challenges that may require longer follow-up of existing studies, additional major studies or additional supportive studies or analyses in order to pursue marketing approval.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our divestiture of UDENYCA may make it more difficult or make it take more time for us to become profitable at any point in the future. UDENYCA was our largest product that contributed significantly more revenue to our business than LOQTORZI currently. LOQTORZI may not increase its revenue contribution to our business as quickly as we project or at all and faces competition from chemotherapy and from off-label immunotherapy agents for its approved indication in nasopharyngeal carcinoma. Our clinical trials for our product candidates may be delayed, may be unsuccessful or may take more time and expense to complete than we currently anticipate. The inherent risk involved in divesting a major business could make it difficult for us to replace the revenue lost by the UDENYCA Sale or by becoming profitable in the future.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Further, the net loss or net income we achieve may fluctuate significantly from quarter-to-quarter and year-to-year such that a period-to-period comparison of our results of operations may not be a good indication of our future performance quarter-to-quarter and year-to-year due to factors including the timing of clinical trials, any litigation that we may initiate or that may be initiated against us as well as any settlements or judgments from such litigation, the execution of collaboration, licensing or other agreements and the timing of any payments we make or receive thereunder.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continue to be dependent on the ability to raise funds. This additional funding may not be available on acceptable terms or at all. Failure to obtain this necessary capital when needed may force us to delay, limit or terminate our product development and commercialization efforts or other operations.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As of June 30, 2026, our cash, cash equivalents and marketable securities were $105.3 million. We expect that our existing cash and cash equivalents, investments, cash collected from our product sales and cash proceeds from the UDENYCA Sale will be sufficient to fund our current operations for the foreseeable future. We have financed our operations primarily through the sale of equity securities, convertible notes, credit facilities, divestitures, license agreements and through recent product sales of our product.</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However, our operating or investing plans may change as a result of many factors that may currently be unknown to us, and we may need to seek additional funds sooner than planned. Our future funding requirements will depend on many factors, including but not limited to: </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ability to maintain or grow sales and continue to successfully commercialize LOQTORZI;</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ability to maintain continuity for the supply of our product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scope, rate of progress, results and cost of any clinical studies, nonclinical testing and other related activities;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of manufacturing clinical drug supplies and establishing commercial supplies of our product and product candidates;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39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number and characteristics of product candidates that we pursue; </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timing and outcomes of regulatory approvals; </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ability to receive either of the Earnout Payments in the future;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and timing of establishing sales, marketing and distribution capabilities;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terms and timing of any licensing or other arrangements to acquire intellectual property rights that we may establish, including any milestone and royalty payments thereunder;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timing of repayment in cash, whether due or not, of our long-term debt and the payment of interest, principal and royalties related to our financial liabilities;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timing and outcomes of any litigation that we may file against third parties or that may be filed against us by third parties.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may dilute the share ownership of our existing stockholders. The incurrence of indebtedness could result in increased fixed payment obligations and we may be required to agree to certain restrictive covenants, such as those contained in the 2029 Loan Agreement, including limitations on our ability to incur additional debt, limitations on our ability to acquire, sell or license intellectual property rights and other operating restrictions that could adversely impact our ability to conduct our business such as a financial covenant which requires us to maintain certain levels of cash and cash equivalents. We could also be required to seek funds through arrangements with collaborative partners or otherwise at an earlier stage or for a lower price than otherwise would be desirable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for specific strategic considerations.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If we are unable to obtain funding on a timely basis or at all, maintain and grow sales of LOQTORZI, stay profitable or generate any net profits, we may be required to significantly curtail, delay or discontinue one or more of our research or development programs or the commercialization of any product or product candidates or be unable to expand our operations or otherwise capitalize on our business opportunities, as desired, which could materially affect our financial condition and results of operations. </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Risks Related to Launch and Commercialization of our Product and our Product Candidates</w:t>
      </w:r>
    </w:p>
    <w:p>
      <w:pPr>
        <w:pStyle w:val="TextBody"/>
        <w:bidi w:val="0"/>
        <w:spacing w:before="0" w:after="240"/>
        <w:ind w:left="0" w:right="0" w:hanging="0"/>
        <w:jc w:val="left"/>
        <w:rPr>
          <w:rFonts w:ascii="Helvetica;sans-serif" w:hAnsi="Helvetica;sans-serif"/>
          <w:b/>
          <w:i/>
          <w:sz w:val="20"/>
        </w:rPr>
      </w:pPr>
      <w:r>
        <w:rPr>
          <w:rFonts w:ascii="Helvetica;sans-serif" w:hAnsi="Helvetica;sans-serif"/>
          <w:b/>
          <w:i/>
          <w:sz w:val="20"/>
        </w:rPr>
        <w:t>We have a limited operating history in an emerging regulatory environment on which to assess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are a commercial-stage innovative oncology company with a limited operating history in an emerging regulatory environment of immuno-oncology products. Although we have received upfront payments, milestone and other contingent payments and/or funding for development from some of our collaboration and license agreements, our only approved product is LOQTORZI, which is approved for commercial sale in the United States and Canada, and we have no products approved in any other territories.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Our ability to generate meaningful revenue and become profitable depends on our ability, alone or with strategic collaboration partners, to successfully market and sell our product, and to complete the development of, and obtain the regulatory approvals necessary to commercialize, one or more of our product pipeline candidates, which include: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casdozokitug; </w:t>
            </w:r>
          </w:p>
        </w:tc>
      </w:tr>
    </w:tbl>
    <w:tbl>
      <w:tblPr>
        <w:tblW w:w="1926" w:type="dxa"/>
        <w:jc w:val="left"/>
        <w:tblInd w:w="0" w:type="dxa"/>
        <w:tblLayout w:type="fixed"/>
        <w:tblCellMar>
          <w:top w:w="28" w:type="dxa"/>
          <w:left w:w="28" w:type="dxa"/>
          <w:bottom w:w="28" w:type="dxa"/>
          <w:right w:w="28" w:type="dxa"/>
        </w:tblCellMar>
      </w:tblPr>
      <w:tblGrid>
        <w:gridCol w:w="124"/>
        <w:gridCol w:w="25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tagmokitug; and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toripalimab in non-NPC indications.</w:t>
            </w:r>
          </w:p>
        </w:tc>
      </w:tr>
    </w:tbl>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We may not be able to continue to generate meaningful revenue from product sales, as this depends heavily on our success in many areas, including but not limited to: </w:t>
      </w:r>
    </w:p>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ability to continue to successfully commercialize or to maintain or increase revenue from LOQTORZI;</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healthcare providers, payers, and patients adopting our product and product candidates once approved and launched;</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obtaining additional regulatory approvals for product candidates for which we complete clinical studies; </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obtaining adequate third-party coverage and reimbursements for our product; </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obtaining market acceptance of our product and product candidates as viable treatment options; </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completing nonclinical and clinical development of our product candidates; </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developing and testing of our product formulations; </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attracting, hiring and retaining qualified personnel;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developing a sustainable and scalable manufacturing process for our product and any approved product candidates and establishing and maintaining supply and manufacturing relationships with third parties that can conduct the process and provide adequate (in amount and quality) products to support clinical development and the market demand for our product and product candidates, if approved; </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addressing any competing technological and market developments; </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identifying, assessing and developing (or acquiring/in-licensing on favorable terms) new product candidates; </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negotiating favorable terms in any collaboration, licensing or other arrangements into which we may enter;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maintaining, protecting and expanding our portfolio of intellectual property rights, including patents, trade secrets and know-how;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defending against any litigation including patent or trade secret infringement lawsuits, which may be filed against us, or achieving successful outcomes lawsuits that we may in the future file against third parties.</w:t>
            </w:r>
          </w:p>
        </w:tc>
      </w:tr>
    </w:tbl>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Even if one or more of the product candidates that we develop is approved for commercial sale, we anticipate incurring significant costs to commercialize any such product. Our expenses could increase beyond our expectations if we are required by the FDA, the European Medical Agency (the “EMA”), other regulatory agencies, domestic or foreign, or by any unfavorable outcomes in intellectual property litigation filed against us, to change our manufacturing processes or assays or to perform clinical, nonclinical or other types of studies in addition to those that we currently anticipate. In cases where we are successful in obtaining additional regulatory approvals to market one or more of our product candidates, our revenue will be dependent, in part, upon the size of the markets in the territories for which we gain regulatory approval, the number of competitors in such markets, the accepted price for the product, the ability to get reimbursement at any price, the nature and degree of competition from immuno-oncology companies (including competition from large pharmaceutical companies possessing large established positions in the immuno-oncology market that may be able to gain advantages in the sale of immuno-oncology products based on brand recognition or existing relationships with customers and payers) and whether we own (or have partnered with companies owning) the commercial rights for that territory. If the market for our product and product candidates (or our share of that market) is not as significant as we expect, the price of our product is not what we project, the indication approved by regulatory authorities is narrower than we expect or the reasonably accepted population for treatment is narrowed by competition,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physician choice or treatment guidelines, we may not generate significant revenue from sales of such products, even if approved. If we are unable to successfully complete development and obtain additional regulatory approval for our product, our business may suffer.</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The commercial success of our existing product or any future products will depend upon the size of the applicable markets and the degree of market acceptance and adoption by prescribing physicians, healthcare providers and the patients to whom our medicines are prescribed. Additionally, obtaining placement on national or local clinical guidelines/pathways, as well as coverage on third-party payor formularies, can impact our short and long-term financial performance. </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Even with the requisite approvals from the FDA and comparable foreign regulatory authorities, the commercial success of our product or product candidates, if approved, will depend in part on the medical community, patients and third-party payers accepting our product and product candidates as medically useful, cost-effective and safe. Any product that we bring to the market may not gain market acceptance by physicians, patients, third-party payers and others in the medical community. The degree of market acceptance of LOQTORZI, or any of our product candidates, if approved for commercial sale, will depend on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safety and efficacy of the product, as demonstrated in clinical studies, and potential advantages over competing treatments;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prevalence and severity of any side effects and any limitations or warnings contained in a product’s approved labeling; </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clinical indications for which approval is granted;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our ability to compete in the approved indication for LOQTORZI in nasopharyngeal carcinoma with chemotherapy regimens and with off-label immunotherapy agents in a competitive immuno-oncology market;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inclusion, in either parity or better position, on commonly accepted clinical guidelines or pathways that influence prescribing patterns and/or affect reimbursement;</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prevalence of the disease or condition for which the product is approved; </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of treatment, particularly in relation to competing treatments;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willingness of the target patient population to try new therapies and of physicians to prescribe these therapies; </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strength of marketing and distribution support and timing of market introduction of competitive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extent to which the product is approved for inclusion on formularies of hospitals, integrated delivery networks and managed care organizations; </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publicity concerning our product or competing products and treatments;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extent to which third-party payers (including government and national/regional commercial plans) provide adequate third-party coverage and reimbursement for our product and product candidates, if approved; </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price at which we sell our product; </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potential impact of the IRA on the pharmaceutical industry and the market for our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actions taken by current and future competitors to delay, restrict or block customer usage of the product; and </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our ability to maintain compliance with regulatory requirements.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Market acceptance of any future product candidates, if approved, will not be fully known until after they are launched and may be negatively affected by a potential poor safety experience and the track record of other products and product candidates. Further, continued market acceptance and ability to maintain or grow sales of LOQTORZI, and any future product candidates that may be approved, depend on our efforts to educate the medical community and third-party payers on the benefits of our product and product candidates and will require significant resources from us and we have significantly less resources compared to large, well-funded pharmaceutical companies. Given the resource disparity, our outreach may have little success or may never be successful. If our product or any future product candidates that are approved fail to achieve an adequate level of acceptance by physicians, patients, third-party payers and others in the medical community, we will not be able to generate sufficient revenue to sustain profitability.</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The third-party coverage and reimbursement status of our product is uncertain. Failure to obtain or maintain adequate coverage and reimbursement for any new products or our current product could limit our ability to market those products and decrease our ability to generate revenue.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Pricing, coverage and reimbursement of our product, or any of our product candidates, if approved, may not be adequate to support our commercial infrastructure. The prices required to successfully compete may not continue to be sufficient to recover our development and manufacturing costs, and as a result, we may not be profitable in the future. Accordingly, the availability and adequacy of coverage and reimbursement by governmental and commercial payers are essential to enable provider/patient access to our product and our patient support services must be sufficiently scaled to meet the needs of patients receiving our product. Sales will depend substantially, both domestically and abroad, on the extent to which the costs of our product will be paid for by health maintenance, managed care, pharmacy benefit and similar healthcare management organizations or reimbursed by government authorities, private health insurers and other third-party payers. If coverage and reimbursement are not available, or are available only to limited levels, or become unavailable, we may not be able to successfully commercialize our product or any of our product candidates, if approved. Even if coverage is provided, the approved reimbursement amount may not be adequate to allow us to establish or maintain pricing sufficient to realize a return on our investment.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There is significant uncertainty related to third-party coverage and reimbursement of newly approved products. In the United States, third-party payers, including private and governmental payers such as the Medicare and Medicaid programs, play an important role in determining the extent to which new drugs and biologics will be covered and reimbursed. The Medicare program covers certain individuals aged 65 or older or those who are disabled or suffering from end-stage renal disease. The Medicaid program, which varies from state to state, covers certain individuals and families who have limited financial means. The Medicare and Medicaid programs increasingly are used as models for how private payers and other governmental payers develop their coverage and reimbursement policies for drugs and biologics. It is difficult to predict what third-party payers will decide with respect to the coverage and reimbursement for any newly approved product. In addition, in the United States, no uniform policy of coverage and reimbursement for biologics exists among third-party payers. Therefore, coverage and reimbursement for biologics can differ significantly from payer to payer. As a result, the process for obtaining favorable coverage determinations often is time-consuming and costly and may require us to provide scientific and clinical support for the use of our product to each payer separately, with no assurance that coverage and adequate reimbursement will be obtained.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our product or any of our future product candidates, are not covered or adequately reimbursed by third-party payers, including Medicare, then the cost of the relevant product may be absorbed by healthcare providers or charged to patients. If this is the case, our expectations of the pricing we expect to achieve for such product and the related potential revenue may be significantly diminished.</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Outside of the United States, pharmaceutical businesses are generally subject to extensive governmental price controls and other market regulations.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outside the United States, the reimbursement for our product may be reduced compared with the United States and may be insufficient to generate commercially reasonable revenue and profits.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Increasing efforts by governmental and third-party payers in the United States and abroad to control healthcare costs may cause such organizations to limit both coverage and the level of reimbursement for new products approved and, as a result, they may not cover or provide adequate payment for our product or any of our product candidates. Severe cost containment practices may adversely affect our product sales. Furthermore, the impact of the IRA on our business and the pharmaceutical industry generally is currently unknown. We expect to experience pricing pressures in connection with the sale of our product and any of our product candidates due to the trend toward managed healthcare, the increasing influence of health maintenance organizations and additional legislative changes.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Our product and our product candidates, even if approved, will remain subject to regulatory scrutiny.</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Our product and our product candidates, even if approved,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BLA submitted under Section 351(a) of the Public Health Service Act, or marketing authorization application (“MAA”). Accordingly, we and others with whom we work must continue to spend time, money and effort in all areas of regulatory compliance, including manufacturing, production and quality control.</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Any regulatory approvals that we or our collaboration partners receive for our product candidates may be subject to limitations on the approved indicated uses for which the product may be marketed or to the conditions of approval or may contain requirements for potentially costly additional clinical trials and surveillance to monitor the safety and efficacy of the product candidate. We will be required to report certain adverse events and production problems, if any, to the FDA and comparable foreign regulatory authorities. Any new legislation addressing drug safety issues could result in delays in product development or commercialization or increased costs to ensure compliance. We will have to comply with requirements concerning advertising and promotion for our product. Promotional communications with respect to prescription drugs are subject to a variety of legal and regulatory restrictions and must be consistent with the information in the product’s approved label. As such, we may not promote our product for indications or uses for which it does not have approval. If our product candidates are approved, we must submit new or supplemental applications and obtain approval for certain changes to the approved products, product labeling or manufacturing process. We or our collaboration partners could also be asked to conduct post-marketing clinical studies to verify the safety and efficacy of any product in general or in specific patient subsets.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possibilities:</w:t>
      </w:r>
    </w:p>
    <w:tbl>
      <w:tblPr>
        <w:tblW w:w="2436" w:type="dxa"/>
        <w:jc w:val="left"/>
        <w:tblInd w:w="0" w:type="dxa"/>
        <w:tblLayout w:type="fixed"/>
        <w:tblCellMar>
          <w:top w:w="28" w:type="dxa"/>
          <w:left w:w="28" w:type="dxa"/>
          <w:bottom w:w="28" w:type="dxa"/>
          <w:right w:w="28" w:type="dxa"/>
        </w:tblCellMar>
      </w:tblPr>
      <w:tblGrid>
        <w:gridCol w:w="124"/>
        <w:gridCol w:w="256"/>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issue warning letters; </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impose civil or criminal penalties; </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suspend or withdraw regulatory approval; </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suspend any of our ongoing clinical studies;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refuse to approve pending applications or supplements to approved applications submitted by us; </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impose restrictions on our operations, including closing our contract manufacturers’ facilities; or </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seize or detain products or require a product recall.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If regulatory sanctions are applied or if regulatory approval is withdrawn, the value of our company and our operating results will be adversely affected.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the marketing approval that we have obtained and we may not sustain profitability, which would adversely affect our business, prospects, financial condition and results of operations.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also cannot predict the likelihood, nature or extent of government regulation that may arise from future legislation or administrative or executive action, either in the United States, China or other foreign countries.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Disruptions at the FDA and other government agencies caused by funding shortages, staffing limitations, government shut-downs or global health concerns could hinder their ability to hire, retain or deploy key leadership and other personnel, and conduct inspections of manufacturing facilities, or otherwise prevent new or modified products from being developed, or approved or commercialized in a timely manner or at all, which could negatively impact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a prolonged government shutdown occurs, or if funding shortages, staffing limitations or policy changes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spacing w:before="0" w:after="240"/>
        <w:ind w:left="0" w:right="0" w:hanging="0"/>
        <w:jc w:val="left"/>
        <w:rPr>
          <w:rFonts w:ascii="Helvetica;sans-serif" w:hAnsi="Helvetica;sans-serif"/>
          <w:b w:val="false"/>
          <w:sz w:val="20"/>
        </w:rPr>
      </w:pPr>
      <w:r>
        <w:rPr>
          <w:rFonts w:ascii="Helvetica;sans-serif" w:hAnsi="Helvetica;sans-serif"/>
          <w:b w:val="false"/>
          <w:sz w:val="20"/>
        </w:rPr>
        <w:t>Risks Related to Competitive Activity</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Our product LOQTORZI faces, and our product candidates tagmokitug and casdozokitug, if approved, will face, significant competition from other immuno-oncology biologics. If we fail to compete effectively, we may not achieve significant market penetration and expansion.</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operate in highly competitive pharmaceutical markets. Successful competitors in the pharmaceutical market have demonstrated the ability to effectively discover molecules, obtain patents, develop, test and obtain regulatory approvals for products, as well as an ability to effectively commercialize, market and promote approved products. Numerous companies, universities and other research institutions are engaged in developing, patenting, manufacturing and marketing of products competitive with those that we are developing. Many of these potential competitors are large, experienced multinational pharmaceutical and biotechnology companies that enjoy significant competitive advantages, such as substantially greater financial, research and development, legal, governmental affairs, manufacturing, personnel, and marketing resources, with additional benefits of mergers and acquisitions.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LOQTORZI entered a competitive market in the United States where a number of anti-PD-1 or PD-L1 antibody drugs have been approved by the FDA, including the following marketed products from several competitors: Keytruda® (pembrolizumab) from Merck &amp; Company, Inc., Opdivo® (nivolumab) from Bristol-Myers Squibb Company (“BMS”), Tecentriq® (atezolizumab) from Genentech, Inc. (“Genentech”), Imfinzi® (durvalumab) from AstraZeneca plc (“AstraZeneca”), Bavencio® (avelumab) from EMD Serono Inc. and Pfizer Inc. (“Pfizer”), Libtayo® (cemiplimab-rwlc) from Regeneron Pharmaceuticals, Inc. (“Regeneron”), Jemperli (dostarlimab-gxly) from GlaxoSmithKline plc (“GlaxoSmithKline”) and TEVIMBRA® (tislelizumab-jsgr) from BeiGene, Ltd. Penpulimab-kcqx from Akeso Biopharma Co., Ltd. received approval from the FDA in April 2025 for the treatment of NPC. In addition to LOQTORZI, multiple other competitors are seeking to develop and approve novel anti-PD-1 or PD-L1 antibody drugs in the United States in the coming years, including but not limited to camrelizumab from Elevar Therapeutics, Inc. (in collaboration with Jiangsu Hengrui Pharmaceuticals Co., Ltd.). LOQTORZI also faces competition in NPC from chemotherapy regimens.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Casdozokitug is in development and, although it is the only antagonist antibody in development known to us that is targeting the immune regulatory cytokine IL-27, if approved it faces competition from other immuno-oncology products that are currently approved and that may be approved in the future.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Tagmokitug is in development and, if approved, faces competition from programs in development specifically targeting CCR8, including those by Bristol-Myers Squibb Company, Gilead Sciences, Inc. / Jounce, Shionogi, AbbVie Inc., Bayer AG, F. Hoffmann-La Roche Ltd, Amgen Inc. (“Amgen”), Sino Biopharmaceutical and Nanjing Immunophage Biotech Co., Ltd. in addition to competition from other immuno-oncology products that are currently approved and that may be approved in the future.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These companies may also have greater brand recognition and more experience in conducting preclinical testing and clinical trials of product candidates, obtaining FDA and other regulatory approvals of products and marketing and commercializing products once approved.</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face intense competition and rapid technological change and the possibility that our competitors may develop therapies that are similar, more advanced, less costly, easier to administer or more effective than ours, which may adversely affect our financial condition and our ability to successfully commercialize our product candidates.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Many of our competitors have substantially greater financial, technical and other resources, including larger research and development, marketing and manufacturing organizations. Additionally, mergers and acquisitions in the pharmaceutical industry may result in even more resources being concentrated in our competitors. As a result, these companies may obtain regulatory approval more rapidly than we are able to and may be more effective in selling and marketing their products. Smaller or early-stage companies may also prove to be significant competitors, particularly through collaborative arrangements with large, established companies. Our competitors may succeed in developing, acquiring or licensing on an exclusive basis, products that are more effective or less costly than any product candidate that we may develop; they may also obtain patent protection that could block our product; and they may obtain regulatory approval, product commercialization and market penetration earlier than we do. Our competitors may have products that are easier to administer than our product, which could adversely affect our results. Biosimilar or immuno-oncology product candidates developed by our competitors may render our potential product candidates uneconomical, less desirable or obsolete, and we may not be successful in marketing our product candidates against competitors.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b/>
          <w:i/>
          <w:sz w:val="20"/>
        </w:rPr>
        <w:t xml:space="preserve">If other competitors to toripalimab (in indications besides those approved for LOQTORZI), casdozokitug and </w:t>
      </w:r>
      <w:r>
        <w:rPr>
          <w:rFonts w:ascii="Helvetica;sans-serif" w:hAnsi="Helvetica;sans-serif"/>
          <w:b/>
          <w:sz w:val="20"/>
          <w:shd w:fill="FFFFFF" w:val="clear"/>
        </w:rPr>
        <w:t>t</w:t>
      </w:r>
      <w:r>
        <w:rPr>
          <w:rFonts w:ascii="Helvetica;sans-serif" w:hAnsi="Helvetica;sans-serif"/>
          <w:b/>
          <w:sz w:val="20"/>
        </w:rPr>
        <w:t>agmokitug</w:t>
      </w:r>
      <w:r>
        <w:rPr>
          <w:rFonts w:ascii="Helvetica;sans-serif" w:hAnsi="Helvetica;sans-serif"/>
          <w:sz w:val="20"/>
        </w:rPr>
        <w:t xml:space="preserve"> </w:t>
      </w:r>
      <w:r>
        <w:rPr>
          <w:rFonts w:ascii="Helvetica;sans-serif" w:hAnsi="Helvetica;sans-serif"/>
          <w:b/>
          <w:i/>
          <w:sz w:val="20"/>
        </w:rPr>
        <w:t xml:space="preserve">are approved and successfully commercialized before toripalimab (in indications besides those approved for LOQTORZI), casdozokitug and </w:t>
      </w:r>
      <w:r>
        <w:rPr>
          <w:rFonts w:ascii="Helvetica;sans-serif" w:hAnsi="Helvetica;sans-serif"/>
          <w:b/>
          <w:sz w:val="20"/>
          <w:shd w:fill="FFFFFF" w:val="clear"/>
        </w:rPr>
        <w:t>t</w:t>
      </w:r>
      <w:r>
        <w:rPr>
          <w:rFonts w:ascii="Helvetica;sans-serif" w:hAnsi="Helvetica;sans-serif"/>
          <w:b/>
          <w:sz w:val="20"/>
        </w:rPr>
        <w:t>agmokitug</w:t>
      </w:r>
      <w:r>
        <w:rPr>
          <w:rFonts w:ascii="Helvetica;sans-serif" w:hAnsi="Helvetica;sans-serif"/>
          <w:b/>
          <w:i/>
          <w:sz w:val="20"/>
        </w:rPr>
        <w:t xml:space="preserve">, our business would suffer.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There are a number of companies that currently commercialize PD-1/PD-L1 blocking antibodies or are developing such compounds for commercialization in the United States. If other competitors to toripalimab (in indications besides those approved for LOQTORZI), casdozokitug and </w:t>
      </w:r>
      <w:r>
        <w:rPr>
          <w:rFonts w:ascii="Helvetica;sans-serif" w:hAnsi="Helvetica;sans-serif"/>
          <w:sz w:val="20"/>
          <w:shd w:fill="FFFFFF" w:val="clear"/>
        </w:rPr>
        <w:t>t</w:t>
      </w:r>
      <w:r>
        <w:rPr>
          <w:rFonts w:ascii="Helvetica;sans-serif" w:hAnsi="Helvetica;sans-serif"/>
          <w:sz w:val="20"/>
        </w:rPr>
        <w:t xml:space="preserve">agmokitug are successfully commercialized before toripalimab (in indications besides those approved for LOQTORZI), casdozokitug and </w:t>
      </w:r>
      <w:r>
        <w:rPr>
          <w:rFonts w:ascii="Helvetica;sans-serif" w:hAnsi="Helvetica;sans-serif"/>
          <w:sz w:val="20"/>
          <w:shd w:fill="FFFFFF" w:val="clear"/>
        </w:rPr>
        <w:t>t</w:t>
      </w:r>
      <w:r>
        <w:rPr>
          <w:rFonts w:ascii="Helvetica;sans-serif" w:hAnsi="Helvetica;sans-serif"/>
          <w:sz w:val="20"/>
        </w:rPr>
        <w:t xml:space="preserve">agmokitug, we may never achieve meaningful market share for these products, our revenue would be reduced and, as a result, our business, prospects and financial condition could suffer.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Any product candidates for which we intend to seek approval as original biologic products may face competition sooner than anticipated.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Our development of novel biologic product candidates, such as casdozokitug and </w:t>
      </w:r>
      <w:r>
        <w:rPr>
          <w:rFonts w:ascii="Helvetica;sans-serif" w:hAnsi="Helvetica;sans-serif"/>
          <w:sz w:val="20"/>
          <w:shd w:fill="FFFFFF" w:val="clear"/>
        </w:rPr>
        <w:t>t</w:t>
      </w:r>
      <w:r>
        <w:rPr>
          <w:rFonts w:ascii="Helvetica;sans-serif" w:hAnsi="Helvetica;sans-serif"/>
          <w:sz w:val="20"/>
        </w:rPr>
        <w:t>agmokitug, subjects us to additional risks relating to biosimilar competition. In particular, under the Biologics Price Competition and Innovation Act of 2009,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believe that LOQTORZI does, and any of our product candidates approved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Risks Related to Our Ability to Hire and Retain Highly Qualified Personnel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are highly dependent on the services of our key executives and personnel, including our President and Chief Executive Officer, Dennis M. Lanfear, and if we are not able to retain these members of our management or recruit additional management, product development and scientific personnel, our business will suffer.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are highly dependent on the principal members of our management and scientific and technical staff. The loss of service of any of our management or key scientific and technical staff could harm our business. In addition, we are dependent on our continued ability to attract, retain and motivate highly qualified additional management, product development and scientific personnel. If we are not able to retain our management, particularly our President and Chief Executive Officer, Mr. Lanfear, and to attract, on acceptable terms, additional qualified personnel necessary for the continued development of our business, we may not be able to sustain our operations or grow.</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and product candidates, harming future regulatory approvals, sales of our product and product candidates and our results of operations. Additionally, we do not currently maintain “key person” life insurance on the lives of our executives or any of our employees.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will need to expand and effectively manage our managerial, scientific, operational, financial, commercial and other resources in order to successfully pursue our product development and commercialization efforts. Our success also depends on our continued ability to attract, retain and motivate highly qualified management and technical personnel. We may not be able to attract or retain qualified management and scientific and product development personnel in the future due to the intense competition for qualified personnel among biotechnology, pharmaceutical and other businesses, particularly those located in the San Francisco Bay Area. We also use equity compensation as a part of a comprehensive compensation package for our personnel. The majority of our outstanding options have exercise prices that are above our current stock price. See the tables in Note 12. Stock-Based Compensation and Employee Benefits in the footnotes to our financial statements included in our Annual Report for the Fiscal Year ended December 31, 2025, describing our outstanding stock options as of December 31, 2025.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may experience difficulties in managing changes in our number of employees, particularly due to employees departing due to divestitures, reductions in force and turnover, which could disrupt our operations.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As of June 30, 2026, we had 144 full-time and part-time employees. As our development and commercialization plans and strategies develop and evolve from time to time we may face difficulty managing these changes as we experience changes in our number of employees, including due to divestitures, like the employee transfers to Accord in the UDENYCA Sale effective on the UDENYCA Closing Date, reductions in force and turnover. We may not be able to effectively manage during a period of significant change in our number of employees, which may result in weaknesses in our infrastructure, operational mistakes, loss of business opportunities and reduced productivity and morale among remaining employees. If our management is unable to effectively manage the changes in our number of employees, our expenses may increase more than expected and our ability to generate or grow revenue could be reduced. Our future financial performance and our ability to commercialize product candidates and compete effectively will depend, in part, on our ability to effectively manage changes in our number of employees.</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Risks Related to Reliance on Third Parties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rely on third parties, and in some cases a single third party, to manufacture nonclinical, clinical and commercial drug supplies of our product and product candidates and to store critical components of our product and product candidates for us. Our business could be harmed if those third parties fail to provide us with sufficient quantities of our product and product candidates or fail to do so at acceptable quality levels or prices.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do not currently have the infrastructure or capability internally to manufacture supplies of our product and product candidates for use in our nonclinical and clinical studies, and we lack the resources and the capability to manufacture any of our product and product candidates on a clinical or commercial scale. We rely on third-party manufacturers to manufacture and supply us with our product and product candidates for our preclinical and clinical studies as well as to maintain commercial supplies of our product. Successfully transferring complicated manufacturing techniques to contract manufacturing organizations and scaling up these techniques for commercial quantities is time consuming and we may not be able to achieve such transfer or do so in a timely manner. Moreover, the availability of contract manufacturing services for protein-based therapeutics is highly variable and there are periods of relatively abundant capacity alternating with periods in which there is little available capacity. If our need for contract manufacturing services increases during a period of industry-wide production capacity shortage, we may not be able to produce our product candidates on a timely basis or on commercially viable terms. Although we will plan accordingly and generally do not begin a clinical study unless we believe we have a sufficient supply of a product candidate to complete such study, any significant delay or discontinuation in the supply of a product candidate for an ongoing clinical study due to the need to replace a third-party manufacturer could considerably delay completion of our clinical studies, product testing and potential regulatory approval of our product candidates, which could harm our business and results of operations.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Reliance on third-party manufacturers entails additional risks, including reliance on the third party for regulatory compliance and quality assurance, the possible breach of the manufacturing agreement by the third party and the possible termination or nonrenewal of the agreement by the third party at a time that is costly or inconvenient for us. In addition, third-party manufacturers may not be able to comply with cGMP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our product, operating restrictions and criminal prosecutions, any of which could significantly and adversely affect supplies of our product or any other product candidates or products that we may develop. Any failure or refusal to supply the components for product candidates that we may develop could delay, prevent or impair our clinical development or commercialization efforts. If our contract manufacturers were to breach or terminate their manufacturing arrangements with us, the development or commercialization of the affected product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any of our product candidates are approved, in order to produce the quantities necessary to meet anticipated market demand, any contract manufacturer that we engage may need to increase manufacturing capacity. If we are unable to build and stock our product candidates in sufficient quantities to meet the requirements for the launch of these candidates or to meet future demand, our revenue and gross margins could be adversely affected. We cannot be certain that we will be able to obtain long-term supply arrangements for our product candidates or materials used to produce them on acceptable terms, if at all. If we are unable to arrange for third-party manufacturing, or to do so on commercially reasonable terms, we may not be able to complete development of our product candidates or market them.</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have relied upon and plan to continue to rely upon third-party contract research organizations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GCP, and Good Laboratory Practices, which are regulations and guidelines enforced by the FDA, the Competent Authorities of the Member States of the European Economic Area (the “EEA”) and comparable foreign regulatory authorities for all of our product candidates in clinical development. Regulatory authorities enforce these regulations through periodic inspections or remote regulatory assessments (“RRAs”) of study sponsors, principal investigators, study sites and other contractors. If we, any of our CROs, service providers or investigators fail to comply with applicable regulations or GCPs, the data generated in our nonclinical and clinical studies may be deemed unreliable and the FDA, EMA or comparable foreign regulatory authorities may require us to perform additional nonclinical and clinical studies before approving our marketing applications. There can be no assurance that upon inspection or conclusion of an RRA by a given regulatory authority, such regulatory authority will determine that any of our clinical studies comply with GCP regulations. In addition, our clinical studies must be conducted with product generated under cGMP regulations. Failure to comply by any of the participating parties or ourselves with these regulations may require us to repeat clinical studies, which would delay the regulatory approval process. Moreover, our business may be implicated if our CROs or any other participating parties violate federal or state fraud and abuse or false claims laws and regulations or healthcare or data privacy and security laws.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If any of our relationships with these third-party CROs terminate, we may not be able to enter into arrangements with alternative CROs or do so on commercially reasonable terms. In addition, our CROs are not our employees, and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49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Switching or adding additional CROs involves additional cost and requires management time and focus. In addition, a transition period is necessary when a new CRO commences work, which can materially impact our ability to meet our desired clinical development timelines. Though we strive to carefully manage our relationships with our CROs, there can be no assurance that we will not encounter similar challenges or delays in the future or that these delays or challenges will not have a material adverse impact on our business, prospects and financial condition.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are dependent on Junshi Biosciences for the commercialization of our product and the failure to commercialize could have a material adverse effect on our business and operating results.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have an exclusive license from Junshi Biosciences to develop and commercialize LOQTORZI in the United States and Canada. Junshi Biosciences is responsible for supplying us with drug substance and final drug products.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Our license with Junshi Biosciences or other future license or collaboration agreements, may not result in positive outcomes. Factors that may affect the success of our licenses and collaborations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existing and potential collaboration partners may fail to provide sufficient amounts of commercial product, including because of import restrictions, or they may be ineffective in doing 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existing and potential collaboration partners may fail regulatory inspections or RRAs which may preclude or delay the delivery of commercial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existing and potential licensees and collaboration partners may incur financial, legal or other difficulties that force them to limit or reduce their participation in our joint projects;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existing and potential licensees and collaboration partners may terminate their licenses or collaborations with us, which could make it difficult for us to attract new partners or adversely affect perception of us in the business and financial communities;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our existing and potential licensees and collaboration partners may choose to pursue alternative, higher priority programs, which could affect their commitment to us.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Moreover, any disputes with our existing and future licensees and collaboration partners could substantially divert the attention of our senior management from other business activities and may require us to incur substantial costs associated with litigation or arbitration proceedings. If we cannot maintain successful license and collaboration arrangements, our business, financial condition and operating results may be adversely affected.</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Risks Related to Our Future Operations Following the UDENYCA Sale</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There is no guarantee that we will receive either of the Earnout Payments under the UDENYCA Purchase Agreement.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A portion of the aggregate consideration potentially payable to us under the UDENYCA Purchase Agreement is in the form of two “Earnout Payments” of $37.5 million each. The first such payment is payable by Intas to us if Net Sales of UDENYCA for four consecutive fiscal quarters from July 1, 2025 through September 30, 2026 are equal to or greater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than $300 million, and the second such payment is payable by Intas to the Company if Net Sales of UDENYCA for four consecutive fiscal quarters from July 1, 2025 through March 31, 2027 are equal to or greater than $350 million. However, there is no guarantee that we will receive either of the Earnout Payments, and we may not receive more than the consideration that we received at closing of the UDENYCA Sale for selling the UDENYCA Business. If we do not receive the Earnout Payments the total consideration paid to us for the sale of UDENYCA will be significantly lower, which could be harmful to our future financial position.</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There are risks and uncertainties associated with the UDENYCA TSA, one or more of which could have a material adverse effect on our business, financial condition, results of operations, cash flows or stock price.</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In connection with the UDENYCA Sale, we entered into the UDENYCA TSA pursuant to which we are required to provide certain business support services to Intas for a defined transition period of time. There are a number of risks and uncertainties associated with the UDENYCA TSA, which could have a material adverse effect on our business, financial condition, results of operations, cash flows or stock price, including,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need to expend our management and employee time and attention on the UDENYCA TSA that could be spent on other areas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need to provide significant support services under the UDENYCA TSA on behalf of Intas, such as logistics, payments, accounting, finance, commercial, regulatory and manufacturing support;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exposure to the financial status of Intas for any payments due to us under the UDENYCA TSA, which may be significant; and</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potential unanticipated costs to us under the UDENYCA TSA.</w:t>
            </w:r>
          </w:p>
        </w:tc>
      </w:tr>
    </w:tbl>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Risks Related to Manufacturing and Supply Chain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are subject to a multitude of manufacturing risks and the risks of inaccurately forecasting sales of our product. Any adverse developments affecting the manufacturing operations of our product and product candidates, including the risks associated with transitioning our biomanufacturing processes from an offshoring business model to an onshoring business model, could substantially increase our costs and limit supply for our product and product candidates. </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The process of manufacturing our product and product candidates is complex, highly regulated and subject to several risks, including but not limited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product loss due to contamination, equipment failure or improper installation or operation of equipment or vendor or operator error;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equipment failures, labor shortages, natural disasters, power failures and numerous other factors associated with the manufacturing facilities in which our product candidates are produced, and potentially exacerbated by climate change;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disruption of supply chains for critical and specialized raw materials, delays in regulatory inspections of manufacturing and testing facilities, and reduced manufacturing capacities created by global events such as the ongoing conflicts in Ukraine and the Middle East.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have experienced reduced production yields, product defects and other supply disruptions. For example, we have experienced failures with respect to the manufacturing of certain lots of each of our product and product candidates resulting in delays prior to our taking corrective action. Additionally, if microbial, viral or other contaminations are discovered in our product or product candidates or in the manufacturing facilities in which our product or product candidates are made, such manufacturing facilities may need to be closed for an extended period of time to investigate and remedy the contamination.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are executing a coordinated initiative to onshore the biomanufacturing process for LOQTORZI, casdozokitug and tagmokitug to the United States. We may not be able to achieve regulatory approval for the initiative or the full strategic benefits expected to result from the onshoring initiative, or such benefits may be delayed or not occur at all. If we do not realize some or all of the benefits expected to result from the onshoring initiative, or if such benefits are delayed, our business and expected future financial and operating results could be adversely affected.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Any adverse developments affecting manufacturing operations for our product and product candidates, including due to sudden or long-term changes in weather patterns or conflicts in particular geographic areas, may result in shipment delays, inventory shortages, lot failures, withdrawals or recalls or other interruptions in the supply of our product and product candidates. We also need to make a determination of excess or obsolete inventory that requires judgment and includes consideration of many factors, such as estimates of future product demand, current and future market conditions, product expiration information and potential product obsolescence, among others. Although we believe that the assumptions we use in estimating potential inventory write-downs are reasonable, if actual market conditions are less favorable than projected by us, write-downs of inventory, charges related to firm purchase commitments, or both may be required which would be recorded as cost of goods sold in our condensed consolidated statements of operations. Adverse developments affecting our assumptions of the level and timing of demand for our product include those that are outside of our control such as the actions taken by competitors and customers and other factors.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may have to take inventory write-downs and incur other charges and expenses, such as charges related to firm purchase commitments, for any product that is manufactured in reliance on a forecast that proves to be inaccurate because we do not sell as many units as forecasted. Although we believe that the assumptions that we use in estimating inventory write-downs are reasonable, additional write-downs of inventory may be required in the future if actual market conditions are less favorable than our projections, which could materially and adversely impact our financial results. In addition to such write-downs, we may also have to incur charges and expenses related to firm purchase commitments or for product candidates that fail to meet specifications, undertake costly remediation efforts or seek costlier manufacturing alternatives.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currently engage single suppliers for manufacture, clinical trial services, formulation development and product testing of our product and product candidates. The loss of any of these suppliers or vendors could materially and adversely affect our business.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For our product and our product candidates, we currently engage a distinct vendor or service provider for each of the principal activities supporting our manufacture and development of this product, such as manufacture of the biological substance present in the product, manufacture of the final filled and finished presentation of this product, as well as laboratory testing, formulation development and clinical testing of this product. Because we currently have engaged a limited number of back-up suppliers or vendors for these single-sourced services, and although we believe that there are alternate sources that could fulfill these activities, we cannot make any assurances that identifying and establishing relationships with alternate suppliers and vendors would not result in significant delay in the development of our product candidates. Additional delays or cost increases could occur due to the direct or indirect effects of the ongoing conflict in Ukraine. Additionally, we may not be able to enter into arrangements with alternative service providers on commercially reasonable terms or at all. A delay in the development of our product and product candidates, or having to enter into a new agreement with a different third party on less favorable terms than we have with our current suppliers, could have a material adverse impact on our business.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and our collaboration partners and contract manufacturers are subject to significant regulation with respect to manufacturing our product candidates. The manufacturing facilities on which we rely may not continue to meet regulatory requirements or may not be able to meet supply demands. </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All entities involved in the preparation of therapeutics for clinical studies or commercial sale, including our existing contract manufacturers for our product candidates, are subject to extensive regulation. Components of a finished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 BLA, NDA or MAA on a timely basis and must adhere to cGMP regulations enforced by the FDA and other regulatory agencies through their facilities inspection program. Some of our contract manufacturers may have never produced a commercially approved pharmaceutical product and therefore have not obtained the requisite regulatory authority approvals to do so. The facilities and quality systems of some or all of our collaboration partners and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successfully complete a pre-approval plant inspection, regulatory approval of the products may not be granted or may be substantially delayed until any violations are corrected to the satisfaction of the regulatory authority, if ever.</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regulatory authorities also may, at any time following approval of a product for sale, inspect, audit or initiate an RRA of the manufacturing facilities of our collaboration partners and third-party contractors. If any such inspection, audit or RRA identifies a failure to comply with applicable regulations or if a violation of our product specifications or applicable regulations occurs independent of such an inspection, audit or RRA, we or the relevant regulatory authority may require remedial measures that may be costly 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product candidate, withdrawal of an approval or suspension of production. As a result, our business, financial condition and results of operations may be materially harmed.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Additionally, if a manufacturer cannot meet the supply demand, supply from an alternative manufacturer would require the submission of a BLA/NDA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These factors could cause us to incur additional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 </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Risks Related to Adverse Events </w:t>
      </w:r>
    </w:p>
    <w:p>
      <w:pPr>
        <w:pStyle w:val="TextBody"/>
        <w:bidi w:val="0"/>
        <w:spacing w:before="0" w:after="240"/>
        <w:ind w:left="0" w:right="0" w:firstLine="490"/>
        <w:jc w:val="both"/>
        <w:rPr>
          <w:rFonts w:ascii="Helvetica;sans-serif" w:hAnsi="Helvetica;sans-serif"/>
          <w:b/>
          <w:i/>
          <w:sz w:val="20"/>
        </w:rPr>
      </w:pPr>
      <w:r>
        <w:rPr>
          <w:rFonts w:ascii="Helvetica;sans-serif" w:hAnsi="Helvetica;sans-serif"/>
          <w:b/>
          <w:i/>
          <w:sz w:val="20"/>
        </w:rPr>
        <w:t>Our product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As with most pharmaceutical products, use of our product or our product candidates could be associated with side effects or adverse events, which can vary in severity (from minor reactions to death) and frequency (infrequent or prevalent). Side effects or adverse events associated with the use of our product candidates may be observed at any time, including in clinical trials or when a product is commercialized. Undesirable side effects caused by our product candidates could cause us or regulatory authorities to interrupt, delay or halt clinical studies and could result in a more restrictive label or the delay or denial of regulatory approval by the FDA or other comparable foreign authorities. Results of our studies could reveal a high and unacceptable severity and prevalence of side effects such as toxicity or other safety issues and could require us or our collaboration partners to perform additional studies or halt development or sale of these product candidates or expose us to product liability lawsuits, which will harm our business. In such an event, we may be required by regulatory agencies to conduct additional animal or human studies regarding the safety and efficacy of our product candidates, which we have not planned or anticipated or our studies could be suspended or terminated, and the FDA or comparable foreign regulatory authorities could order us to cease further development of or deny or withdraw approval of our product candidates for any or all targeted indications. There can be no assurance that we will resolve any issues related to any product-related adverse events to the satisfaction of the FDA or any other regulatory agency in a timely manner, if ever, which could harm our business, prospects and financial condition.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Additionally, product quality characteristics have been shown to be sensitive to changes in process conditions, manufacturing techniques, equipment or sites and other such related considerations, hence any manufacturing process changes we implement prior to or after regulatory approval could impact product safety and efficacy.</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Drug-related side effects could affect patient recruitment for clinical trials, the ability of enrolled patients to complete our studies or result in potential product liability claims. We currently carry product liability insurance and we are required to maintain product liability insurance pursuant to certain of our license agreements. We cannot assure that our product liability coverage will cover in full claims to which we are exposed. We may not be able to maintain insurance coverage at a reasonable cost or in sufficient amounts to protect us against losses due to liability. A successful product liability claim or series of claims brought against us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Additionally, for our product and for any of our product candidates that may receive marketing approval, if we or others later identify undesirable side effects caused by the product, a number of potentially significant negative consequences could result, including but not limited to: </w:t>
      </w:r>
    </w:p>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regulatory authorities may withdraw approvals of such product; </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regulatory authorities may require additional warnings on the label;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may be required to create a risk evaluation and mitigation strategy plan, which could include a medication guide outlining the risks of such side effects for distribution to patients, a communication plan for healthcare providers and/or other elements to assure safe use; </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could be sued and held liable for harm caused to patients; and </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our reputation may suffer.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Any of these events could prevent us from achieving or maintaining market acceptance of the particular product or product candidate, if approved, and could significantly harm our business, results of operations and prospects. </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For our product and if we receive approval for our product candidates, regulatory agencies, including the FDA and foreign regulatory agencies, require that we report certain information about adverse medical events if any product may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 xml:space="preserve">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 If we fail to comply with our reporting obligations, the FDA or foreign regulatory agencies could take action including criminal prosecution, the imposition of civil monetary penalties, seizure of our product or extended delay in approval or clearance of future products.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Adverse events involving another anti-PD-1 or PD-L1 antibody product may negatively affect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In the event that use of another anti-PD-1 or PD-L1 antibody product results in unanticipated side effects or other adverse events, it is likely that our product will be viewed comparably and may become subject to the same scrutiny and regulatory sanctions as the other anti-PD-1 or PD-L1 antibody product, as applicable. Accordingly, we may become subject to regulatory supervisions, clinical holds, product recalls or other regulatory actions for matters outside of our control that affect the other anti-PD-1 or PD-L1 antibody product, as applicable, if and until we are able to demonstrate to the satisfaction of our regulators that our product is not subject to the same issues leading to the regulatory action as the other anti-PD-1 or PD-L1 antibody product, as applicable. </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 xml:space="preserve">Risks Related to Intellectual Property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If we infringe or are alleged to infringe intellectual property rights of third parties, our business could be harmed. Third-party claims of intellectual property infringement may prevent or delay our development and commercialization efforts.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Our commercial success depends in large part on avoiding infringement of the patents and proprietary rights of third parties. There have been many lawsuits and other proceedings involving patent and other intellectual property rights in the pharmaceutical industry, including patent infringement lawsuits, interferences, oppositions and reexamination proceedings before the USPTO and corresponding foreign patent offices. Numerous United States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Our research, development and commercialization activities may infringe or otherwise violate or be claimed to infringe or otherwise violate patents owned or controlled by other parties. Competitors have developed, and are continuing to develop, worldwide patent portfolios of varying sizes and breadth, many of which are in fields relating to our business, and it may not always be clear to industry participants, including us, which patents cover various types of products or methods of use.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Third parties may assert that we are employing their proprietary technology without authorization. We are aware of third-party patents or patent applications with claims, for example, to compositions, formulations, methods of manufacture or methods for treatment related to the use or manufacture of our product candidates. While we have conducted freedom to operate analyses with respect to our product and our product candidates we cannot guarantee that any of our analyses are complete and thorough, nor can we be sure that we have identified each patent and pending application in the United States and abroad that is relevant or necessary to the commercialization of our product candidates. Moreover, because patent applications can take many years to issue, there may be currently pending patent applications that may later result in issued patents covering our product candidates. With respect to products we are evaluating for inclusion in our future product pipeline, our freedom to operate analyses, including our research on the timing of potentially relevant patent expirations, are ongoing.</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There may also be patent applications that have been filed but not published and if such applications issue as patents, they could be asserted against us. For example, in most cases, a patent filed today would not become known to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industry participants for at least 18 months given patent rules applicable in most jurisdictions, which do not require publication of patent applications until 18 months after filing. Moreover, some United States patents may issue without any prior publication in cases where the patent applicant does not also make a foreign filing. We may also face claims from non-practicing entities that have no relevant product revenue and against whom our own patent portfolio may have no deterrent effect. In addition,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or unenforceable, and we may not be able to do this. Proving that a patent is invalid or unenforceable is difficult. For example, in the United States, proving invalidity requires a showing of clear and convincing evidence to overcome the presumption of validity enjoyed by issued patents. Also, in proceedings before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Third parties could bring claims against us that would cause us to incur substantial expenses and, if successful against us, could cause us to pay substantial monetary damages. Further, if a patent infringement suit were brought against us, we could be forced to stop or delay research, development, manufacturing or sales of the product or product candidate that is the subject of the suit. Ultimately, we could be prevented from commercializing a product or be forced to cease some aspect of our business operations, if, as a result of actual or threatened patent infringement claims, we are unable to enter into licenses on commercially acceptable terms or at all. If, as a result of patent infringement claims or to avoid potential claims, we choose or are required to seek licenses from third parties, these licenses may not be available on acceptable terms or at all. Even if we are able to obtain a license, the license may obligate us to pay substantial license fees or royalties or both, and the rights granted to us might be nonexclusive, which could result in our competitors gaining access to the same intellectual property. Parties making claims against us may obtain injunctive or other equitable relief, which could effectively block our ability to further develop and commercialize one or more of our product candidates. Defense of these claims, regardless of their merit, would likely involve substantial litigation expense and would likely be a substantial diversion of employee resources from our business. In the event of a successful claim of infringement against us, we may, in addition to being blocked from the market, have to pay substantial monetary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to infringement claims against us, we may become a party to other patent litigation and other proceedings, including interference, IPR, derivation or post-grant proceedings declared or granted by the USPTO and similar proceedings in foreign countries, regarding intellectual property rights with respect to our current or future products. An unfavorable outcome in any such proceeding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Third parties may submit applications for patent term extensions in the United States or other jurisdictions where similar extensions are available or Supplementary Protection Certificates in the E.U. states and Switzerland seeking to extend certain patent protection, which, if approved, may interfere with or delay the launch of one or more of our product or product candidates.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cost to us of any patent litigation or other proceeding, even if resolved in our favor, could be substantial. Patent litigation and other proceedings may fail, and even if successful, may result in substantial costs and distract our management and other employees. Competitors may be able to sustain the costs of such litigation or proceedings more effectively than we can because of their substantially greater financial resources. Uncertainties resulting from the initiation and continuation of patent litigation or other proceedings could impair our ability to compete in the marketplace.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do not know whether any of our pending patent applications will result in the issuance of any patents or whether the rights granted under any patents issuing from these applications will prevent any of our competitors from marketing similar products that may be competitive with our own. Moreover, even if we do obtain issued patents, they will not guarantee us the right to use our patented technology for commercialization of our product candidates. Third parties may have blocking patents that could prevent us from commercializing our own products, even if our products use or embody our own, patented inventions.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validity and enforceability of patents are generally uncertain and involve complex legal and factual questions. Any patents that may be issued on our pending applications may be challenged, invalidated or circumvented, which could limit our ability to stop competitors from marketing products similar to ours. Furthermore, our competitors may develop similar or alternative technologies not covered by any patents that may issue to us.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For technologies for which we do not seek patent protection, we may rely on trade secrets to protect our proprietary position. However, trade secrets are difficult to protect. We seek to protect our technology and product candidates, in part, by entering into confidentiality agreements with those who have access to our confidential information, including our employees, consultants, advisors, contractors or collaborators.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advisors, contractors and collaborators use intellectual property owned by others in their work for us, disputes may arise as to the rights in related or resulting know-how and inventions.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may be involved in lawsuits or IPR proceedings to protect or enforce our patents, which could be expensive, time consuming and unsuccessful.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may discover that competitors are infringing our issued patents. Expensive and time-consuming litigation may be required to abate such infringement. We may not prevail in any lawsuits that we initiate and the damages or other remedies awarded, if any, may not be commercially meaningful. If we or one of our collaboration partners were to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but not limited to lack of novelty, obviousness or non-enablement. Grounds for an unenforceability assertion could include an allegation that someone involved in the prosecution of the patent withheld relevant or material information related to the patentability of the invention from the USPTO or made a misleading statement during prosecution. The outcome following legal assertions of invalidity and unenforceability is unpredictable.</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we cannot obtain a license from the prevailing party on commercially reasonable terms. Third parties may request an IPR of our patents in the USPTO. An unfavorable decision may result in the revocation of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our patent or a limitation to the scope of the claims of our patents. Our defense of litigation, interference or IPR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Furthermore, because of the substantial amount of discovery required in connection with intellectual property litigation, there is a risk that some of our confidential information could be compromised by disclosure during any litigation we initiate to enforce our patents.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employ individuals, retain independent contractors and consultants and members on our board of directors or scientific advisory board who were previously employed at universities or other pharmaceutical companies, including our competitors or potential competitors. Although we have procedures in place to try to ensure that our employees, consultants and independent contractors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are a party to certain non-exclusive intellectual property license agreements with certain vendors that are important to our business, and we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In the event we breach any of our obligations related to such agreements, we may incur significant liability to our licensing partners. Disputes may arise regarding intellectual property subject to a licensing agreement, including but not limited to: </w:t>
      </w:r>
    </w:p>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scope of rights granted under the license agreement and other interpretation-related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extent to which our technology and processes infringe on intellectual property of the licensor that is not subject to the licensing agreement; </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sublicensing of patents and other rights;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our diligence obligations under the license agreement and what activities satisfy those diligence obligations;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ownership of inventions and know-how resulting from the joint creation or use of intellectual property by our licensors and us and our collaborators; and </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priority of invention of patented technology.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have a material adverse effect on our business.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not be successful in obtaining or maintaining necessary rights to our product and product candidates through acquisitions and in-licenses.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currently have rights to certain intellectual property, through licenses from third parties and under patent applications that we own, to develop and commercialize our product and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We may also get into disputes or litigation with third parties from whom we license intellectual property rights necessary for the sale of our product.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we are unable to successfully obtain required third-party intellectual property rights or maintain the existing intellectual property rights we have, we may have to abandon development of that program and our business and financial condition could suffer.</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 xml:space="preserve">Risks Related to the Discovery and Development of Our Product Candidates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invest substantial efforts and financial resources to identify, acquire and develop our product candidates. Our future success is dependent on our ability to develop, obtain regulatory approval for, and then commercialize and obtain adequate third-party coverage and reimbursement for one or more of our product candidates. We currently have one approved product: LOQTORZI.</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Our product candidates are in varying stages of development and will require additional clinical development, management of nonclinical, clinical and manufacturing activities, regulatory approval, adequate manufacturing supplies, commercial organization and significant marketing efforts before we generate any revenue from product sales. We have not initiated Phase 3 clinical trials for any of the product candidates in our pipeline. It may be some time before we submit an application for market approval with the relevant regulatory agencies for these product candidates.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cannot be certain that any of our product candidates will be successful in clinical trials or receive regulatory approval. Further, our product candidates may not receive regulatory approval even if they are successful in clinical trials. If we and our existing or future collaboration partners do not receive regulatory approvals for our product candidates, we may not be able to continue our operations.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59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together with our collaboration partners, generally plan to seek regulatory approval to commercialize our product candidates in the United States, the E.U., and additional foreign countries where we or our partners have commercial rights. To obtain regulatory approval, we and our collaboration partners must comply with numerous and varying regulatory requirements of such countries regarding safety, efficacy, chemistry, manufacturing and controls, clinical studies, commercial sales, and pricing and distribution of our product candidates. Even if we and our collaboration partners are successful in obtaining approval in one jurisdiction, we cannot ensure that we will obtain approval in any other jurisdictions. If we and our collaboration partners are unable to obtain approval for our product candidates in multiple jurisdictions, our revenue and results of operations could be negatively affected.</w:t>
      </w:r>
    </w:p>
    <w:p>
      <w:pPr>
        <w:pStyle w:val="TextBody"/>
        <w:bidi w:val="0"/>
        <w:spacing w:before="0" w:after="240"/>
        <w:ind w:left="0" w:right="0" w:hanging="0"/>
        <w:jc w:val="both"/>
        <w:rPr>
          <w:rFonts w:ascii="Helvetica;sans-serif" w:hAnsi="Helvetica;sans-serif"/>
          <w:sz w:val="20"/>
        </w:rPr>
      </w:pPr>
      <w:r>
        <w:rPr>
          <w:rFonts w:ascii="Helvetica;sans-serif" w:hAnsi="Helvetica;sans-serif"/>
          <w:b/>
          <w:i/>
          <w:sz w:val="20"/>
        </w:rPr>
        <w:t xml:space="preserve">The </w:t>
      </w:r>
      <w:r>
        <w:rPr>
          <w:rFonts w:ascii="Helvetica;sans-serif" w:hAnsi="Helvetica;sans-serif"/>
          <w:i/>
          <w:sz w:val="20"/>
        </w:rPr>
        <w:t>r</w:t>
      </w:r>
      <w:r>
        <w:rPr>
          <w:rFonts w:ascii="Helvetica;sans-serif" w:hAnsi="Helvetica;sans-serif"/>
          <w:b/>
          <w:i/>
          <w:sz w:val="20"/>
        </w:rPr>
        <w:t>egulatory approval processes of the FDA, EMA and comparable foreign authorities are lengthy, time consuming and inherently unpredictable. If we and our collaboration partners are ultimately unable to obtain regulatory approval for our product candidates, our business will be substantially harmed.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research, development, testing, manufacturing, labeling, packaging, approval, promotion, advertising, storage, marketing, distribution, post-approval monitoring and reporting and export and import of biologic products are subject to extensive regulation by the FDA and other regulatory authorities in the United States, by the EMA and EEA Competent Authorities in the EEA, and by other regulatory authorities in other countries, where regulations differ from country to country. Neither we nor any existing or future collaboration partners are permitted to market our product candidates in the United States until we and our collaboration partners receive approval from the FDA, or in the EEA until we and our collaboration partners receive European Commission or EEA Competent Authority approvals.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time required to develop new products or obtain approval for new products by the FDA and comparable foreign authorities is unpredictable, may take many years following the completion of clinical studies and depends upon numerous factors. Further, applications to the Human Genetic Resources Administration of China required for any activities, including development activities and data sharing with our partners in China, may result in product development delays.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Neither we nor any collaboration partner has obtained regulatory approval for any of our product and product candidates, other than LOQTORZI, which has received approval from the FDA and is also approved for use in China, and it is possible that none of our other current or future product candidates will ever obtain additional regulatory approvals.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Applications for our product candidates could fail to receive regulatory approval for many reasons, including but not limited to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data collected from clinical studies of our product candidates may not be sufficient to support the submission of a BLA, an NDA or other submission or to obtain regulatory approval in the United States, the EEA or elsewhere;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FDA or comparable foreign regulatory authorities may disagree with the design or implementation of our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FDA may determine that the population studied in the clinical program may not be sufficiently broad or representative to assure safety and efficacy in the full population for which we seek approval, or that conclusions of clinical trials conducted in a single country or region outside the United States may not be generalizable to the patient population in the United States;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FDA or comparable foreign regulatory authorities may disagree with our interpretation of data from analytical and bioanalytical studies, nonclinical studies or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may be unable to demonstrate to the FDA or comparable foreign regulatory authorities that a product candidate’s risk-benefit ratio for its proposed indication is acceptable;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FDA or comparable foreign regulatory authorities may fail to approve the manufacturing processes, test procedures and specifications or facilities of our collaborators or third-party manufacturers with which we contract for clinical and commercial supplies;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approval policies or regulations of the FDA or comparable foreign regulatory authorities may significantly change in a manner rendering our clinical data insufficient for approval.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This approval process, as well as the unpredictability of the results of clinical studies, may result in our failure to obtain regulatory approval to market any of our product candidates, which would significantly harm our business. Any delays in the commencement or completion of clinical testing could significantly impact our product development costs and could result in the need for additional financing, which may be unavailable to us on acceptable terms or at all.</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Clinical drug development involves a lengthy and expensive process and we may encounter substantial delays in our clinical studies or may fail to demonstrate safety and efficacy to the satisfaction of applicable regulatory authorities.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Before obtaining marketing approval from regulatory authorities for the sale of our product candidates, we or our collaboration partners, or both, as the case may be, must conduct clinical studies to demonstrate the safety and efficacy of the product candidates in humans.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Clinical testing is expensive and can take many years to complete, and its outcome is inherently uncertain. Failure can occur at any time during the clinical study process. The results of preclinical studies and early and mid-stage clinical studies of our product candidates may not be predictive of the results of later-stage clinical studies. Product candidates that have shown promising results in early or mid-stage clinical studies may still suffer significant setbacks in subsequent registration clinical studies. There is a high failure rate for product candidates proceeding through clinical studies, and product candidates in later stages of clinical studies may fail to show the desired safety and efficacy traits despite having progressed through preclinical studies and initial clinical studies. A number of companies in the oncology industry have suffered significant setbacks in advanced clinical studies due to lack of efficacy or adverse safety profiles, notwithstanding promising results in earlier studies. Nonclinical and clinical data are also often susceptible to varying interpretations and analyses. We do not know whether any clinical studies we may conduct for our product candidates will demonstrate consistent or adequate efficacy and safety to obtain regulatory approval.</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Helvetica;sans-serif" w:hAnsi="Helvetica;sans-serif"/>
                <w:b w:val="false"/>
                <w:i w:val="false"/>
                <w:caps w:val="false"/>
                <w:smallCaps w:val="false"/>
                <w:sz w:val="20"/>
              </w:rPr>
              <w:t xml:space="preserve">inability to generate sufficient preclinical, toxicology or other </w:t>
            </w:r>
            <w:r>
              <w:rPr>
                <w:rFonts w:ascii="Helvetica;sans-serif" w:hAnsi="Helvetica;sans-serif"/>
                <w:b w:val="false"/>
                <w:i/>
                <w:sz w:val="20"/>
              </w:rPr>
              <w:t>in vivo</w:t>
            </w:r>
            <w:r>
              <w:rPr>
                <w:caps w:val="false"/>
                <w:smallCaps w:val="false"/>
              </w:rPr>
              <w:t xml:space="preserve"> </w:t>
            </w:r>
            <w:r>
              <w:rPr>
                <w:rFonts w:ascii="Helvetica;sans-serif" w:hAnsi="Helvetica;sans-serif"/>
                <w:b w:val="false"/>
                <w:i w:val="false"/>
                <w:caps w:val="false"/>
                <w:smallCaps w:val="false"/>
                <w:sz w:val="20"/>
              </w:rPr>
              <w:t xml:space="preserve">or </w:t>
            </w:r>
            <w:r>
              <w:rPr>
                <w:rFonts w:ascii="Helvetica;sans-serif" w:hAnsi="Helvetica;sans-serif"/>
                <w:b w:val="false"/>
                <w:i/>
                <w:sz w:val="20"/>
              </w:rPr>
              <w:t>in vitro</w:t>
            </w:r>
            <w:r>
              <w:rPr>
                <w:caps w:val="false"/>
                <w:smallCaps w:val="false"/>
              </w:rPr>
              <w:t xml:space="preserve"> </w:t>
            </w:r>
            <w:r>
              <w:rPr>
                <w:rFonts w:ascii="Helvetica;sans-serif" w:hAnsi="Helvetica;sans-serif"/>
                <w:b w:val="false"/>
                <w:i w:val="false"/>
                <w:caps w:val="false"/>
                <w:smallCaps w:val="false"/>
                <w:sz w:val="20"/>
              </w:rPr>
              <w:t xml:space="preserve">data to support the initiation of human clinical studies; </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delays in reaching a consensus with regulatory agencies on study design;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delays in reaching agreement on acceptable terms with prospective CROs, and clinical study sites, the terms of which can be subject to extensive negotiation and may vary significantly among different CROs and clinical study sites; </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delays in obtaining required institutional review board approval at each clinical study site;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imposition of a clinical hold by regulatory agencies, after review of an investigational new drug application or amendment or equivalent application or amendment, or an inspection of our clinical study operations or study sites or as a result of adverse events reported during a clinical trial; </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delays in recruiting suitable patients to participate in our clinical studies sponsored by us or our partners; </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difficulty collaborating with patient groups and investigators;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by our CROs, other third parties or us to adhere to clinical study requirements;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to perform in accordance with the FDA’s GCP requirements or applicable regulatory guidelines in other countries;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delays in patients completing participation in a study or return for post-treatment follow-up, or patients dropping out of a study;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occurrence of adverse events associated with the product candidate that are viewed to outweigh its potential benefits;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changes in regulatory requirements and guidance that require amending or submitting new clinical protocols; </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cost of clinical studies of our product candidates being greater than we anticipate;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clinical studies of our product candidates producing negative or inconclusive results, which may result in us deciding or regulators requiring us to conduct additional clinical studies or abandon product development programs;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delays in manufacturing, testing, releasing, validating or importing/exporting and/or distributing sufficient stable quantities of our product candidates for use in clinical studies or the inability to do any of the foregoing.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Any inability to successfully complete nonclinical and clinical development could result in additional costs to us or impair our ability to continue to generate revenue. In addition, if we make manufacturing or formulation changes to our product candidates, we may need to conduct additional studies to bridge our modified product candidates to earlier versions.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If we encounter difficulties enrolling patients in our clinical trials, our clinical development activities could be delayed or otherwise adversely affected.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 Some of the conditions for which we may plan to evaluate our product candidates are rare diseases with limited patient pools from which to draw for clinical trials. The eligibility criteria of our clinical trials, once established, may further limit the pool of available trial participants. </w:t>
      </w:r>
    </w:p>
    <w:p>
      <w:pPr>
        <w:pStyle w:val="TextBody"/>
        <w:bidi w:val="0"/>
        <w:spacing w:before="0" w:after="120"/>
        <w:ind w:left="0" w:right="0" w:firstLine="490"/>
        <w:jc w:val="left"/>
        <w:rPr>
          <w:rFonts w:ascii="Helvetica;sans-serif" w:hAnsi="Helvetica;sans-serif"/>
          <w:sz w:val="20"/>
        </w:rPr>
      </w:pPr>
      <w:r>
        <w:rPr>
          <w:rFonts w:ascii="Helvetica;sans-serif" w:hAnsi="Helvetica;sans-serif"/>
          <w:sz w:val="20"/>
        </w:rPr>
        <w:t xml:space="preserve">Patient enrollment in clinical trials may be affected by other factors, including: </w:t>
      </w:r>
    </w:p>
    <w:tbl>
      <w:tblPr>
        <w:tblW w:w="4836" w:type="dxa"/>
        <w:jc w:val="left"/>
        <w:tblInd w:w="0" w:type="dxa"/>
        <w:tblLayout w:type="fixed"/>
        <w:tblCellMar>
          <w:top w:w="0" w:type="dxa"/>
          <w:left w:w="0" w:type="dxa"/>
          <w:bottom w:w="0" w:type="dxa"/>
          <w:right w:w="0" w:type="dxa"/>
        </w:tblCellMar>
      </w:tblPr>
      <w:tblGrid>
        <w:gridCol w:w="124"/>
        <w:gridCol w:w="19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4516"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size and nature of the targeted patient population; </w:t>
            </w:r>
          </w:p>
        </w:tc>
      </w:tr>
    </w:tbl>
    <w:tbl>
      <w:tblPr>
        <w:tblW w:w="5331" w:type="dxa"/>
        <w:jc w:val="left"/>
        <w:tblInd w:w="0" w:type="dxa"/>
        <w:tblLayout w:type="fixed"/>
        <w:tblCellMar>
          <w:top w:w="0" w:type="dxa"/>
          <w:left w:w="0" w:type="dxa"/>
          <w:bottom w:w="0" w:type="dxa"/>
          <w:right w:w="0" w:type="dxa"/>
        </w:tblCellMar>
      </w:tblPr>
      <w:tblGrid>
        <w:gridCol w:w="124"/>
        <w:gridCol w:w="19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5011"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severity of the disease or condition under investigation; </w:t>
            </w:r>
          </w:p>
        </w:tc>
      </w:tr>
    </w:tbl>
    <w:tbl>
      <w:tblPr>
        <w:tblW w:w="8676" w:type="dxa"/>
        <w:jc w:val="left"/>
        <w:tblInd w:w="0" w:type="dxa"/>
        <w:tblLayout w:type="fixed"/>
        <w:tblCellMar>
          <w:top w:w="0" w:type="dxa"/>
          <w:left w:w="0" w:type="dxa"/>
          <w:bottom w:w="0" w:type="dxa"/>
          <w:right w:w="0" w:type="dxa"/>
        </w:tblCellMar>
      </w:tblPr>
      <w:tblGrid>
        <w:gridCol w:w="124"/>
        <w:gridCol w:w="19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8356"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availability and efficacy of approved therapies for the disease or condition under investigation; </w:t>
            </w:r>
          </w:p>
        </w:tc>
      </w:tr>
    </w:tbl>
    <w:tbl>
      <w:tblPr>
        <w:tblW w:w="6876" w:type="dxa"/>
        <w:jc w:val="left"/>
        <w:tblInd w:w="0" w:type="dxa"/>
        <w:tblLayout w:type="fixed"/>
        <w:tblCellMar>
          <w:top w:w="0" w:type="dxa"/>
          <w:left w:w="0" w:type="dxa"/>
          <w:bottom w:w="0" w:type="dxa"/>
          <w:right w:w="0" w:type="dxa"/>
        </w:tblCellMar>
      </w:tblPr>
      <w:tblGrid>
        <w:gridCol w:w="124"/>
        <w:gridCol w:w="19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6556"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patient eligibility criteria for the trial in question as defined in the protocol; </w:t>
            </w:r>
          </w:p>
        </w:tc>
      </w:tr>
    </w:tbl>
    <w:tbl>
      <w:tblPr>
        <w:tblW w:w="6276" w:type="dxa"/>
        <w:jc w:val="left"/>
        <w:tblInd w:w="0" w:type="dxa"/>
        <w:tblLayout w:type="fixed"/>
        <w:tblCellMar>
          <w:top w:w="0" w:type="dxa"/>
          <w:left w:w="0" w:type="dxa"/>
          <w:bottom w:w="0" w:type="dxa"/>
          <w:right w:w="0" w:type="dxa"/>
        </w:tblCellMar>
      </w:tblPr>
      <w:tblGrid>
        <w:gridCol w:w="124"/>
        <w:gridCol w:w="19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5956"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perceived risks and benefits of the product candidate under study; </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 </w:t>
            </w:r>
          </w:p>
        </w:tc>
      </w:tr>
    </w:tbl>
    <w:tbl>
      <w:tblPr>
        <w:tblW w:w="5061" w:type="dxa"/>
        <w:jc w:val="left"/>
        <w:tblInd w:w="0" w:type="dxa"/>
        <w:tblLayout w:type="fixed"/>
        <w:tblCellMar>
          <w:top w:w="0" w:type="dxa"/>
          <w:left w:w="0" w:type="dxa"/>
          <w:bottom w:w="0" w:type="dxa"/>
          <w:right w:w="0" w:type="dxa"/>
        </w:tblCellMar>
      </w:tblPr>
      <w:tblGrid>
        <w:gridCol w:w="124"/>
        <w:gridCol w:w="19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4741"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efforts to facilitate timely enrollment in clinical trials;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906" w:type="dxa"/>
        <w:jc w:val="left"/>
        <w:tblInd w:w="0" w:type="dxa"/>
        <w:tblLayout w:type="fixed"/>
        <w:tblCellMar>
          <w:top w:w="0" w:type="dxa"/>
          <w:left w:w="0" w:type="dxa"/>
          <w:bottom w:w="0" w:type="dxa"/>
          <w:right w:w="0" w:type="dxa"/>
        </w:tblCellMar>
      </w:tblPr>
      <w:tblGrid>
        <w:gridCol w:w="124"/>
        <w:gridCol w:w="19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3586"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patient referral practices of physicians; </w:t>
            </w:r>
          </w:p>
        </w:tc>
      </w:tr>
    </w:tbl>
    <w:tbl>
      <w:tblPr>
        <w:tblW w:w="6411" w:type="dxa"/>
        <w:jc w:val="left"/>
        <w:tblInd w:w="0" w:type="dxa"/>
        <w:tblLayout w:type="fixed"/>
        <w:tblCellMar>
          <w:top w:w="0" w:type="dxa"/>
          <w:left w:w="0" w:type="dxa"/>
          <w:bottom w:w="0" w:type="dxa"/>
          <w:right w:w="0" w:type="dxa"/>
        </w:tblCellMar>
      </w:tblPr>
      <w:tblGrid>
        <w:gridCol w:w="124"/>
        <w:gridCol w:w="19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6091"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the ability to monitor patients adequately during and after treatment; </w:t>
            </w:r>
          </w:p>
        </w:tc>
      </w:tr>
    </w:tbl>
    <w:tbl>
      <w:tblPr>
        <w:tblW w:w="6576" w:type="dxa"/>
        <w:jc w:val="left"/>
        <w:tblInd w:w="0" w:type="dxa"/>
        <w:tblLayout w:type="fixed"/>
        <w:tblCellMar>
          <w:top w:w="0" w:type="dxa"/>
          <w:left w:w="0" w:type="dxa"/>
          <w:bottom w:w="0" w:type="dxa"/>
          <w:right w:w="0" w:type="dxa"/>
        </w:tblCellMar>
      </w:tblPr>
      <w:tblGrid>
        <w:gridCol w:w="124"/>
        <w:gridCol w:w="19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6256"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proximity and availability of clinical trial sites for prospective patients; </w:t>
            </w:r>
          </w:p>
        </w:tc>
      </w:tr>
    </w:tbl>
    <w:tbl>
      <w:tblPr>
        <w:tblW w:w="6591" w:type="dxa"/>
        <w:jc w:val="left"/>
        <w:tblInd w:w="0" w:type="dxa"/>
        <w:tblLayout w:type="fixed"/>
        <w:tblCellMar>
          <w:top w:w="0" w:type="dxa"/>
          <w:left w:w="0" w:type="dxa"/>
          <w:bottom w:w="0" w:type="dxa"/>
          <w:right w:w="0" w:type="dxa"/>
        </w:tblCellMar>
      </w:tblPr>
      <w:tblGrid>
        <w:gridCol w:w="124"/>
        <w:gridCol w:w="19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both"/>
              <w:rPr/>
            </w:pPr>
            <w:r>
              <w:rPr/>
              <w:t>•</w:t>
            </w:r>
          </w:p>
        </w:tc>
        <w:tc>
          <w:tcPr>
            <w:tcW w:w="6271" w:type="dxa"/>
            <w:tcBorders/>
            <w:vAlign w:val="center"/>
          </w:tcPr>
          <w:p>
            <w:pPr>
              <w:pStyle w:val="TableContents"/>
              <w:bidi w:val="0"/>
              <w:spacing w:before="0" w:after="120"/>
              <w:jc w:val="both"/>
              <w:rPr>
                <w:rFonts w:ascii="Helvetica;sans-serif" w:hAnsi="Helvetica;sans-serif"/>
                <w:sz w:val="20"/>
              </w:rPr>
            </w:pPr>
            <w:r>
              <w:rPr>
                <w:rFonts w:ascii="Helvetica;sans-serif" w:hAnsi="Helvetica;sans-serif"/>
                <w:sz w:val="20"/>
              </w:rPr>
              <w:t xml:space="preserve">continued enrollment of prospective patients by clinical trial sites; and </w:t>
            </w:r>
          </w:p>
        </w:tc>
      </w:tr>
    </w:tbl>
    <w:tbl>
      <w:tblPr>
        <w:tblW w:w="8286" w:type="dxa"/>
        <w:jc w:val="left"/>
        <w:tblInd w:w="0" w:type="dxa"/>
        <w:tblLayout w:type="fixed"/>
        <w:tblCellMar>
          <w:top w:w="0" w:type="dxa"/>
          <w:left w:w="0" w:type="dxa"/>
          <w:bottom w:w="0" w:type="dxa"/>
          <w:right w:w="0" w:type="dxa"/>
        </w:tblCellMar>
      </w:tblPr>
      <w:tblGrid>
        <w:gridCol w:w="124"/>
        <w:gridCol w:w="19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pPr>
            <w:r>
              <w:rPr/>
              <w:t>•</w:t>
            </w:r>
          </w:p>
        </w:tc>
        <w:tc>
          <w:tcPr>
            <w:tcW w:w="7966" w:type="dxa"/>
            <w:tcBorders/>
            <w:vAlign w:val="center"/>
          </w:tcPr>
          <w:p>
            <w:pPr>
              <w:pStyle w:val="TableContents"/>
              <w:bidi w:val="0"/>
              <w:spacing w:before="0" w:after="240"/>
              <w:jc w:val="both"/>
              <w:rPr>
                <w:rFonts w:ascii="Helvetica;sans-serif" w:hAnsi="Helvetica;sans-serif"/>
                <w:sz w:val="20"/>
              </w:rPr>
            </w:pPr>
            <w:r>
              <w:rPr>
                <w:rFonts w:ascii="Helvetica;sans-serif" w:hAnsi="Helvetica;sans-serif"/>
                <w:sz w:val="20"/>
              </w:rPr>
              <w:t>the risk that patients enrolled in clinical trials will drop out of such trials before completion.</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Additionally, other pharmaceutical companies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Failure to obtain regulatory approval in any targeted regulatory jurisdiction would prevent us from marketing our product to a larger patient population and reduce our commercial opportunities.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are marketing LOQTORZI in the United States and may seek to partner commercially our pipeline products outside the United States.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order to market our products in the E.U., the United States and other jurisdictions, we and our collaboration partners must obtain separate regulatory approvals and comply with numerous and varying regulatory requirements. The EMA is responsible for the centralized procedure for the regulation and approval of human medicines. This procedure results in a single marketing authorization that is valid in all E.U. countries, as well as in Iceland, Liechtenstein and Norway. The time required to obtain approval abroad may differ from that required to obtain FDA approval. The foreign regulatory approval process may include all of the risks associated with obtaining FDA approval and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or our collaboration partners may not be able to file for regulatory approvals and may not receive necessary approvals to commercialize our product in any market. Failure to obtain these approvals would materially and adversely affect our business, financial condition and results of operations.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not be successful in our efforts to identify, develop or commercialize additional product candidates.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Although a substantial amount of our effort will focus on the continued clinical testing, potential approval and commercialization of our existing product candidates, the success of our business also depends upon our ability to identify, develop and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development efforts may fail to yield additional product candidates suitable for clinical development and commercialization for a number of reasons, including but not limited to the following: </w:t>
      </w:r>
    </w:p>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may not be successful in identifying potential product candidates that pass our strict screening criteria;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may not be able to overcome technological hurdles to development or a product candidate may not be capable of producing commercial quantities at an acceptable cost or at all; </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we may not be able to assemble sufficient resources to acquire or discover additional product candidates; </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our product candidates may not succeed in nonclinical or clinical testing; and</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competitors may develop alternatives that render our product candidates obsolete or less attractive or the market for a product candidate may change such that a product candidate may not justify further development.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If any of these events occur, we may be forced to abandon our development efforts for a program or programs or we may not be able to identify, develop or commercialize additional product candidates, which would have a material adverse effect on our business and could potentially cause us to cease operations.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We may fail to obtain orphan drug designations from the FDA for our product candidates, and even if we obtain such designations, we may be unable to maintain the benefits associated with orphan drug designation, including the potential for market exclusivity.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Regulatory authorities in some jurisdictions, including the U.S., may designate biologics or drugs designed to address relatively small patient populations as “orphan drugs.”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U.S., orphan designation entitles a party to financial incentives such as opportunities for grant funding for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or BLA, to market the same drug for the same approved use or indication within such rare disease or condition for seven years, except in limited circumstances, such as a showing of clinical superiority to the product with orphan drug exclusivity in the relevant indication or where the manufacturer is unable to assure sufficient product quantity.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October 2020, the FDA granted Orphan Drug Designation to casdozokitug. We may seek Orphan Drug Designations for other diseases or conditions or for our other product candidates. There can be no assurances that we will be able to obtain such designations. Even if we, or any future collaborators, obtain orphan drug designation for a product candidate, we, or they, may not be able to obtain or maintain orphan drug exclusivity for that product candidate. Further, even if we, or any future collaborators, obtain orphan drug exclusivity for a product, that exclusivity may not effectively protect the product from competition because different drugs with different active ingredients may be approved for the same use or indication within the same rare disease or condition. Even after an orphan drug is approved, the FDA can subsequently approve the same drug for the same uses or indications within the same rare disease or condition if the FDA concludes that the later drug is clinically superior in that it is shown to be safer, more effective or makes a major contribution to patient care with respect to the exclusivity-protected use or indication. Orphan drug designation neither shortens the development or regulatory review time of a drug nor gives the drug any advantage in the regulatory review or approval process.</w:t>
      </w:r>
    </w:p>
    <w:p>
      <w:pPr>
        <w:pStyle w:val="TextBody"/>
        <w:bidi w:val="0"/>
        <w:spacing w:before="0" w:after="240"/>
        <w:ind w:left="0" w:right="0" w:hanging="0"/>
        <w:jc w:val="both"/>
        <w:rPr>
          <w:rFonts w:ascii="Helvetica;sans-serif" w:hAnsi="Helvetica;sans-serif"/>
          <w:sz w:val="20"/>
        </w:rPr>
      </w:pPr>
      <w:r>
        <w:rPr>
          <w:rFonts w:ascii="Helvetica;sans-serif" w:hAnsi="Helvetica;sans-serif"/>
          <w:b/>
          <w:sz w:val="20"/>
        </w:rPr>
        <w:t>Risks Related to Our Compliance with Applicable Laws</w:t>
      </w:r>
      <w:r>
        <w:rPr>
          <w:rFonts w:ascii="Helvetica;sans-serif" w:hAnsi="Helvetica;sans-serif"/>
          <w:sz w:val="20"/>
        </w:rPr>
        <w:t xml:space="preserve">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Healthcare reform measures, including the IRA and the OBBBA, may increase the difficulty and cost for us to obtain marketing approval for and commercialize our product, affect the prices we may set, and have a material adverse effect on our business and results of operations. </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In the United States, there have been and continue to be a number of legislative initiatives to contain healthcare costs. For example, in March 2010, the Patient Protection and Affordable Care Act, as amended by the Health Care and Education Reconciliation Act, was passed, which substantially changed the way health care is financed by both governmental and private insurers and has impacted and continues to impact the United States pharmaceutical industry. The ACA, among other things, modified the Average Manufacture Price (“AMP”) definition under the MDRP for drugs that are inhaled, infused, instilled, implanted or injected and not generally distributed through the retail channel;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expanded rebate payments under the MDRP to include utilization by individuals enrolled in Medicaid managed care organizations; added a provision to increase the Medicaid rebate for line extension drugs; established annual fees and taxes on manufacturers of certain branded prescription drugs; and expanded the entities eligible for discounts under the Public Health Service 340B drug pricing program.</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other legislative changes have been proposed and adopted in the United States since the ACA was enacted. These changes include the American Rescue Plan Act of 2021, which eliminated the statutory cap on the Medicaid drug rebate beginning January 1, 2024. The rebate was previously capped at 100% of a drug’s AMP.</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Most significantly,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HHS to implement many of these provisions through guidance, as opposed to regulation, for the initial years. HHS has and will continue to issue and update guidance as these programs are implemented. CMS has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For that and other reasons, the impact of the IRA on our business and the pharmaceutical industry cannot yet be fully determined.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Most recently, the OBBBA, which was enacted in July 2025, imposes significant reductions in the funding of the Medicaid program. Such reductions are expected to decrease the number of persons enrolled in Medicaid and reduce the services covered by Medicaid, which could adversely affect our sales of LOQTORZI or any other product candidate that we may commercialize.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cost of prescription pharmaceuticals in the United States is likely to remain the subject of considerable discussion. There have been several Congressional inquiries and proposed and enacted legislation designed to, among other things, reform government program reimbursement methodologies. The likelihood of implementation of these and other reform initiatives is uncertain. 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Separately,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Individual states in the United States have also proposed and enacted legislation and are implementing regulations designed to control pharmaceutical product pricing, including price or patient reimbursement constraints, discounts, restrictions on certain product access, marketing cost disclosure, drug price reporting and other transparency measures, and, in some cases, measures designed to encourage importation from other countries and bulk purchasing. Some states have enacted legislation creating so-called prescription drug affordability boards, with the goal of imposing price limits on certain drugs in these states. We expect that additional state and federal healthcare reform measures will be adopted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expect that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be subject, directly or indirectly, to federal and state healthcare laws, including fraud and abuse, false claims and physician payment transparency laws. If we are unable to comply or have not fully complied with such laws, we could face substantial penalties.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Our operations are directly or indirectly through our customers subject to various federal and state fraud and abuse laws, including, without limitation, the federal Anti-Kickback Statute, the federal False Claims Act and physician sunshine laws and regulations. These laws impact, among other things, sales, marketing and education programs. The laws that may affect our ability to operate include: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federal Anti-Kickback Statute, which prohibits, among other things, persons from knowingly and willfully soliciting, receiving, offering or paying remuneration, directly or indirectly, in cash or in kind, to induce or in return for the purchase, recommendation, order or furnishing of an item or service reimbursable, in whole or in part, under a federal healthcare program, such as the Medicare and Medicaid programs. A person or entity does not need to have actual knowledge of the federal Anti-Kickback Statute or specific intent to violate it to have committed a violation;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federal civil and criminal false claims laws, including the False Claims Act, which prohibit, among other things, individuals or entities from knowingly presenting or causing to be presented claims for payment from Medicare, Medicaid or other third-party payers that are false or fraudulent and which may apply to entities that provide coding and billing advice to customers. In addition, the government may assert that a claim including items or services resulting from a violation of the federal Anti-Kickback Statute constitutes a false or fraudulent claim for purposes of the False Claims Act;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HIPAA, which created new federal criminal statutes that prohibit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federal and state consumer protection and unfair competition laws, which broadly regulate marketplace activities and activities that potentially harm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federal physician “sunshine” requirements under the ACA, which requires certain manufacturers of drugs, devices, biologics and medical supplies to report annually to the CMS information related to payments and other transfers of value made by such manufacturers to physicians (defined to include doctors, dentists, optometrists, podiatrists, chiropractors, and certain non-physician practitioners (physician assistants, nurse practitioners, clinical nurse specialists, certified nurse anesthetists, anesthesiologist assistants and certified nurse midwives)), and teaching hospitals and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state and foreign law equivalents of each of the above federal laws, such as anti-kickback and false claims laws that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Efforts to ensure that our operations and business arrangements with third parties will comply with applicable healthcare laws and regulations will involve substantial costs. If we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financial condition, results of operations and growth prospects.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We participate in governmental programs that impose drug price reporting, payment, and other compliance obligations on pharmaceutical manufacturers. Medicaid is a joint federal and state program for low-income and disabled beneficiaries. Medicare is a federal program that is administered by the federal government covering individuals age 65 and over as well as those with certain disabilities. Medicare Part B reimburses physicians who administer our product. Under the MDRP, as a condition of having federal funds available for our covered outpatient drugs under Medicaid and under Medicare Part B, we must enter into, and have entered into, an agreement with the Secretary of HHS to pay a rebate to state Medicaid programs for each unit of our covered outpatient drugs dispensed to a Medicaid beneficiary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and paid for by the state Medicaid program. Medicaid rebates are based on pricing data that we are required to report on a monthly and quarterly basis to CMS, the federal agency that administers the MDRP and Medicare programs. For the MDRP, these data include the AMP for each drug and, in the case of innovator products, the Best Price, which represents the lowest price available from us to any wholesaler, retailer, provider, health maintenance organization, nonprofit entity, or governmental entity in the United States in any pricing structure, calculated to include all applicable sales and associated rebates, discounts and other price concessions. In connection with Medicare Part B, we must provide CMS with Average Sales Price (“ASP”) information on a quarterly basis. CMS uses this information to compute Medicare Part B payment rates, which consist of ASP plus a specified percentage. If we become aware that our MDRP submissions for a prior period were incorrect or have changed as a result of recalculation of the pricing data, we must resubmit the corrected data for up to three years after those data originally were due. Pursuant to the IRA, the AMP and ASP figures we report will also be used to compute rebates under Medicare Part D and Medicare Part B triggered by price increases that outpace inflation. If we fail to provide information timely or are found to have knowingly submitted false information to CMS, we may be subject to civil monetary penalties and other sanctions, including termination from the MDRP.</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Federal law requires that any company that participates in the MDRP also participate in the Public Health Service’s 340B drug pricing program in order for federal funds to be available for the manufacturer’s drugs under Medicaid and Medicare Part B. The 340B program is administered by the Health Resources and Service Administration (“HRSA”) and requires us to agree to charge statutorily defined covered entities no more than the 340B “ceiling price” for our covered drugs when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order to be eligible to have drug products paid for with federal funds under Medicaid and Medicare Part B and purchased by certain federal agencies and grantees, a pharmaceutical manufacturer must also participate in VA FSS pricing program. Under the VA FSS program, we must report the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penalties or other enforcement mechanisms, which could have a material adverse effect on our business.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Pricing and rebate calculations are complex and are often subject to interpretation by us, governmental or regulatory agencies, and the courts, which can change and evolve over time. Such pricing calculations and reporting, along with any necessary restatements and recalculations, could increase costs for complying with the laws and regulations governing the MDRP and other governmental programs, and under the MDRP could result in an overage or underage in Medicaid rebate liability for past quarters.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are found to have made a misrepresentation in the reporting of ASP, if we fail to submit the required price data on a timely basis, or if we are found to have charged 340B covered entities more than the statutorily mandated ceiling price. CMS could also terminate our Medicaid drug rebate agreement, in which case federal payments may not be available under Medicaid or Medicare Part B for our covered outpatient drugs. We cannot make any assurances that our submissions will not be found by CMS or other governmental agencies to be incomplete or incorrect.</w:t>
      </w:r>
    </w:p>
    <w:p>
      <w:pPr>
        <w:pStyle w:val="TextBody"/>
        <w:bidi w:val="0"/>
        <w:spacing w:before="0" w:after="240"/>
        <w:ind w:left="0" w:right="0" w:hanging="0"/>
        <w:jc w:val="both"/>
        <w:rPr>
          <w:rFonts w:ascii="Helvetica;sans-serif" w:hAnsi="Helvetica;sans-serif"/>
          <w:b/>
          <w:sz w:val="20"/>
        </w:rPr>
      </w:pPr>
      <w:r>
        <w:rPr>
          <w:rFonts w:ascii="Helvetica;sans-serif" w:hAnsi="Helvetica;sans-serif"/>
          <w:b/>
          <w:sz w:val="20"/>
        </w:rPr>
        <w:t>Risks Related to Ownership of Our Common Stock</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The market price of our common stock may be highly volatile, and purchasers of our common stock could incur substantial losses.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The market price of our common stock has been highly volatile since our Initial Public Offering and the intraday sales price per share has ranged from $0.66 to $38.10 per share during the period from November 6, 2014 through June 30, 2026 and could be subject to wide fluctuations in response to various factors, some of which are beyond our control. These factors include those discussed in the “Risk Factors” section of this Quarterly Report on Form 10-Q and others such as: </w:t>
      </w:r>
    </w:p>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adverse results or delays in preclinical or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risk of deterioration in our financial conditions, such as reduced collection of cash and increased costs in the future;</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any inability to obtain additional funding;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failure to receive either of the Earnout Payments;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any delay in filing an IND, NDA, BLA or other regulatory submission for any of our product candidates and any adverse development or perceived adverse development with respect to the applicable regulatory agency’s review of that IND, NDA, BLA or other regulatory submission; </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perception of limited market sizes or pricing for our product and product candidates; </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to successfully develop and commercialize our product candidates; </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post-marketing safety issues relating to our product candidates or product; </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to maintain our existing strategic collaborations or enter into new collaborations;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by us or our licensors and strategic collaboration partners to prosecute, maintain or enforce our intellectual property rights;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changes in laws or regulations applicable to our product and product candidates; </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future outbreaks of COVID-19 and other viral pandemics;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any inability to obtain adequate product supply for our product and product candidates or the inability to do so at acceptable prices; </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adverse regulatory decisions; </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introduction of new products, services or technologies by our competitors;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69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to meet or exceed financial projections we may provide to the public; </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to meet or exceed the financial projections of the investment community;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the perception of the pharmaceutical industry by the public, legislatures, regulators and the investment community;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announcements of significant acquisitions, dispositions, strategic partnerships, joint ventures or capital commitments by us, our strategic collaboration partners or our competitors;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disputes or other developments relating to proprietary rights, including patents, litigation matters and our ability to obtain patent protection for our technologies; </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additions or departures of key scientific or management personnel;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lawsuits, including but not limited to complaints initiated by stockholders, customers and collaboration partners, and litigation filed by us or filed against us pertaining to patent infringement or other violations of intellectual property rights;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if securities or industry analysts do not publish research or reports about our business or if they issue an adverse or misleading opinion regarding our company or our stock; </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changes in the market valuations of similar companies; </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general market or macroeconomic conditions, including rising interest rates, increasing tariffs and inflation; </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sales of our common stock by us or our stockholders in the future; </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trading volume of our common stock; </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issuance of patents to third parties that could prevent our ability to commercialize our product candidates;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changes in regulatory requirements that could make it more difficult for us to develop our product candidates.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In addition, oncology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Our indebtedness could adversely affect our financial condition, our ability to raise additional capital to fund our operations, our ability to operate our business, our ability to react to changes in the economy or our industry and our ability to pay our debts and could divert our cash flow from operations for debt payments.</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Our leverage and debt service obligations could adversely impact our business, including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impairing our ability to generate cash sufficient to pay interest or principal, including periodic principal payments;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increasing our vulnerability to general adverse economic and industry conditions;</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increasing our need to meet minimum net sales requirements when our future sales are uncertain;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requiring the dedication of a portion of our cash flow from operations to service our debt, thereby reducing the amount of our cash flow available for other purposes, including funds for clinical development or to pursue future business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requiring us to sell debt or equity securities or to sell some of our core assets, possibly on unfavorable terms, to meet payment obligations;</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limiting our flexibility in planning for, or reacting to, changes in our business and the industries in which we compete;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placing us at a possible competitive disadvantage with less leveraged competitors and competitors that may have better access to capital resources.</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Any of the foregoing factors could have negative consequences on our financial condition and results of operations.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This indebtedness could be due sooner upon the triggering of certain covenants in our debt agreements and or upon the occurrence of an event of default. If and when our indebtedness becomes due, if we do not have sufficient cash or access to capital to pay such indebtedness, we will default on our obligations which will adversely harm our business. We entered into the 2029 Loan Agreement that contains affirmative and negative covenants that restrict our operations, including, among other restrictions, the requirement to maintain certain levels of cash and cash equivalents. Further, the 2029 Loan Agreement includes certain other affirmative covenants and negative covenants, including, covenants and restrictions that among other things, restrict our ability to incur liens, incur additional indebtedness, make investments, engage in certain mergers and acquisitions or asset sales, and declare dividends or redeem or repurchase capital stock. We may need to request waivers from time to time with respect to the 2029 Loan Agreement and if we are unable to obtain a waiver that we need it could materially impact our business and financial results.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have needed and anticipate we will need additional capital in the future to continue our planned operations. To the extent that we raise additional capital by issuing equity securities, our stockholders may experience substantial dilution. Similar to prior or ongoing financing transactions,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addition, if we raise additional funds through licensing arrangements, it may be necessary to grant potentially valuable rights to our product candidates or grant licenses on terms that are not favorable to us.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Pursuant to our Amended and Restated 2014 Equity Incentive Award Plan (the “2014 Plan”), our management is authorized to grant stock options and other equity-based awards to our employees, directors and consultants. Any increase in the number of shares available for future grant under the 2014 Plan must be approved by our stockholders. Pursuant to our 2014 Employee Stock Purchase Plan (“ESPP”), eligible employees are able to acquire shares of our common stock at a discount to the prevailing market price. Pursuant to our 2016 Employment Commencement Incentive Plan (the “2016 Plan”), our management was authorized to grant stock options and other equity-based awards to our new employees, however in connection with the approval of the 2014 Plan in 2024, we agreed that we would not make any new awards under the 2016 Plan after the effective date of the 2014 Plan.</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Adverse developments affecting the financial services industry, such as actual events or concerns involving liquidity, defaults, or non-performance by financial institutions or transactional counterparties, could adversely affect our business operations, financial condition, results of operations and prospects.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Our cash and cash equivalents are deposited or invested with several banks and other financial institutions. 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Silicon Valley Bank was closed and taken over by the Federal Deposit Insurance Corporation and subsequently had all of its customer deposits and other liabilities and substantially all loans and other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assets acquired by First-Citizens Bank &amp; Trust Company. We had approximately $105.3 million of cash, cash equivalents and marketable securities as of June 30, 2026 with the majority held by custodians or in money market mutual funds that are not bank deposits. Our bank deposits are primarily held in accounts at two large banks that we believe to be stable at this time. Actual and perceived stability of banks can change from time to time and adverse perceptions by customers or investors about the banks where we deposit money could result in a material and adverse effect on our ability to access necessary cash.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access funds for our basic operating expenses, financial obligations, payroll or fulfill our other important obligations. Any of these impacts, or any other impacts resulting from the factors described above or other related or similar factors not described above, could have material adverse impacts on our liquidity, business operations, financial condition, results of operations and prospects.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do not intend to pay cash dividends on our common stock so any returns would be limited to the value of our stock.</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have never declared or paid any cash dividends on our common stock. We currently anticipate that we will retain any future earnings for the development, operation and expansion of our business and do not anticipate declaring or paying any cash dividends for the foreseeable future. Any potential return to stockholders would therefore be limited to the appreciation of their stock, if any.</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authorize “blank check” preferred stock, which could be issued by our board of directors without stockholder approval and may contain voting, liquidation, dividend and other rights superior to our common stock; </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create a classified board of directors whose members serve staggered three-year terms;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specify that special meetings of our stockholders can be called only by our corporate secretary pursuant to a resolution adopted by a majority of our board of directors; </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prohibit stockholder action by written consent;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establish an advance notice procedure for stockholder approvals to be brought before an annual meeting of our stockholders, including proposed nominations of persons for election to our board of directors other than nominations made by or at the direction of the board of directors or a committee of the board of directors;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provide that our directors may be removed only for cause or without cause by the holders of 66 2/3% of the voting power of all then outstanding shares of voting stock;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provide that vacancies on our board of directors may be filled only by a majority of directors then in office, even though less than a quorum; </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specify that no stockholder is permitted to cumulate votes at any election of directors; </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expressly authorize our board of directors to modify, alter or repeal our amended and restated bylaws;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require holders of 66 2/3% of the voting power of all then outstanding shares of voting stock to amend specified provisions of our amended and restated certificate of incorporation except for the provision making </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14" w:type="dxa"/>
        <w:jc w:val="left"/>
        <w:tblInd w:w="0" w:type="dxa"/>
        <w:tblLayout w:type="fixed"/>
        <w:tblCellMar>
          <w:top w:w="28" w:type="dxa"/>
          <w:left w:w="28" w:type="dxa"/>
          <w:bottom w:w="28" w:type="dxa"/>
          <w:right w:w="28" w:type="dxa"/>
        </w:tblCellMar>
      </w:tblPr>
      <w:tblGrid>
        <w:gridCol w:w="124"/>
        <w:gridCol w:w="109"/>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it possible for our board of directors to issue “blank check” preferred stock, and amended and restated bylaws. </w:t>
            </w:r>
          </w:p>
        </w:tc>
      </w:tr>
    </w:tbl>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These provisions, alone or together, could delay, deter or prevent hostile takeovers and changes in control or changes in our management.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In addition, because we are incorporated in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General Risk Factors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depend on a limited number of wholesalers for a significant amount of our total revenue, and if we lose any of our significant wholesalers, our business could be harmed.</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sell our product to wholesalers and distributors and the wholesalers and distributors then resell to hospitals and clinics pursuant to contracts with us. The majority of our revenue comes from a limited number of wholesalers. In the second quarter of 2026, three wholesalers individually comprised approximately 42%, 40%, and 16%, respectively, of our total gross product revenue from continuing operations. We expect that revenue from a limited number of wholesalers will continue to account for a large portion of our revenue in the future. The loss by us of any of these wholesalers, or a material reduction in their purchases or their market pricing, could harm our business, results of operations, financial condition and prospects. In addition, if any of these wholesalers were to fail to pay us in a timely manner, it could harm our cash flow.</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 xml:space="preserve">The international aspects of our business expose us to business, regulatory, political, operational, financial and economic risks associated with doing business outside of the United States. </w:t>
      </w:r>
    </w:p>
    <w:p>
      <w:pPr>
        <w:pStyle w:val="TextBody"/>
        <w:bidi w:val="0"/>
        <w:spacing w:before="0" w:after="120"/>
        <w:ind w:left="0" w:right="0" w:firstLine="490"/>
        <w:jc w:val="both"/>
        <w:rPr>
          <w:rFonts w:ascii="Helvetica;sans-serif" w:hAnsi="Helvetica;sans-serif"/>
          <w:sz w:val="20"/>
        </w:rPr>
      </w:pPr>
      <w:r>
        <w:rPr>
          <w:rFonts w:ascii="Helvetica;sans-serif" w:hAnsi="Helvetica;sans-serif"/>
          <w:sz w:val="20"/>
        </w:rPr>
        <w:t xml:space="preserve">We currently have limited international operations of our own and have and may have in the future a number of international collaborations, including our significant collaboration with Junshi Biosciences in China. Doing business internationally involves a number of risks, including but not limited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multiple, conflicting and changing laws and regulations such as privacy regulations, tax laws, export and import restrictions, employment laws, regulatory requirements and other governmental approvals, permits and licenses, including those that affect our work with a collaboration partner in China;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failure by us or our collaboration partners to obtain and maintain regulatory approvals for the use of our product in various countries; </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additional potentially relevant third-party patent rights;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foreign CMOs may be subject to U.S. legislation, sanctions, trade restrictions, new or increasing tariffs, retaliatory trade actions due to recent or future trade tension and other regulatory requirements which could increase the cost or reduce the supply of material available to us, delay the procurement or supply of such material or have an adverse effect on our ability to secure commitments from governments to purchase our product;</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complexities and difficulties in obtaining protection and enforcing our intellectual property;</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difficulties in staffing and managing foreign operations by us or our collaboration partners;</w:t>
            </w:r>
          </w:p>
        </w:tc>
      </w:tr>
    </w:tbl>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complexities associated with managing multiple payer reimbursement regimes, government payers or patient self-pay systems by our collaboration partners; </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limits in our or our collaboration partners’ ability to penetrate international markets;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financial risks, such as longer payment cycles, difficulty collecting accounts receivable, the impact of local and regional financial crises on demand and payment for our product and exposure to foreign currency exchange rate fluctuations;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natural disasters, political and economic instability, including wars, terrorism and political unrest, outbreak of disease, boycotts, tariffs and retaliatory tariffs, curtailment of trade and other business restrictions; </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certain expenses including, among others, expenses for travel, translation and insurance;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expose us to sanctions, such as the sanctions levied by United States, E.U. and Russian regulatory bodies in connection with the war between Russia and Ukraine;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regulatory and compliance risks that relate to maintaining accurate information and control over sales and activities that may fall within the purview of the United States Foreign Corrupt Practices Act, its books and records provisions or its anti-bribery provisions. </w:t>
            </w:r>
          </w:p>
        </w:tc>
      </w:tr>
    </w:tbl>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Investors’ expectations of our performance relating to environmental, social and governance factors may impose additional costs and expose us to new risks.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Although the degree of focus on these factors changes over time, there is continued scrutiny from certain investors, employees, regulators and other stakeholders concerning corporate responsibility, specifically related to environmental, social and governance (“ESG”) factors. Some investors and investor advocacy groups may use these factors to guide investment strategies and, in some cases, investors may choose not to invest in our company if they believe our policies relating to corporate responsibility are inadequate. Third-party providers of corporate responsibility ratings and reports on companies have increased to meet growing investor demand for measurement of corporate responsibility performance, and a variety of organizations currently measure the performance of companies on such ESG topics, and the results of these assessments are widely publicized. Investors, particularly institutional investors, use these ratings to benchmark companies against their peers and if we are perceived as lagging with respect to ESG initiatives, certain investors may engage with us to improve ESG disclosures or performance and may also make voting decisions, or take other actions, to hold us and our board of directors accountable. In addition, the criteria by which our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 We also face significant costs from complying with any new ESG regulations, for example, any regulations that may relate to climate change that may apply to us in the future.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may face reputational damage in the event our corporate responsibility initiatives or objectives do not meet the standards set by our investors, stockholders, lawmakers, listing exchange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Any failure or perceived failure by us in this regard could have a material adverse effect on our reputation and on our business, share price, financial condition, or results of operations, including the sustainability of our business over time.</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collaboration partners,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So called “submarine” patents may be granted to our competitors that may significantly alter our launch timing expectations, reduce our projected market size, cause us to modify our product or process or block us from the market altogether.</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term “submarine” patent has been used in the pharmaceutical industry and in other industries to denote a patent issuing from an application that was not published, publicly known or available prior to its grant. Submarine patents add substantial risk and uncertainty to our business. Submarine patents may issue to our competitors covering our pipeline candidates and thereby cause significant market entry delay, defeat our ability to market our product or cause us to abandon development or commercialization of a molecule.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issuance of one or more submarine patents may harm our business by causing substantial delays in our ability to introduce a product candidate into the United States market.</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not identify relevant patents or may incorrectly interpret the relevance, scope or expiration of a patent, which might adversely affect our ability to develop and market our product.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or pipeline molecules. We may incorrectly determine that our product is not covered by a third-party patent.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Our failure to identify and correctly interpret relevant patents may negatively impact our ability to develop and market our product and product candidates.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If we are unable to obtain and maintain effective patent rights for our product and product candidates, we may not be able to prevent competitors from using technologies we consider important in our successful development and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commercialization of our product candidates, resulting in loss of any potential competitive advantage our patents may have otherwise afforded us.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While our principal focus in matters relating to intellectual property is to avoid infringing the valid and enforceable rights of third parties, we also rely upon a combination of patents, trade secret protection and confidentiality agreements to protect our own intellectual property related to our product candidates and development programs. Our ability to enjoy any competitive advantages afforded by our own intellectual property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 and product candidates and our ability to maintain and control the confidentiality of our trade secrets and confidential information critical to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have sought to protect our proprietary position by filing patent applications in the United States and abroad related to our product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 and product candidates. Additionally, while the basic requirements for patentability are similar across jurisdictions, each jurisdiction has its own specific requirements for patentability. We cannot guarantee that we will obtain identical or similar patent protection covering our product and product candidates in all jurisdictions where we file patent applications.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patent positions of oncology companies generally are highly uncertain and involve complex legal and factual questions. As a result, the patent applications that we own or license may fail to result in issued patents with claims that cover our product candidates in the United States or in other foreign countries for many reasons.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Even if patents do successfully issue, and even if such patents cover our product candidates, third parties may challenge their validity, enforceability or scope, which may result in such patent claims being narrowed, found unenforceable or invalidated. Our patents and patent applications, even if they are unchallenged,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In addition, changes to United States patent laws provide additional procedures for third parties to challenge the validity of issued patents based on patent applications filed after March 15, 2013. If the breadth or strength of protection provided by the patents and patent applications we hold or pursue with respect to our current or future product candidates is challenged, then it could threaten our ability to prevent competitive products using our proprietary technology. Further, because patent applications in the United States and most other countries are confidential for a period of time, typically for 18 months after filing, we cannot be certain that we were the first to either (i) file any patent application related to our product candidates or (ii) invent any of the inventions claimed in our patents or patent applications. Furthermore, for applications filed before March 16, 2013 or patents issuing from such applications, an interference proceeding can be provoked by a third party or instituted by the USPTO to determine who was the first to invent any of the subject matter covered by the patent claims of our applications and patents. As of March 16, 2013, the United States transitioned to a “first-to-file” system for deciding which party should be granted a patent when two or more patent applications claiming the same invention are filed by different parties. A third party that files a patent application in the USPTO before we do, could therefore be awarded a patent covering an invention of ours even if we had made the invention before it was made by the third party. The change to “first-to-file” from “first-to-invent” is one of the changes to the patent laws of the United States resulting from the Leahy-Smith America Invents Act (the “Leahy-Smith Act”), signed into law on September 16, 2011. Among some of the other significant changes to the patent laws are changes that limit where a patentee may file a patent infringement suit and provide opportunities for third parties to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challenge any issued patent in the USPTO.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Patents granted by the European Patent Office may be opposed by any person within nine months from the publication of their grant and, in addition, may be challenged before national courts at any time.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 xml:space="preserve">We have issued patents and have filed patent applications, which are currently pending, covering various aspects of our product and product candidates. We cannot offer any assurances about which, if any, patents will issue, the breadth of any such patent or whether any issued patents will be found invalid and unenforceable or will be threatened or infringed by third parties. Any successful actions by third parties to challenge the validity or enforceability of any patents, which may issue to us could deprive us of the ability to prevent others from using the technologies claimed in such issued patents. Further, if we encounter delays in regulatory approvals, the period of time during which we could market a product candidate under patent protection could be reduced.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Because competitors may be able to develop their own proprietary technologies, it is uncertain whether any of our issued patents or pending patent applications would cover the products of any competitors. The product and patent landscape is highly uncertain and we cannot predict whether our patent filings will afford us a competitive advantage against third parties or if our product will avoid infringement of third-party patents.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USPTO and various foreign governmental patent agencies require compliance with a number of procedural, documentary, fee payment and other provisions during the patent process.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not be able to protect our intellectual property rights throughout the world.</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Filing, prosecuting, defending and enforcing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 and our patents or other intellectual property rights may not be effective or sufficient to prevent them from competing.</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Governments of foreign countries may force us to license our patents to third parties on terms that are not commercially reasonable or acceptable to us.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If we are unable to maintain effective (non-patent) proprietary rights for our product and product candidates, we may not be able to compete effectively in our markets.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for example, our employees, consultants, scientific advisors, board members, contractors, potential collaborators and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United States and the E.U., such unauthorized patent application filings may defeat our attempts to obtain patents on our own inventions.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be subject to claims challenging the inventorship of our patent filings and other intellectual property.</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Although we are not currently aware of any claims challenging the inventorship of our patent applications or ownership of our intellectual property, 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or the third parties upon whom we depend on may be adversely affected by earthquakes, wildfires or other natural disasters and our business continuity and disaster recovery plans may not adequately protect us from a serious disaster.</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Our corporate headquarters and laboratory are located in the San Francisco Bay Area and in Southern California (Camarillo), respectively. These locations have in the past experienced severe earthquakes, floods, wildfires and other natural disasters. Wildfires have been increasing in intensity and frequency in recent years. We do not carry earthquake insurance. Earthquakes, wildfires or other natural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The continuation of the war in Ukraine and conflicts in the Middle East may exacerbate certain risks we face.</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The war between Russia and Ukraine and the global response, including the imposition of sanctions by the United States and other countries, could create or exacerbate risks facing our business. Conflicts in the Middle East may also increase the risks facing our business. We have evaluated our operations and partner contracts, and we currently do not expect either conflict to directly have a significant effect on our financial condition or results of operations. However, if the war between Russia and Ukraine or conflicts in the Middle East escalate or expand, risks that we have identified in this Quarterly Report on Form 10-Q may be materially increased. For example, if our supply arrangements or clinical operations are disrupted due to expanded sanctions or involvement of, and adverse impacts on, countries where we have operations or relationships, our business could be materially disrupted. Further, the use of cyberattacks could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79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expand as part of the ongoing conflicts, which could adversely affect our ability to maintain or enhance our cybersecurity measures. These and other risks are described more fully in this “Risk Factors” section.</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incur significant increased costs as a result of operating as a public company, and our management is required to devote substantial time to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incur significant legal, accounting and other expenses as a public company, including costs resulting from public company reporting obligations under the Securities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must devote a substantial amount of time to ensure that we maintain compliance with all of these requirements. Moreover, the reporting requirements, rules and regulations have increased our legal and financial compliance costs and make some activities more time consuming and costly. Any changes we have made and may make in the future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may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Our information technology systems, or those used by our third-party CROs or other contractors or consultants, may fail or suffer security breaches and geopolitical tensions or conflicts, such as the ongoing war in Ukraine or conflicts in the Middle East, may create a heightened risk of cyberattacks.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preclinical and clinical trial data, and personal information (collectively, “Confidential Information”) of customers and our employees and contractors. It is critical that we do so in a secure manner to maintain the confidentiality and integrity of such Confidential Information.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Despite the implementation of security measures, our information technology systems as well as those of our third-party collaborators, consultants, contractors, suppliers, and service providers, may be vulnerable to damage from physical or electronic break-ins, computer viruses, misconfigurations, “bugs” or other vulnerabilities, “phishing” attacks, malware, ransomware, denial of service and other cyberattacks or disruptive incidents that could result in unauthorized access to, use or disclosure of, corruption of, or loss of Confidential Information, and could subject us to significant liabilities and regulatory and enforcement actions, and reputational damage.</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geopolitical tensions or conflicts, such as the war between Russia and Ukraine or the conflicts in the Middle East, may create a heightened risk of cyberattacks. We have also outsourced elements of our information technology infrastructure, and as a result a number of third-party vendors may or could have access to our Confidential Information. If we or any of our third-party collaborators or service providers were to experience any material failure or security breach, it could result in a material disruption of our development programs, reputation, and business operations. For example, the loss of clinical study data from completed or ongoing clinical studies could result in delays in any regulatory approval or clearance efforts and significantly increase our costs to recover or reproduce the data, and subsequently commercialize the product.</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and certain of our service providers are from time to time subject to cyberattacks and security incidents. While we do not believe that we have experienced any significant system failure, accident or security breach to date, if we or our third-party collaborators, consultants, contractors, suppliers, or service providers were to suffer an attack or breach, for example, that resulted in the unauthorized access to or use or disclosure of Confidential Information, we may have to notify individuals, collaborators, government authorities, and the media, and may be subject to investigations, civil penalties, administrative and enforcement actions, and litigation, any of which could harm our business and reputation. Likewise, we rely on our third-party CROs and other third parties to conduct clinical studies, and similar events relating to their computer systems could also have a material adverse effect on our business. There can also be no assurance that our and our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Attacks upon information technology systems are increasing in their frequency, levels of persistence, sophistication and intensity, and are being conducted by sophisticated and organized groups and individuals with a wide range of motives and expertise. Further, the continued hybrid working environment has generally increased the attack surface available to criminals, as more companies and individuals work online and work remotely, and as such, the risk of a cybersecurity incident potentially occurring, and our investment in risk mitigations against such incidents, is increasing.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To the extent that any disruption or security breach were to result in a loss of, or damage to, our data or systems, or inappropriate or unauthorized access to or disclosure or use of Confidential Information, we could incur liability and suffer reputational harm, and the development and commercialization of our product and product candidates could be delayed. Federal, state and international laws and regulations can expose us to enforcement actions and investigations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by regulatory authorities, and potentially result in regulatory penalties, fines and significant legal liability, if our information technology security efforts fail. We may also be exposed to a risk of loss or litigation and potential liability, which could materially and adversely affect our business, results of operations or financial condition. 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are subject to governmental regulation and other legal obligations related to privacy, data protection and information security. Compliance with these requirements could result in additional costs and liabilities to us or inhibit our ability to collect and process data, and the failure to comply with such requirements could have a material adverse effect on our business, financial condition or results of operations.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Compliance with these privacy and data security requirements is rigorous and time-intensive and may increase our cost of doing business. Any failure or perceived failure by us to comply with federal, state or foreign laws or regulations, our internal policies and procedures or our contracts governing our processing of personal information could result in negative publicity, fines and penalties, litigation and reputational harm, which could materially and adversely affect our business, financial condition and results of operations.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the United States, we and our partners may be subject to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the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Additionally, federal and state consumer protection laws are increasingly being applied by the FTC and states’ attorneys general to regulate the collection, use, storage, and disclosure of personal information, through websites or otherwise, and to regulate the presentation of website content.</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 xml:space="preserve">In addition, state laws govern the privacy and security of personal information in certain circumstances, many of which differ from each other in significant ways and may not have the same requirements, thus complicating compliance efforts. By way of example, California enacted the California Consumer Privacy Act as amended by the California Privacy </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Rights Act (collectively,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business and financial condition.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In addition, the regulatory framework for the receipt, collection, processing, use, safeguarding, sharing and transfer of personal data is rapidly evolving and is likely to remain uncertain for the foreseeable future as new global privacy rules are being enacted and existing ones are being updated and strengthened. For example, on May 25, 2018, the General Data Protection Regulation (“GDPR”) took effect. The GDPR is applicable in each EEA member state and applies to companies established in the EEA as well as companies that collect and use personal data to offer goods or services to, or monitor the behavior of, individuals in the EEA, including, for example, through the conduct of clinical trials. GDPR introduces more stringent data protection obligations for processors and controllers of personal data. Among other things, the GDPR requires the establishment of a lawful basis for the processing of data, includes requirements relating to the consent of the individuals to whom the personal data relates, including detailed notices for clinical trial subjects and investigators, as well as requirements regarding the security of personal data and notification of data processing obligations or security incidents to appropriate data protection authorities or data subjects.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Penalties and fines for failure to comply with GDPR are significant, including fines of up to €20 million or 4% of the total worldwide annual turnover of a non-compliant undertaking, whichever is higher.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Further, since the beginning of 2021, we have also been subject to the United Kingdom General Data Protection Regulation and Data Protection Act 2018, which collectively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Other foreign jurisdictions are increasingly implementing or developing their own privacy regimes with complex and onerous compliance obligations and robust regulatory enforcement powers. As we continue to expand into other foreign countries and jurisdictions, we may be subject to additional laws and regulations that may affect how we conduct business.</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or other third parties to comply with such requirements or adequately address privacy and security concerns, even if unfounded, could result in additional cost and liability to us, damage our reputation, and have a material adverse effect on our business, financial condition and results of operations.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We may be negatively impacted by continued inflation.</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We may be adversely impacted by continued increases in inflation. Current and future inflation may be driven by the following factors: supply chain disruptions, increased tariffs and retaliatory tariffs, increased costs of transportation, increased input costs such as the cost of fuel, shortages, and governmental stimulus or fiscal policies. Continuing increases in inflation could impact the overall demand for our product, our costs for labor and materials and the size of any margins we are able to realize on our revenues. This would have a material and adverse impact on our business, financial position, results of operations and cash flows. Inflation may also result in higher interest rates, which in turn would result in higher interest expense related to our variable rate indebtedness.</w:t>
      </w:r>
    </w:p>
    <w:p>
      <w:pPr>
        <w:pStyle w:val="TextBody"/>
        <w:bidi w:val="0"/>
        <w:spacing w:before="0" w:after="240"/>
        <w:ind w:left="0" w:right="0" w:hanging="0"/>
        <w:jc w:val="both"/>
        <w:rPr>
          <w:rFonts w:ascii="Helvetica;sans-serif" w:hAnsi="Helvetica;sans-serif"/>
          <w:b/>
          <w:i/>
          <w:sz w:val="20"/>
        </w:rPr>
      </w:pPr>
      <w:r>
        <w:rPr>
          <w:rFonts w:ascii="Helvetica;sans-serif" w:hAnsi="Helvetica;san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240"/>
        <w:ind w:left="0" w:right="0" w:firstLine="720"/>
        <w:jc w:val="both"/>
        <w:rPr>
          <w:rFonts w:ascii="Helvetica;sans-serif" w:hAnsi="Helvetica;sans-serif"/>
          <w:b w:val="false"/>
          <w:i w:val="false"/>
          <w:caps w:val="false"/>
          <w:smallCaps w:val="false"/>
          <w:sz w:val="19"/>
        </w:rPr>
      </w:pPr>
      <w:r>
        <w:rPr>
          <w:rFonts w:ascii="Helvetica;sans-serif" w:hAnsi="Helvetica;sans-serif"/>
          <w:b w:val="false"/>
          <w:i w:val="false"/>
          <w:caps w:val="false"/>
          <w:smallCaps w:val="false"/>
          <w:sz w:val="19"/>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Helvetica;sans-serif" w:hAnsi="Helvetica;sans-serif"/>
          <w:b/>
          <w:sz w:val="20"/>
        </w:rPr>
      </w:pPr>
      <w:bookmarkStart w:id="1262" w:name="ITEM2UnregisteredSalesofEquitySecurities"/>
      <w:bookmarkStart w:id="1263" w:name="_7051be00_856c_43fe_ab29_a000c0ad5238"/>
      <w:bookmarkEnd w:id="1262"/>
      <w:bookmarkEnd w:id="1263"/>
      <w:r>
        <w:rPr>
          <w:rFonts w:ascii="Helvetica;sans-serif" w:hAnsi="Helvetica;sans-serif"/>
          <w:b/>
          <w:sz w:val="20"/>
        </w:rPr>
        <w:t>ITEM 2.              Unregistered Sales of Equity Securities and Use of Proceeds</w:t>
      </w:r>
    </w:p>
    <w:p>
      <w:pPr>
        <w:pStyle w:val="TextBody"/>
        <w:pBdr/>
        <w:shd w:fill="FFFFFF" w:val="clear"/>
        <w:bidi w:val="0"/>
        <w:spacing w:before="0" w:after="0"/>
        <w:ind w:left="0" w:right="0" w:hanging="0"/>
        <w:jc w:val="left"/>
        <w:rPr>
          <w:rFonts w:ascii="Helvetica;sans-serif" w:hAnsi="Helvetica;sans-serif"/>
          <w:b/>
          <w:sz w:val="20"/>
        </w:rPr>
      </w:pPr>
      <w:r>
        <w:rPr>
          <w:rFonts w:ascii="Helvetica;sans-serif" w:hAnsi="Helvetica;sans-serif"/>
          <w:b/>
          <w:sz w:val="20"/>
        </w:rPr>
        <w:t>Issuer Purchases of Equity Securities</w:t>
      </w:r>
    </w:p>
    <w:p>
      <w:pPr>
        <w:pStyle w:val="TextBody"/>
        <w:shd w:fill="FFFFFF" w:val="clear"/>
        <w:bidi w:val="0"/>
        <w:spacing w:before="0" w:after="0"/>
        <w:ind w:left="0" w:right="0" w:firstLine="720"/>
        <w:jc w:val="both"/>
        <w:rPr>
          <w:rFonts w:ascii="Helvetica;sans-serif" w:hAnsi="Helvetica;sans-serif"/>
          <w:sz w:val="20"/>
        </w:rPr>
      </w:pPr>
      <w:r>
        <w:rPr>
          <w:rFonts w:ascii="Helvetica;sans-serif" w:hAnsi="Helvetica;sans-serif"/>
          <w:sz w:val="20"/>
        </w:rPr>
        <w:t>We did not repurchase any of our equity securities during the second quarter ended June 30, 2026. No shares were surrendered to us in the second quarter of 2026, to satisfy minimum tax withholding obligations in connection with the vesting or exercise of stock-based awards.</w:t>
      </w:r>
    </w:p>
    <w:p>
      <w:pPr>
        <w:pStyle w:val="TextBody"/>
        <w:bidi w:val="0"/>
        <w:spacing w:before="0" w:after="0"/>
        <w:ind w:left="0" w:right="0" w:firstLine="490"/>
        <w:jc w:val="both"/>
        <w:rPr/>
      </w:pPr>
      <w:r>
        <w:rPr/>
        <w:t>​</w:t>
      </w:r>
    </w:p>
    <w:p>
      <w:pPr>
        <w:pStyle w:val="TextBody"/>
        <w:bidi w:val="0"/>
        <w:spacing w:before="0" w:after="240"/>
        <w:ind w:left="0" w:right="0" w:hanging="0"/>
        <w:jc w:val="left"/>
        <w:rPr>
          <w:rFonts w:ascii="Helvetica;sans-serif" w:hAnsi="Helvetica;sans-serif"/>
          <w:b/>
          <w:sz w:val="20"/>
        </w:rPr>
      </w:pPr>
      <w:bookmarkStart w:id="1264" w:name="ITEM3DefaultsUponSeniorSecuritiesg_51029"/>
      <w:bookmarkStart w:id="1265" w:name="_714d3e10_8f87_400a_8e3d_12907d356c24"/>
      <w:bookmarkEnd w:id="1264"/>
      <w:bookmarkEnd w:id="1265"/>
      <w:r>
        <w:rPr>
          <w:rFonts w:ascii="Helvetica;sans-serif" w:hAnsi="Helvetica;sans-serif"/>
          <w:b/>
          <w:sz w:val="20"/>
        </w:rPr>
        <w:t>ITEM  3.             Defaults Upon Senior Securities</w:t>
      </w:r>
    </w:p>
    <w:p>
      <w:pPr>
        <w:pStyle w:val="TextBody"/>
        <w:bidi w:val="0"/>
        <w:spacing w:before="0" w:after="0"/>
        <w:ind w:left="0" w:right="0" w:firstLine="490"/>
        <w:jc w:val="left"/>
        <w:rPr>
          <w:rFonts w:ascii="Helvetica;sans-serif" w:hAnsi="Helvetica;sans-serif"/>
          <w:sz w:val="20"/>
        </w:rPr>
      </w:pPr>
      <w:r>
        <w:rPr>
          <w:rFonts w:ascii="Helvetica;sans-serif" w:hAnsi="Helvetica;sans-serif"/>
          <w:sz w:val="20"/>
        </w:rPr>
        <w:t>Not applicable</w:t>
      </w:r>
    </w:p>
    <w:p>
      <w:pPr>
        <w:pStyle w:val="TextBody"/>
        <w:bidi w:val="0"/>
        <w:spacing w:before="0" w:after="240"/>
        <w:ind w:left="0" w:right="0" w:firstLine="490"/>
        <w:jc w:val="both"/>
        <w:rPr/>
      </w:pPr>
      <w:r>
        <w:rPr/>
        <w:t>​</w:t>
      </w:r>
    </w:p>
    <w:p>
      <w:pPr>
        <w:pStyle w:val="TextBody"/>
        <w:bidi w:val="0"/>
        <w:spacing w:before="0" w:after="240"/>
        <w:ind w:left="0" w:right="0" w:hanging="0"/>
        <w:jc w:val="left"/>
        <w:rPr>
          <w:rFonts w:ascii="Helvetica;sans-serif" w:hAnsi="Helvetica;sans-serif"/>
          <w:b/>
          <w:sz w:val="20"/>
        </w:rPr>
      </w:pPr>
      <w:bookmarkStart w:id="1266" w:name="ITEM4MineSafetyDisclosures_660567"/>
      <w:bookmarkStart w:id="1267" w:name="_792172ce_39f0_4d00_bcb1_824ae2eae52d"/>
      <w:bookmarkEnd w:id="1266"/>
      <w:bookmarkEnd w:id="1267"/>
      <w:r>
        <w:rPr>
          <w:rFonts w:ascii="Helvetica;sans-serif" w:hAnsi="Helvetica;sans-serif"/>
          <w:b/>
          <w:sz w:val="20"/>
        </w:rPr>
        <w:t>ITEM  4.             Mine Safety Disclosures</w:t>
      </w:r>
    </w:p>
    <w:p>
      <w:pPr>
        <w:pStyle w:val="TextBody"/>
        <w:bidi w:val="0"/>
        <w:spacing w:before="0" w:after="0"/>
        <w:ind w:left="0" w:right="0" w:firstLine="490"/>
        <w:jc w:val="both"/>
        <w:rPr>
          <w:rFonts w:ascii="Helvetica;sans-serif" w:hAnsi="Helvetica;sans-serif"/>
          <w:sz w:val="20"/>
        </w:rPr>
      </w:pPr>
      <w:r>
        <w:rPr>
          <w:rFonts w:ascii="Helvetica;sans-serif" w:hAnsi="Helvetica;san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Helvetica;sans-serif" w:hAnsi="Helvetica;sans-serif"/>
          <w:b/>
          <w:sz w:val="20"/>
        </w:rPr>
      </w:pPr>
      <w:bookmarkStart w:id="1268" w:name="ITEM5OtherInformation_658170"/>
      <w:bookmarkStart w:id="1269" w:name="_7c5902a3_114f_41c3_a4ce_ef1514aeeb7d"/>
      <w:bookmarkEnd w:id="1268"/>
      <w:bookmarkEnd w:id="1269"/>
      <w:r>
        <w:rPr>
          <w:rFonts w:ascii="Helvetica;sans-serif" w:hAnsi="Helvetica;sans-serif"/>
          <w:b/>
          <w:sz w:val="20"/>
        </w:rPr>
        <w:t>ITEM  5.             Other Information</w:t>
      </w:r>
    </w:p>
    <w:tbl>
      <w:tblPr>
        <w:tblW w:w="1116" w:type="dxa"/>
        <w:jc w:val="left"/>
        <w:tblInd w:w="0" w:type="dxa"/>
        <w:tblLayout w:type="fixed"/>
        <w:tblCellMar>
          <w:top w:w="28" w:type="dxa"/>
          <w:left w:w="28" w:type="dxa"/>
          <w:bottom w:w="28" w:type="dxa"/>
          <w:right w:w="28" w:type="dxa"/>
        </w:tblCellMar>
      </w:tblPr>
      <w:tblGrid>
        <w:gridCol w:w="124"/>
        <w:gridCol w:w="331"/>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(a)</w:t>
            </w:r>
          </w:p>
        </w:tc>
        <w:tc>
          <w:tcPr>
            <w:tcW w:w="66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None.</w:t>
            </w:r>
          </w:p>
        </w:tc>
      </w:tr>
    </w:tbl>
    <w:p>
      <w:pPr>
        <w:pStyle w:val="TextBody"/>
        <w:bidi w:val="0"/>
        <w:spacing w:before="0" w:after="240"/>
        <w:ind w:left="0" w:right="0" w:hanging="0"/>
        <w:jc w:val="left"/>
        <w:rPr>
          <w:rFonts w:ascii="Helvetica;sans-serif" w:hAnsi="Helvetica;sans-serif"/>
          <w:sz w:val="20"/>
        </w:rPr>
      </w:pPr>
      <w:r>
        <w:rPr>
          <w:rFonts w:ascii="Helvetica;sans-serif" w:hAnsi="Helvetica;sans-serif"/>
          <w:b w:val="false"/>
          <w:i w:val="false"/>
          <w:caps w:val="false"/>
          <w:smallCaps w:val="false"/>
          <w:sz w:val="20"/>
        </w:rPr>
        <w:t>(b)</w:t>
      </w:r>
      <w:r>
        <w:rPr>
          <w:rFonts w:ascii="Helvetica;sans-serif" w:hAnsi="Helvetica;sans-serif"/>
          <w:sz w:val="20"/>
        </w:rPr>
        <w:t>None.</w:t>
      </w:r>
    </w:p>
    <w:p>
      <w:pPr>
        <w:pStyle w:val="TextBody"/>
        <w:bidi w:val="0"/>
        <w:spacing w:before="0" w:after="0"/>
        <w:ind w:left="0" w:right="0" w:hanging="0"/>
        <w:jc w:val="left"/>
        <w:rPr>
          <w:rFonts w:ascii="Helvetica;sans-serif" w:hAnsi="Helvetica;sans-serif"/>
          <w:sz w:val="20"/>
        </w:rPr>
      </w:pPr>
      <w:r>
        <w:rPr>
          <w:rFonts w:ascii="Helvetica;sans-serif" w:hAnsi="Helvetica;sans-serif"/>
          <w:b w:val="false"/>
          <w:i w:val="false"/>
          <w:caps w:val="false"/>
          <w:smallCaps w:val="false"/>
          <w:sz w:val="20"/>
        </w:rPr>
        <w:t>(c)</w:t>
      </w:r>
      <w:r>
        <w:rPr>
          <w:rFonts w:ascii="Helvetica;sans-serif" w:hAnsi="Helvetica;sans-serif"/>
          <w:sz w:val="20"/>
        </w:rPr>
        <w:t>During the three months ended June 30, 2026, no director or officer of the Company adopted or terminated a “Rule 10b5-1 trading arrangement” or “non-Rule 10b5-1 trading arrangement,” as each such term is defined in Item 408(a) of Regulation S-K.</w:t>
      </w:r>
    </w:p>
    <w:p>
      <w:pPr>
        <w:pStyle w:val="TextBody"/>
        <w:bidi w:val="0"/>
        <w:spacing w:before="0" w:after="240"/>
        <w:ind w:left="0" w:right="0" w:firstLine="490"/>
        <w:jc w:val="both"/>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Helvetica;sans-serif" w:hAnsi="Helvetica;sans-serif"/>
          <w:b/>
          <w:sz w:val="18"/>
        </w:rPr>
      </w:pPr>
      <w:bookmarkStart w:id="1270" w:name="ITEM6Exhibits_857545"/>
      <w:bookmarkStart w:id="1271" w:name="_ae030fbf_8d68_4230_9de1_3d810e283e63"/>
      <w:bookmarkStart w:id="1272" w:name="INDEXTOEXHIBITS_387808"/>
      <w:bookmarkEnd w:id="1270"/>
      <w:bookmarkEnd w:id="1271"/>
      <w:bookmarkEnd w:id="1272"/>
      <w:r>
        <w:rPr>
          <w:rFonts w:ascii="Helvetica;sans-serif" w:hAnsi="Helvetica;sans-serif"/>
          <w:b/>
          <w:sz w:val="18"/>
        </w:rPr>
        <w:t>ITEM  6.             Exhibits</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Helvetica;sans-serif" w:hAnsi="Helvetica;sans-serif"/>
          <w:sz w:val="18"/>
        </w:rPr>
      </w:pPr>
      <w:r>
        <w:rPr>
          <w:rFonts w:ascii="Helvetica;sans-serif" w:hAnsi="Helvetica;sans-serif"/>
          <w:sz w:val="18"/>
        </w:rPr>
        <w:t>Reference is made to the Index to Exhibits included in this Quarterly Report on Form 10-Q.</w:t>
      </w:r>
    </w:p>
    <w:p>
      <w:pPr>
        <w:pStyle w:val="TextBody"/>
        <w:bidi w:val="0"/>
        <w:spacing w:before="0" w:after="240"/>
        <w:ind w:left="0" w:right="0" w:hanging="0"/>
        <w:jc w:val="left"/>
        <w:rPr>
          <w:rFonts w:ascii="Helvetica;sans-serif" w:hAnsi="Helvetica;sans-serif"/>
          <w:b/>
          <w:sz w:val="18"/>
        </w:rPr>
      </w:pPr>
      <w:bookmarkStart w:id="1273" w:name="IndextoExhibits"/>
      <w:bookmarkEnd w:id="1273"/>
      <w:r>
        <w:rPr>
          <w:rFonts w:ascii="Helvetica;sans-serif" w:hAnsi="Helvetica;sans-serif"/>
          <w:b/>
          <w:sz w:val="18"/>
        </w:rPr>
        <w:t>INDEX TO EXHIBITS</w:t>
      </w:r>
    </w:p>
    <w:tbl>
      <w:tblPr>
        <w:tblW w:w="10205" w:type="dxa"/>
        <w:jc w:val="left"/>
        <w:tblInd w:w="0" w:type="dxa"/>
        <w:tblLayout w:type="fixed"/>
        <w:tblCellMar>
          <w:top w:w="0" w:type="dxa"/>
          <w:left w:w="0" w:type="dxa"/>
          <w:bottom w:w="0" w:type="dxa"/>
          <w:right w:w="0" w:type="dxa"/>
        </w:tblCellMar>
      </w:tblPr>
      <w:tblGrid>
        <w:gridCol w:w="811"/>
        <w:gridCol w:w="346"/>
        <w:gridCol w:w="4932"/>
        <w:gridCol w:w="346"/>
        <w:gridCol w:w="556"/>
        <w:gridCol w:w="346"/>
        <w:gridCol w:w="691"/>
        <w:gridCol w:w="346"/>
        <w:gridCol w:w="568"/>
        <w:gridCol w:w="346"/>
        <w:gridCol w:w="917"/>
      </w:tblGrid>
      <w:tr>
        <w:trPr/>
        <w:tc>
          <w:tcPr>
            <w:tcW w:w="811"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4932"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2507" w:type="dxa"/>
            <w:gridSpan w:val="5"/>
            <w:tcBorders>
              <w:bottom w:val="single" w:sz="2" w:space="0" w:color="000000"/>
            </w:tcBorders>
            <w:tcMar>
              <w:bottom w:w="28" w:type="dxa"/>
            </w:tcMar>
            <w:vAlign w:val="center"/>
          </w:tcPr>
          <w:p>
            <w:pPr>
              <w:pStyle w:val="TableHeading"/>
              <w:bidi w:val="0"/>
              <w:spacing w:before="0" w:after="0"/>
              <w:ind w:left="0" w:right="0" w:hanging="0"/>
              <w:jc w:val="center"/>
              <w:rPr>
                <w:rFonts w:ascii="Helvetica;sans-serif" w:hAnsi="Helvetica;sans-serif"/>
                <w:b/>
                <w:sz w:val="18"/>
              </w:rPr>
            </w:pPr>
            <w:r>
              <w:rPr>
                <w:rFonts w:ascii="Helvetica;sans-serif" w:hAnsi="Helvetica;sans-serif"/>
                <w:b/>
                <w:sz w:val="18"/>
              </w:rPr>
              <w:t>Incorporated by Reference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Heading"/>
              <w:bidi w:val="0"/>
              <w:spacing w:before="0" w:after="0"/>
              <w:ind w:left="0" w:right="0" w:hanging="0"/>
              <w:jc w:val="left"/>
              <w:rPr/>
            </w:pPr>
            <w:r>
              <w:rPr/>
              <w:t>​</w:t>
            </w:r>
          </w:p>
        </w:tc>
      </w:tr>
      <w:tr>
        <w:trPr/>
        <w:tc>
          <w:tcPr>
            <w:tcW w:w="811" w:type="dxa"/>
            <w:tcBorders>
              <w:bottom w:val="single" w:sz="2" w:space="0" w:color="000000"/>
            </w:tcBorders>
            <w:tcMar>
              <w:bottom w:w="28" w:type="dxa"/>
            </w:tcMar>
            <w:vAlign w:val="center"/>
          </w:tcPr>
          <w:p>
            <w:pPr>
              <w:pStyle w:val="TableHeading"/>
              <w:bidi w:val="0"/>
              <w:spacing w:before="0" w:after="0"/>
              <w:ind w:left="0" w:right="0" w:hanging="0"/>
              <w:jc w:val="left"/>
              <w:rPr>
                <w:rFonts w:ascii="Helvetica;sans-serif" w:hAnsi="Helvetica;sans-serif"/>
                <w:b w:val="false"/>
                <w:sz w:val="18"/>
              </w:rPr>
            </w:pPr>
            <w:r>
              <w:rPr>
                <w:rFonts w:ascii="Helvetica;sans-serif" w:hAnsi="Helvetica;sans-serif"/>
                <w:b/>
                <w:sz w:val="18"/>
              </w:rPr>
              <w:t>Exhibit</w:t>
            </w:r>
            <w:r>
              <w:rPr>
                <w:rFonts w:ascii="Helvetica;sans-serif" w:hAnsi="Helvetica;sans-serif"/>
                <w:b w:val="false"/>
                <w:sz w:val="18"/>
              </w:rPr>
              <w:br/>
            </w:r>
            <w:r>
              <w:rPr>
                <w:rFonts w:ascii="Helvetica;sans-serif" w:hAnsi="Helvetica;sans-serif"/>
                <w:b/>
                <w:sz w:val="18"/>
              </w:rPr>
              <w:t>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left"/>
              <w:rPr/>
            </w:pPr>
            <w:r>
              <w:rPr/>
              <w:t>  ​ ​ ​</w:t>
            </w:r>
          </w:p>
        </w:tc>
        <w:tc>
          <w:tcPr>
            <w:tcW w:w="4932" w:type="dxa"/>
            <w:tcBorders>
              <w:bottom w:val="single" w:sz="2" w:space="0" w:color="000000"/>
            </w:tcBorders>
            <w:tcMar>
              <w:bottom w:w="28" w:type="dxa"/>
            </w:tcMar>
            <w:vAlign w:val="center"/>
          </w:tcPr>
          <w:p>
            <w:pPr>
              <w:pStyle w:val="TableHeading"/>
              <w:bidi w:val="0"/>
              <w:spacing w:before="0" w:after="0"/>
              <w:ind w:left="0" w:right="0" w:hanging="0"/>
              <w:jc w:val="left"/>
              <w:rPr>
                <w:rFonts w:ascii="Helvetica;sans-serif" w:hAnsi="Helvetica;sans-serif"/>
                <w:b/>
                <w:sz w:val="18"/>
              </w:rPr>
            </w:pPr>
            <w:r>
              <w:rPr>
                <w:rFonts w:ascii="Helvetica;sans-serif" w:hAnsi="Helvetica;sans-serif"/>
                <w:b/>
                <w:sz w:val="18"/>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left"/>
              <w:rPr/>
            </w:pPr>
            <w:r>
              <w:rPr/>
              <w:t>  ​ ​ ​</w:t>
            </w:r>
          </w:p>
        </w:tc>
        <w:tc>
          <w:tcPr>
            <w:tcW w:w="55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rFonts w:ascii="Helvetica;sans-serif" w:hAnsi="Helvetica;sans-serif"/>
                <w:b/>
                <w:sz w:val="18"/>
              </w:rPr>
            </w:pPr>
            <w:r>
              <w:rPr>
                <w:rFonts w:ascii="Helvetica;sans-serif" w:hAnsi="Helvetica;sans-serif"/>
                <w:b/>
                <w:sz w:val="18"/>
              </w:rPr>
              <w:t>Form</w:t>
            </w:r>
          </w:p>
        </w:tc>
        <w:tc>
          <w:tcPr>
            <w:tcW w:w="34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rFonts w:ascii="Helvetica;sans-serif" w:hAnsi="Helvetica;sans-serif"/>
                <w:b/>
                <w:sz w:val="18"/>
              </w:rPr>
            </w:pPr>
            <w:r>
              <w:rPr>
                <w:rFonts w:ascii="Helvetica;sans-serif" w:hAnsi="Helvetica;sans-serif"/>
                <w:b/>
                <w:sz w:val="18"/>
              </w:rPr>
              <w:t>Exhibit</w:t>
            </w:r>
          </w:p>
        </w:tc>
        <w:tc>
          <w:tcPr>
            <w:tcW w:w="34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 ​ ​</w:t>
            </w:r>
          </w:p>
        </w:tc>
        <w:tc>
          <w:tcPr>
            <w:tcW w:w="568"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rFonts w:ascii="Helvetica;sans-serif" w:hAnsi="Helvetica;sans-serif"/>
                <w:b w:val="false"/>
                <w:sz w:val="18"/>
              </w:rPr>
            </w:pPr>
            <w:r>
              <w:rPr>
                <w:rFonts w:ascii="Helvetica;sans-serif" w:hAnsi="Helvetica;sans-serif"/>
                <w:b/>
                <w:sz w:val="18"/>
              </w:rPr>
              <w:t>Date</w:t>
            </w:r>
            <w:r>
              <w:rPr>
                <w:rFonts w:ascii="Helvetica;sans-serif" w:hAnsi="Helvetica;sans-serif"/>
                <w:b w:val="false"/>
                <w:sz w:val="18"/>
              </w:rPr>
              <w:br/>
            </w:r>
            <w:r>
              <w:rPr>
                <w:rFonts w:ascii="Helvetica;sans-serif" w:hAnsi="Helvetica;sans-serif"/>
                <w:b/>
                <w:sz w:val="18"/>
              </w:rPr>
              <w:t>Filed</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left"/>
              <w:rPr/>
            </w:pPr>
            <w:r>
              <w:rPr/>
              <w:t>  ​ ​ ​</w:t>
            </w:r>
          </w:p>
        </w:tc>
        <w:tc>
          <w:tcPr>
            <w:tcW w:w="917" w:type="dxa"/>
            <w:tcBorders>
              <w:bottom w:val="single" w:sz="2" w:space="0" w:color="000000"/>
            </w:tcBorders>
            <w:tcMar>
              <w:bottom w:w="28" w:type="dxa"/>
            </w:tcMar>
            <w:vAlign w:val="center"/>
          </w:tcPr>
          <w:p>
            <w:pPr>
              <w:pStyle w:val="TableHeading"/>
              <w:bidi w:val="0"/>
              <w:spacing w:before="0" w:after="0"/>
              <w:ind w:left="0" w:right="0" w:hanging="0"/>
              <w:jc w:val="left"/>
              <w:rPr>
                <w:rFonts w:ascii="Helvetica;sans-serif" w:hAnsi="Helvetica;sans-serif"/>
                <w:b w:val="false"/>
                <w:sz w:val="18"/>
              </w:rPr>
            </w:pPr>
            <w:r>
              <w:rPr>
                <w:rFonts w:ascii="Helvetica;sans-serif" w:hAnsi="Helvetica;sans-serif"/>
                <w:b/>
                <w:sz w:val="18"/>
              </w:rPr>
              <w:t>Filed</w:t>
            </w:r>
            <w:r>
              <w:rPr>
                <w:rFonts w:ascii="Helvetica;sans-serif" w:hAnsi="Helvetica;sans-serif"/>
                <w:b w:val="false"/>
                <w:sz w:val="18"/>
              </w:rPr>
              <w:br/>
            </w:r>
            <w:r>
              <w:rPr>
                <w:rFonts w:ascii="Helvetica;sans-serif" w:hAnsi="Helvetica;sans-serif"/>
                <w:b/>
                <w:sz w:val="18"/>
              </w:rPr>
              <w:t>Herewith</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3.1</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r:id="rId2">
              <w:r>
                <w:rPr>
                  <w:rStyle w:val="InternetLink"/>
                  <w:rFonts w:ascii="Helvetica;sans-serif" w:hAnsi="Helvetica;sans-serif"/>
                  <w:b w:val="false"/>
                  <w:i w:val="false"/>
                  <w:caps w:val="false"/>
                  <w:smallCaps w:val="false"/>
                  <w:sz w:val="20"/>
                </w:rPr>
                <w:t>Amended and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8-K</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3.1</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11/13/2014</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3.2</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r:id="rId3">
              <w:r>
                <w:rPr>
                  <w:rStyle w:val="InternetLink"/>
                  <w:rFonts w:ascii="Helvetica;sans-serif" w:hAnsi="Helvetica;sans-serif"/>
                  <w:b w:val="false"/>
                  <w:i w:val="false"/>
                  <w:caps w:val="false"/>
                  <w:smallCaps w:val="false"/>
                  <w:sz w:val="20"/>
                </w:rPr>
                <w:t>Certificate of Amendment to the Amended and Restated Certificate of Incorporation of Coherus BioSciences, Inc. (the previous name of Coherus Oncology, Inc.), effective as of May 29, 2025</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8-K</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3.1</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5/30/2025</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3.3</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r:id="rId4">
              <w:r>
                <w:rPr>
                  <w:rStyle w:val="InternetLink"/>
                  <w:rFonts w:ascii="Helvetica;sans-serif" w:hAnsi="Helvetica;sans-serif"/>
                  <w:b w:val="false"/>
                  <w:i w:val="false"/>
                  <w:caps w:val="false"/>
                  <w:smallCaps w:val="false"/>
                  <w:sz w:val="20"/>
                </w:rPr>
                <w:t>Second Amended and Restated Bylaws of Coherus Oncology, Inc., effective as of May 29, 2025.</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8-K</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3.2</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5/30/2025</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4.1</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Reference is made to exhibits 3.1, 3.2 and 3.3.</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4.2</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r:id="rId5">
              <w:r>
                <w:rPr>
                  <w:rStyle w:val="InternetLink"/>
                  <w:rFonts w:ascii="Helvetica;sans-serif" w:hAnsi="Helvetica;sans-serif"/>
                  <w:b w:val="false"/>
                  <w:i w:val="false"/>
                  <w:caps w:val="false"/>
                  <w:smallCaps w:val="false"/>
                  <w:sz w:val="20"/>
                </w:rPr>
                <w:t>Form of Common Stock Certificate.</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S-1/A</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4.2</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10/24/2014</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31.1</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w:anchor="chrs-20260630xex31d1.htm">
              <w:r>
                <w:rPr>
                  <w:rStyle w:val="InternetLink"/>
                  <w:rFonts w:ascii="Helvetica;sans-serif" w:hAnsi="Helvetica;sans-serif"/>
                  <w:b w:val="false"/>
                  <w:i w:val="false"/>
                  <w:caps w:val="false"/>
                  <w:smallCaps w:val="false"/>
                  <w:sz w:val="20"/>
                </w:rPr>
                <w:t>Certification of Principal Executive Officer Required under Securities Exchange Act Rule 13a-14(a) and 15d-14(a).</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31.2</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w:anchor="chrs-20260630xex31d2.htm">
              <w:r>
                <w:rPr>
                  <w:rStyle w:val="InternetLink"/>
                  <w:rFonts w:ascii="Helvetica;sans-serif" w:hAnsi="Helvetica;sans-serif"/>
                  <w:b w:val="false"/>
                  <w:i w:val="false"/>
                  <w:caps w:val="false"/>
                  <w:smallCaps w:val="false"/>
                  <w:sz w:val="20"/>
                </w:rPr>
                <w:t>Certification of Principal Financial Officer under Securities Exchange Act Rule 13a-14(a) and 15d-14(a).</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32.1</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hyperlink w:anchor="chrs-20260630xex32d1.htm">
              <w:r>
                <w:rPr>
                  <w:rStyle w:val="InternetLink"/>
                  <w:rFonts w:ascii="Helvetica;sans-serif" w:hAnsi="Helvetica;sans-serif"/>
                  <w:b w:val="false"/>
                  <w:i w:val="false"/>
                  <w:caps w:val="false"/>
                  <w:smallCaps w:val="false"/>
                  <w:sz w:val="20"/>
                </w:rPr>
                <w:t>Certifications of Principal Executive Officer and Principal Financial Officer pursuant to 18 U.S.C. 1350 and Securities Exchange Act Rule 13a-14(b).</w:t>
              </w:r>
            </w:hyperlink>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101</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The following materials from Registrant’s Quarterly Report on Form 10-Q for the quarter ended June 30, 2026 formatted in iXBRL (Inline eXtensible Business Reporting Language) includes: (i) Condensed Consolidated Balance Sheets, (ii) Condensed Consolidated Statements of Operations and Comprehensive Income (Loss), (iii) Condensed Consolidated Statements of Stockholders’ Equity (Deficit), (iv) Condensed Consolidated Statements of Cash Flows, and (v) Notes to the Condensed Consolidated Financial Statements.</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X</w:t>
            </w:r>
          </w:p>
        </w:tc>
      </w:tr>
      <w:tr>
        <w:trPr/>
        <w:tc>
          <w:tcPr>
            <w:tcW w:w="8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104</w:t>
            </w:r>
          </w:p>
        </w:tc>
        <w:tc>
          <w:tcPr>
            <w:tcW w:w="346" w:type="dxa"/>
            <w:tcBorders/>
            <w:vAlign w:val="center"/>
          </w:tcPr>
          <w:p>
            <w:pPr>
              <w:pStyle w:val="TableContents"/>
              <w:bidi w:val="0"/>
              <w:spacing w:before="0" w:after="0"/>
              <w:ind w:left="0" w:right="0" w:hanging="0"/>
              <w:jc w:val="left"/>
              <w:rPr/>
            </w:pPr>
            <w:r>
              <w:rPr/>
              <w:t>​</w:t>
            </w:r>
          </w:p>
        </w:tc>
        <w:tc>
          <w:tcPr>
            <w:tcW w:w="493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Cover page Interactive Data File (formatted in Inline XBRL and contained in Exhibit 101).</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sz w:val="18"/>
              </w:rPr>
              <w:t>X</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Helvetica;sans-serif" w:hAnsi="Helvetica;sans-serif"/>
          <w:b/>
          <w:sz w:val="20"/>
        </w:rPr>
      </w:pPr>
      <w:bookmarkStart w:id="1274" w:name="SIGNATURES_840188"/>
      <w:bookmarkStart w:id="1275" w:name="_b2e7852d_2f88_4a28_8f4a_fea11aa14da3"/>
      <w:bookmarkEnd w:id="1274"/>
      <w:bookmarkEnd w:id="1275"/>
      <w:r>
        <w:rPr>
          <w:rFonts w:ascii="Helvetica;sans-serif" w:hAnsi="Helvetica;sans-serif"/>
          <w:b/>
          <w:sz w:val="20"/>
        </w:rPr>
        <w:t>SIGNATURES</w:t>
      </w:r>
    </w:p>
    <w:p>
      <w:pPr>
        <w:pStyle w:val="TextBody"/>
        <w:bidi w:val="0"/>
        <w:spacing w:before="0" w:after="240"/>
        <w:ind w:left="0" w:right="0" w:firstLine="490"/>
        <w:jc w:val="both"/>
        <w:rPr>
          <w:rFonts w:ascii="Helvetica;sans-serif" w:hAnsi="Helvetica;sans-serif"/>
          <w:sz w:val="20"/>
        </w:rPr>
      </w:pPr>
      <w:r>
        <w:rPr>
          <w:rFonts w:ascii="Helvetica;sans-serif" w:hAnsi="Helvetica;sans-serif"/>
          <w:sz w:val="20"/>
        </w:rPr>
        <w:t>Pursuant to the requirements of the Securities Exchange Act of 1934, the Company has duly caused this report to be signed on its behalf by the undersigned thereunto duly authorized.</w:t>
      </w:r>
    </w:p>
    <w:tbl>
      <w:tblPr>
        <w:tblW w:w="7683" w:type="dxa"/>
        <w:jc w:val="left"/>
        <w:tblInd w:w="0" w:type="dxa"/>
        <w:tblLayout w:type="fixed"/>
        <w:tblCellMar>
          <w:top w:w="0" w:type="dxa"/>
          <w:left w:w="0" w:type="dxa"/>
          <w:bottom w:w="0" w:type="dxa"/>
          <w:right w:w="0" w:type="dxa"/>
        </w:tblCellMar>
      </w:tblPr>
      <w:tblGrid>
        <w:gridCol w:w="1966"/>
        <w:gridCol w:w="346"/>
        <w:gridCol w:w="5371"/>
      </w:tblGrid>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71" w:type="dxa"/>
            <w:tcBorders/>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COHERUS ONCOLOGY, INC.</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346" w:type="dxa"/>
            <w:tcBorders/>
            <w:vAlign w:val="center"/>
          </w:tcPr>
          <w:p>
            <w:pPr>
              <w:pStyle w:val="TableContents"/>
              <w:bidi w:val="0"/>
              <w:spacing w:before="0" w:after="0"/>
              <w:ind w:left="0" w:right="0" w:hanging="0"/>
              <w:jc w:val="left"/>
              <w:rPr/>
            </w:pPr>
            <w:r>
              <w:rPr/>
              <w:t>​</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President and Chief Executive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(Principal Executive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346" w:type="dxa"/>
            <w:tcBorders/>
            <w:vAlign w:val="center"/>
          </w:tcPr>
          <w:p>
            <w:pPr>
              <w:pStyle w:val="TableContents"/>
              <w:bidi w:val="0"/>
              <w:spacing w:before="0" w:after="0"/>
              <w:ind w:left="0" w:right="0" w:hanging="0"/>
              <w:jc w:val="left"/>
              <w:rPr/>
            </w:pPr>
            <w:r>
              <w:rPr/>
              <w:t>​</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Bryan McMichael </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Bryan McMichael</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Financial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(Principal Financial Officer and Principal Accounting Officer)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sans-serif" w:hAnsi="Helvetica;sans-serif"/>
          <w:sz w:val="20"/>
        </w:rPr>
      </w:pPr>
      <w:r>
        <w:rPr>
          <w:rFonts w:ascii="Helvetica;sans-serif" w:hAnsi="Helvetica;sans-serif"/>
          <w:sz w:val="20"/>
        </w:rPr>
        <w:t>87</w:t>
      </w:r>
    </w:p>
    <w:p>
      <w:pPr>
        <w:pStyle w:val="TextBody"/>
        <w:bidi w:val="0"/>
        <w:spacing w:before="0" w:after="200"/>
        <w:ind w:left="0" w:right="0" w:hanging="0"/>
        <w:jc w:val="right"/>
        <w:rPr>
          <w:rFonts w:ascii="Helvetica;sans-serif" w:hAnsi="Helvetica;sans-serif"/>
          <w:b/>
          <w:sz w:val="20"/>
        </w:rPr>
      </w:pPr>
      <w:bookmarkStart w:id="1276" w:name="chrs-20260630xex31d1.htm"/>
      <w:bookmarkStart w:id="1277" w:name="kschrs20260630xex31d1"/>
      <w:bookmarkEnd w:id="1276"/>
      <w:bookmarkEnd w:id="1277"/>
      <w:r>
        <w:rPr>
          <w:rFonts w:ascii="Helvetica;sans-serif" w:hAnsi="Helvetica;sans-serif"/>
          <w:b/>
          <w:sz w:val="20"/>
        </w:rPr>
        <w:t>Exhibit 31.1</w:t>
      </w:r>
      <w:r>
        <w:br w:type="page"/>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CERTIFICATION OF PRINCIPAL EXECUTIVE OFFICER</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PURSUANT TO</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SECTION 13(a) OR 15(d) OF THE SECURITIES EXCHANGE ACT OF 1934</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AS ADOPTED PURSUANT TO</w:t>
      </w:r>
    </w:p>
    <w:p>
      <w:pPr>
        <w:pStyle w:val="TextBody"/>
        <w:bidi w:val="0"/>
        <w:spacing w:before="0" w:after="160"/>
        <w:ind w:left="0" w:right="0" w:hanging="0"/>
        <w:jc w:val="center"/>
        <w:rPr>
          <w:rFonts w:ascii="Helvetica;sans-serif" w:hAnsi="Helvetica;sans-serif"/>
          <w:b/>
          <w:sz w:val="20"/>
        </w:rPr>
      </w:pPr>
      <w:r>
        <w:rPr>
          <w:rFonts w:ascii="Helvetica;sans-serif" w:hAnsi="Helvetica;sans-serif"/>
          <w:b/>
          <w:sz w:val="20"/>
        </w:rPr>
        <w:t>SECTION 302 OF THE SARBANES-OXLEY ACT OF 2002</w:t>
      </w:r>
    </w:p>
    <w:p>
      <w:pPr>
        <w:pStyle w:val="TextBody"/>
        <w:bidi w:val="0"/>
        <w:spacing w:before="0" w:after="160"/>
        <w:ind w:left="0" w:right="0" w:hanging="0"/>
        <w:jc w:val="both"/>
        <w:rPr>
          <w:rFonts w:ascii="Helvetica;sans-serif" w:hAnsi="Helvetica;sans-serif"/>
          <w:sz w:val="20"/>
        </w:rPr>
      </w:pPr>
      <w:r>
        <w:rPr>
          <w:rFonts w:ascii="Helvetica;sans-serif" w:hAnsi="Helvetica;sans-serif"/>
          <w:sz w:val="20"/>
        </w:rPr>
        <w:t>I, Dennis M. Lanfear, certify that:</w:t>
      </w:r>
    </w:p>
    <w:tbl>
      <w:tblPr>
        <w:tblW w:w="6970" w:type="dxa"/>
        <w:jc w:val="left"/>
        <w:tblInd w:w="0" w:type="dxa"/>
        <w:tblLayout w:type="fixed"/>
        <w:tblCellMar>
          <w:top w:w="0" w:type="dxa"/>
          <w:left w:w="0" w:type="dxa"/>
          <w:bottom w:w="0" w:type="dxa"/>
          <w:right w:w="0" w:type="dxa"/>
        </w:tblCellMar>
      </w:tblPr>
      <w:tblGrid>
        <w:gridCol w:w="185"/>
        <w:gridCol w:w="6785"/>
      </w:tblGrid>
      <w:tr>
        <w:trPr/>
        <w:tc>
          <w:tcPr>
            <w:tcW w:w="185"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1.</w:t>
            </w:r>
          </w:p>
        </w:tc>
        <w:tc>
          <w:tcPr>
            <w:tcW w:w="6785"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 have reviewed this quarterly report on Form 10-Q of Coherus Oncology, Inc.;</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2.</w:t>
            </w:r>
          </w:p>
        </w:tc>
        <w:tc>
          <w:tcPr>
            <w:tcW w:w="10059"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3.</w:t>
            </w:r>
          </w:p>
        </w:tc>
        <w:tc>
          <w:tcPr>
            <w:tcW w:w="10056"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4.</w:t>
            </w:r>
          </w:p>
        </w:tc>
        <w:tc>
          <w:tcPr>
            <w:tcW w:w="10060"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(a)</w:t>
            </w:r>
          </w:p>
        </w:tc>
        <w:tc>
          <w:tcPr>
            <w:tcW w:w="9980"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(b)</w:t>
            </w:r>
          </w:p>
        </w:tc>
        <w:tc>
          <w:tcPr>
            <w:tcW w:w="9979"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(c)</w:t>
            </w:r>
          </w:p>
        </w:tc>
        <w:tc>
          <w:tcPr>
            <w:tcW w:w="9974"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(d)</w:t>
            </w:r>
          </w:p>
        </w:tc>
        <w:tc>
          <w:tcPr>
            <w:tcW w:w="9979"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5.</w:t>
            </w:r>
          </w:p>
        </w:tc>
        <w:tc>
          <w:tcPr>
            <w:tcW w:w="10057"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(a)</w:t>
            </w:r>
          </w:p>
        </w:tc>
        <w:tc>
          <w:tcPr>
            <w:tcW w:w="9972"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(b)</w:t>
            </w:r>
          </w:p>
        </w:tc>
        <w:tc>
          <w:tcPr>
            <w:tcW w:w="9958"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402" w:type="dxa"/>
        <w:jc w:val="center"/>
        <w:tblInd w:w="0" w:type="dxa"/>
        <w:tblLayout w:type="fixed"/>
        <w:tblCellMar>
          <w:top w:w="0" w:type="dxa"/>
          <w:left w:w="0" w:type="dxa"/>
          <w:bottom w:w="0" w:type="dxa"/>
          <w:right w:w="0" w:type="dxa"/>
        </w:tblCellMar>
      </w:tblPr>
      <w:tblGrid>
        <w:gridCol w:w="1966"/>
        <w:gridCol w:w="3436"/>
      </w:tblGrid>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1966" w:type="dxa"/>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196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Helvetica;sans-serif" w:hAnsi="Helvetica;sans-serif"/>
          <w:b/>
          <w:sz w:val="20"/>
        </w:rPr>
      </w:pPr>
      <w:bookmarkStart w:id="1278" w:name="chrs-20260630xex31d2.htm"/>
      <w:bookmarkStart w:id="1279" w:name="kschrs20260630xex31d2"/>
      <w:bookmarkEnd w:id="1278"/>
      <w:bookmarkEnd w:id="1279"/>
      <w:r>
        <w:rPr>
          <w:rFonts w:ascii="Helvetica;sans-serif" w:hAnsi="Helvetica;sans-serif"/>
          <w:b/>
          <w:sz w:val="20"/>
        </w:rPr>
        <w:t>Exhibit 31.2</w:t>
      </w:r>
      <w:r>
        <w:br w:type="page"/>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CERTIFICATION OF PRINCIPAL FINANCIAL OFFICER</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PURSUANT TO</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SECTION 13(a) OR 15(d) OF THE SECURITIES EXCHANGE ACT OF 1934</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AS ADOPTED PURSUANT TO</w:t>
      </w:r>
    </w:p>
    <w:p>
      <w:pPr>
        <w:pStyle w:val="TextBody"/>
        <w:bidi w:val="0"/>
        <w:spacing w:before="0" w:after="160"/>
        <w:ind w:left="0" w:right="0" w:hanging="0"/>
        <w:jc w:val="center"/>
        <w:rPr>
          <w:rFonts w:ascii="Helvetica;sans-serif" w:hAnsi="Helvetica;sans-serif"/>
          <w:b/>
          <w:sz w:val="20"/>
        </w:rPr>
      </w:pPr>
      <w:r>
        <w:rPr>
          <w:rFonts w:ascii="Helvetica;sans-serif" w:hAnsi="Helvetica;sans-serif"/>
          <w:b/>
          <w:sz w:val="20"/>
        </w:rPr>
        <w:t>SECTION 302 OF THE SARBANES-OXLEY ACT OF 2002</w:t>
      </w:r>
    </w:p>
    <w:p>
      <w:pPr>
        <w:pStyle w:val="TextBody"/>
        <w:bidi w:val="0"/>
        <w:spacing w:before="0" w:after="160"/>
        <w:ind w:left="0" w:right="0" w:hanging="0"/>
        <w:jc w:val="both"/>
        <w:rPr>
          <w:rFonts w:ascii="Helvetica;sans-serif" w:hAnsi="Helvetica;sans-serif"/>
          <w:sz w:val="20"/>
        </w:rPr>
      </w:pPr>
      <w:r>
        <w:rPr>
          <w:rFonts w:ascii="Helvetica;sans-serif" w:hAnsi="Helvetica;sans-serif"/>
          <w:sz w:val="20"/>
        </w:rPr>
        <w:t>I, Bryan McMichael, certify that:</w:t>
      </w:r>
    </w:p>
    <w:tbl>
      <w:tblPr>
        <w:tblW w:w="6970" w:type="dxa"/>
        <w:jc w:val="left"/>
        <w:tblInd w:w="0" w:type="dxa"/>
        <w:tblLayout w:type="fixed"/>
        <w:tblCellMar>
          <w:top w:w="0" w:type="dxa"/>
          <w:left w:w="0" w:type="dxa"/>
          <w:bottom w:w="0" w:type="dxa"/>
          <w:right w:w="0" w:type="dxa"/>
        </w:tblCellMar>
      </w:tblPr>
      <w:tblGrid>
        <w:gridCol w:w="185"/>
        <w:gridCol w:w="6785"/>
      </w:tblGrid>
      <w:tr>
        <w:trPr/>
        <w:tc>
          <w:tcPr>
            <w:tcW w:w="185"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1.</w:t>
            </w:r>
          </w:p>
        </w:tc>
        <w:tc>
          <w:tcPr>
            <w:tcW w:w="6785"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I have reviewed this quarterly report on Form 10-Q of Coherus Oncology, Inc.;</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2.</w:t>
            </w:r>
          </w:p>
        </w:tc>
        <w:tc>
          <w:tcPr>
            <w:tcW w:w="10059"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3.</w:t>
            </w:r>
          </w:p>
        </w:tc>
        <w:tc>
          <w:tcPr>
            <w:tcW w:w="10056"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4.</w:t>
            </w:r>
          </w:p>
        </w:tc>
        <w:tc>
          <w:tcPr>
            <w:tcW w:w="10060"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(a)</w:t>
            </w:r>
          </w:p>
        </w:tc>
        <w:tc>
          <w:tcPr>
            <w:tcW w:w="9980"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(b)</w:t>
            </w:r>
          </w:p>
        </w:tc>
        <w:tc>
          <w:tcPr>
            <w:tcW w:w="9979"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(c)</w:t>
            </w:r>
          </w:p>
        </w:tc>
        <w:tc>
          <w:tcPr>
            <w:tcW w:w="9974"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(d)</w:t>
            </w:r>
          </w:p>
        </w:tc>
        <w:tc>
          <w:tcPr>
            <w:tcW w:w="9979"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160"/>
              <w:jc w:val="both"/>
              <w:rPr>
                <w:rFonts w:ascii="Helvetica;sans-serif" w:hAnsi="Helvetica;sans-serif"/>
                <w:sz w:val="20"/>
              </w:rPr>
            </w:pPr>
            <w:r>
              <w:rPr>
                <w:rFonts w:ascii="Helvetica;sans-serif" w:hAnsi="Helvetica;sans-serif"/>
                <w:sz w:val="20"/>
              </w:rPr>
              <w:t>5.</w:t>
            </w:r>
          </w:p>
        </w:tc>
        <w:tc>
          <w:tcPr>
            <w:tcW w:w="10057" w:type="dxa"/>
            <w:tcBorders/>
            <w:vAlign w:val="center"/>
          </w:tcPr>
          <w:p>
            <w:pPr>
              <w:pStyle w:val="TableContents"/>
              <w:bidi w:val="0"/>
              <w:spacing w:before="0" w:after="160"/>
              <w:jc w:val="both"/>
              <w:rPr>
                <w:rFonts w:ascii="Helvetica;sans-serif" w:hAnsi="Helvetica;sans-serif"/>
                <w:sz w:val="20"/>
              </w:rPr>
            </w:pPr>
            <w:r>
              <w:rPr>
                <w:rFonts w:ascii="Helvetica;sans-serif" w:hAnsi="Helvetica;san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(a)</w:t>
            </w:r>
          </w:p>
        </w:tc>
        <w:tc>
          <w:tcPr>
            <w:tcW w:w="9972"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Helvetica;sans-serif" w:hAnsi="Helvetica;sans-serif"/>
                <w:sz w:val="20"/>
              </w:rPr>
            </w:pPr>
            <w:r>
              <w:rPr>
                <w:rFonts w:ascii="Helvetica;sans-serif" w:hAnsi="Helvetica;sans-serif"/>
                <w:sz w:val="20"/>
              </w:rPr>
              <w:t>(b)</w:t>
            </w:r>
          </w:p>
        </w:tc>
        <w:tc>
          <w:tcPr>
            <w:tcW w:w="9958" w:type="dxa"/>
            <w:tcBorders/>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052" w:type="dxa"/>
        <w:jc w:val="center"/>
        <w:tblInd w:w="0" w:type="dxa"/>
        <w:tblLayout w:type="fixed"/>
        <w:tblCellMar>
          <w:top w:w="0" w:type="dxa"/>
          <w:left w:w="0" w:type="dxa"/>
          <w:bottom w:w="0" w:type="dxa"/>
          <w:right w:w="0" w:type="dxa"/>
        </w:tblCellMar>
      </w:tblPr>
      <w:tblGrid>
        <w:gridCol w:w="1966"/>
        <w:gridCol w:w="2086"/>
      </w:tblGrid>
      <w:tr>
        <w:trPr/>
        <w:tc>
          <w:tcPr>
            <w:tcW w:w="196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Bryan McMichael</w:t>
            </w:r>
          </w:p>
        </w:tc>
      </w:tr>
      <w:tr>
        <w:trPr/>
        <w:tc>
          <w:tcPr>
            <w:tcW w:w="1966" w:type="dxa"/>
            <w:tcBorders/>
            <w:vAlign w:val="center"/>
          </w:tcPr>
          <w:p>
            <w:pPr>
              <w:pStyle w:val="TableContents"/>
              <w:bidi w:val="0"/>
              <w:spacing w:before="0" w:after="0"/>
              <w:ind w:left="0" w:right="0" w:hanging="0"/>
              <w:jc w:val="left"/>
              <w:rPr/>
            </w:pPr>
            <w:r>
              <w:rPr/>
              <w:t>​</w:t>
            </w:r>
          </w:p>
        </w:tc>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Bryan McMichael</w:t>
            </w:r>
          </w:p>
        </w:tc>
      </w:tr>
      <w:tr>
        <w:trPr/>
        <w:tc>
          <w:tcPr>
            <w:tcW w:w="196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Helvetica;sans-serif" w:hAnsi="Helvetica;sans-serif"/>
          <w:b/>
          <w:sz w:val="20"/>
        </w:rPr>
      </w:pPr>
      <w:bookmarkStart w:id="1280" w:name="chrs-20260630xex32d1.htm"/>
      <w:bookmarkStart w:id="1281" w:name="kschrs20260630xex32d1"/>
      <w:bookmarkEnd w:id="1280"/>
      <w:bookmarkEnd w:id="1281"/>
      <w:r>
        <w:rPr>
          <w:rFonts w:ascii="Helvetica;sans-serif" w:hAnsi="Helvetica;sans-serif"/>
          <w:b/>
          <w:sz w:val="20"/>
        </w:rPr>
        <w:t>Exhibit 32.1</w:t>
      </w:r>
      <w:r>
        <w:br w:type="page"/>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CERTIFICATIONS OF PRINCIPAL EXECUTIVE OFFICER AND PRINCIPAL FINANCIAL OFFICER</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PURSUANT TO</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18 U.S.C. SECTION 1350,</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AS ADOPTED PURSUANT TO</w:t>
      </w:r>
    </w:p>
    <w:p>
      <w:pPr>
        <w:pStyle w:val="TextBody"/>
        <w:bidi w:val="0"/>
        <w:spacing w:before="0" w:after="240"/>
        <w:ind w:left="0" w:right="0" w:hanging="0"/>
        <w:jc w:val="center"/>
        <w:rPr>
          <w:rFonts w:ascii="Helvetica;sans-serif" w:hAnsi="Helvetica;sans-serif"/>
          <w:b/>
          <w:sz w:val="20"/>
        </w:rPr>
      </w:pPr>
      <w:r>
        <w:rPr>
          <w:rFonts w:ascii="Helvetica;sans-serif" w:hAnsi="Helvetica;sans-serif"/>
          <w:b/>
          <w:sz w:val="20"/>
        </w:rPr>
        <w:t>SECTION 906 OF THE SARBANES-OXLEY ACT OF 2002</w:t>
      </w:r>
    </w:p>
    <w:p>
      <w:pPr>
        <w:pStyle w:val="TextBody"/>
        <w:bidi w:val="0"/>
        <w:spacing w:before="0" w:after="360"/>
        <w:ind w:left="0" w:right="0" w:firstLine="490"/>
        <w:jc w:val="both"/>
        <w:rPr>
          <w:rFonts w:ascii="Times New Roman;Times;serif" w:hAnsi="Times New Roman;Times;serif"/>
          <w:sz w:val="20"/>
        </w:rPr>
      </w:pPr>
      <w:bookmarkStart w:id="1282" w:name="_Hlk74906751"/>
      <w:bookmarkEnd w:id="1282"/>
      <w:r>
        <w:rPr>
          <w:rFonts w:ascii="Helvetica;sans-serif" w:hAnsi="Helvetica;sans-serif"/>
          <w:sz w:val="20"/>
        </w:rPr>
        <w:t>Pursuant to 18 U.S.C. Section 1350, as adopted pursuant to Section 906 of the Sarbanes-Oxley Act of 2002, the undersigned officers of Coherus Oncology, Inc. (the “</w:t>
      </w:r>
      <w:r>
        <w:rPr>
          <w:rFonts w:ascii="Helvetica;sans-serif" w:hAnsi="Helvetica;sans-serif"/>
          <w:sz w:val="20"/>
          <w:u w:val="single"/>
        </w:rPr>
        <w:t>Registrant</w:t>
      </w:r>
      <w:r>
        <w:rPr>
          <w:rFonts w:ascii="Times New Roman;Times;serif" w:hAnsi="Times New Roman;Times;serif"/>
          <w:sz w:val="20"/>
        </w:rPr>
        <w:t>”</w:t>
      </w:r>
      <w:r>
        <w:rPr>
          <w:rFonts w:ascii="Helvetica;sans-serif" w:hAnsi="Helvetica;sans-serif"/>
          <w:sz w:val="20"/>
        </w:rPr>
        <w:t>) certify that the Quarterly Report of Coherus Oncology, Inc. on Form 10-Q for the quarterly period ended June 30, 2026 (the “</w:t>
      </w:r>
      <w:r>
        <w:rPr>
          <w:rFonts w:ascii="Helvetica;sans-serif" w:hAnsi="Helvetica;sans-serif"/>
          <w:sz w:val="20"/>
          <w:u w:val="single"/>
        </w:rPr>
        <w:t>Report</w:t>
      </w:r>
      <w:r>
        <w:rPr>
          <w:rFonts w:ascii="Times New Roman;Times;serif" w:hAnsi="Times New Roman;Times;serif"/>
          <w:sz w:val="20"/>
        </w:rPr>
        <w:t>”</w:t>
      </w:r>
      <w:r>
        <w:rPr>
          <w:rFonts w:ascii="Helvetica;sans-serif" w:hAnsi="Helvetica;sans-serif"/>
          <w:sz w:val="20"/>
        </w:rPr>
        <w:t>) fully complies with the requirements of Section 13(a) or 15(d), as applicable, of the Securities Exchange Act of 1934, as amended, and that information contained in the Report fairly presents, in all material respects, the financial condition and results of operations of the Registrant.</w:t>
      </w:r>
    </w:p>
    <w:tbl>
      <w:tblPr>
        <w:tblW w:w="6078" w:type="dxa"/>
        <w:jc w:val="center"/>
        <w:tblInd w:w="0" w:type="dxa"/>
        <w:tblLayout w:type="fixed"/>
        <w:tblCellMar>
          <w:top w:w="0" w:type="dxa"/>
          <w:left w:w="0" w:type="dxa"/>
          <w:bottom w:w="0" w:type="dxa"/>
          <w:right w:w="0" w:type="dxa"/>
        </w:tblCellMar>
      </w:tblPr>
      <w:tblGrid>
        <w:gridCol w:w="1966"/>
        <w:gridCol w:w="676"/>
        <w:gridCol w:w="3436"/>
      </w:tblGrid>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w:t>
            </w:r>
          </w:p>
        </w:tc>
        <w:tc>
          <w:tcPr>
            <w:tcW w:w="34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34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President and Chief Executive Officer</w:t>
            </w:r>
          </w:p>
        </w:tc>
      </w:tr>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Bryan McMichael</w:t>
            </w:r>
          </w:p>
        </w:tc>
      </w:tr>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w:t>
            </w:r>
          </w:p>
        </w:tc>
        <w:tc>
          <w:tcPr>
            <w:tcW w:w="34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Bryan McMichael</w:t>
            </w:r>
          </w:p>
        </w:tc>
      </w:tr>
      <w:tr>
        <w:trPr/>
        <w:tc>
          <w:tcPr>
            <w:tcW w:w="19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34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Helvetica;sans-serif" w:hAnsi="Helvetica;sans-serif"/>
          <w:i/>
          <w:sz w:val="20"/>
        </w:rPr>
      </w:pPr>
      <w:r>
        <w:rPr>
          <w:rFonts w:ascii="Helvetica;sans-serif" w:hAnsi="Helvetica;sans-serif"/>
          <w:i/>
          <w:sz w:val="20"/>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egoe U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2762/000119312514409798/d820280dex31.htm" TargetMode="External"/><Relationship Id="rId3" Type="http://schemas.openxmlformats.org/officeDocument/2006/relationships/hyperlink" Target="https://www.sec.gov/Archives/edgar/data/1512762/000155837025008294/chrs-20250529xex3d1.htm" TargetMode="External"/><Relationship Id="rId4" Type="http://schemas.openxmlformats.org/officeDocument/2006/relationships/hyperlink" Target="https://www.sec.gov/Archives/edgar/data/1512762/000155837025008294/chrs-20250529xex3d2.htm" TargetMode="External"/><Relationship Id="rId5" Type="http://schemas.openxmlformats.org/officeDocument/2006/relationships/hyperlink" Target="https://www.sec.gov/Archives/edgar/data/1512762/000119312514380821/d744283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50530</Words>
  <Characters>283341</Characters>
  <CharactersWithSpaces>335442</CharactersWithSpaces>
  <Paragraphs>6276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