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ind w:right="359"/>
        <w:spacing w:after="0" w:line="219" w:lineRule="auto"/>
        <w:rPr>
          <w:sz w:val="20"/>
          <w:szCs w:val="20"/>
          <w:color w:val="auto"/>
        </w:rPr>
      </w:pPr>
      <w:r>
        <w:rPr>
          <w:rFonts w:ascii="Times New Roman" w:cs="Times New Roman" w:eastAsia="Times New Roman" w:hAnsi="Times New Roman"/>
          <w:sz w:val="18"/>
          <w:szCs w:val="18"/>
          <w:b w:val="1"/>
          <w:bCs w:val="1"/>
          <w:color w:val="auto"/>
        </w:rPr>
        <w:t> Registration No. 333-291520​</w:t>
      </w: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Prospectus dated December 8, 2025)</w:t>
      </w:r>
    </w:p>
    <w:p>
      <w:pPr>
        <w:spacing w:after="0" w:line="19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Up to $64,880,054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2068830</wp:posOffset>
            </wp:positionH>
            <wp:positionV relativeFrom="paragraph">
              <wp:posOffset>178435</wp:posOffset>
            </wp:positionV>
            <wp:extent cx="267462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462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55" w:lineRule="exact"/>
        <w:rPr>
          <w:sz w:val="24"/>
          <w:szCs w:val="24"/>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previously entered into a sales agreement with Cowen and Company, LLC, dated as of November 8, 2022 and as amended on May 15, 2023 and September 11, 2023, which was assigned to TD Securities (USA) LLC, or TD Cowen, relating to shares of our common stock, $0.0001 par value per share, offered by this prospectus supplement and the accompanying prospectus. The amendment to the sales agreement, dated May 15, 2023, or Amendment No. 1, reduced the aggregate offering price under the sales agreement from $150,000,000 to $63,750,000. The second amendment to the Sales Agreement, or Amendment No. 2, dated September 11, 2023, increased the aggregate offering price under the sales agreement from $63,750,000 to $92,500,000. Through the date of this prospectus supplement, we have issued 5,126,650 shares of common stock pursuant to the sales agreement for gross proceeds of $27,619,946. As of the date of this prospectus supplement, $64,880,054 of shares of common stock remains available for sale under the sales agreement.</w:t>
      </w:r>
    </w:p>
    <w:p>
      <w:pPr>
        <w:spacing w:after="0" w:line="127" w:lineRule="exact"/>
        <w:rPr>
          <w:sz w:val="24"/>
          <w:szCs w:val="24"/>
          <w:color w:val="auto"/>
        </w:rPr>
      </w:pPr>
    </w:p>
    <w:p>
      <w:pPr>
        <w:jc w:val="both"/>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“CHRS.” On January 22, 2026, the last reported sale price of our common stock on the Nasdaq Global Market was $1.59 per share.</w:t>
      </w:r>
    </w:p>
    <w:p>
      <w:pPr>
        <w:spacing w:after="0" w:line="81" w:lineRule="exact"/>
        <w:rPr>
          <w:sz w:val="24"/>
          <w:szCs w:val="24"/>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sales agreement, TD Cowen may sell the common stock by any methods deemed to be an “at the market” offering as defined in Rule 415 promulgated under the Securities Act of 1933, as amended, or the Securities Act, including sales made directly on the Nasdaq Global Market, or as otherwise agreed upon by TD Cowen and us. TD Cowen is not required to sell any specific amount of securities, but will act as sales agent using its commercially reasonable efforts consistent with its normal trading and sales practices, on mutually agreed terms between TD Cowen and us. There is no arrangement for funds to be received in any escrow, trust or similar arrangement.</w:t>
      </w:r>
    </w:p>
    <w:p>
      <w:pPr>
        <w:spacing w:after="0" w:line="121" w:lineRule="exact"/>
        <w:rPr>
          <w:sz w:val="24"/>
          <w:szCs w:val="24"/>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agreed to reimburse TD Cowen for certain of its out-of-pocket expenses. We have also agreed to provide indemnification and contribution to TD Cowen with respect to certain liabilities, including liabilities under the Securities Act or the Securities Exchange Act of 1934, as amended,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141605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a high degree of risk. Before making an investment decision, please read the information under “Risk Factors” beginning on page </w:t>
      </w:r>
      <w:r>
        <w:rPr>
          <w:rFonts w:ascii="Times New Roman" w:cs="Times New Roman" w:eastAsia="Times New Roman" w:hAnsi="Times New Roman"/>
          <w:sz w:val="18"/>
          <w:szCs w:val="18"/>
          <w:b w:val="1"/>
          <w:bCs w:val="1"/>
          <w:u w:val="single" w:color="auto"/>
          <w:color w:val="0000EE"/>
        </w:rPr>
        <w:t>S-6</w:t>
      </w:r>
      <w:r>
        <w:rPr>
          <w:rFonts w:ascii="Times New Roman" w:cs="Times New Roman" w:eastAsia="Times New Roman" w:hAnsi="Times New Roman"/>
          <w:sz w:val="18"/>
          <w:szCs w:val="18"/>
          <w:b w:val="1"/>
          <w:bCs w:val="1"/>
          <w:color w:val="auto"/>
        </w:rPr>
        <w:t xml:space="preserve"> of this prospectus supplement and in the documents incorporated by reference into this prospectus supplement.</w:t>
      </w:r>
    </w:p>
    <w:p>
      <w:pPr>
        <w:spacing w:after="0" w:line="103" w:lineRule="exact"/>
        <w:rPr>
          <w:sz w:val="24"/>
          <w:szCs w:val="24"/>
          <w:color w:val="auto"/>
        </w:rPr>
      </w:pPr>
    </w:p>
    <w:p>
      <w:pPr>
        <w:ind w:left="1260" w:right="7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0" w:lineRule="exact"/>
        <w:rPr>
          <w:sz w:val="24"/>
          <w:szCs w:val="24"/>
          <w:color w:val="auto"/>
        </w:rPr>
      </w:pPr>
    </w:p>
    <w:p>
      <w:pPr>
        <w:spacing w:after="0" w:line="38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TD Cowen</w:t>
      </w:r>
    </w:p>
    <w:p>
      <w:pPr>
        <w:sectPr>
          <w:pgSz w:w="11900" w:h="16838" w:orient="portrait"/>
          <w:cols w:equalWidth="0" w:num="1">
            <w:col w:w="9879"/>
          </w:cols>
          <w:pgMar w:left="580" w:top="205" w:right="1440" w:bottom="1440" w:gutter="0" w:footer="0" w:header="0"/>
        </w:sectPr>
      </w:pPr>
    </w:p>
    <w:p>
      <w:pPr>
        <w:spacing w:after="0" w:line="22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January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262890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639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line="313" w:lineRule="auto"/>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39" w:firstLine="3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in two parts. The first part is this prospectus supplement, which describes the specific terms of this offering of our common stock and also adds to and updates the information contained in the accompanying prospectus and the documents incorporated by reference into this prospectus supplement and the accompanying prospectus. The second part is the accompanying prospectus dated December 8, 2025, included in our registration statement on </w:t>
      </w:r>
      <w:hyperlink r:id="rId25">
        <w:r>
          <w:rPr>
            <w:rFonts w:ascii="Times New Roman" w:cs="Times New Roman" w:eastAsia="Times New Roman" w:hAnsi="Times New Roman"/>
            <w:sz w:val="18"/>
            <w:szCs w:val="18"/>
            <w:u w:val="single" w:color="auto"/>
            <w:color w:val="0000EE"/>
          </w:rPr>
          <w:t>Form S-3 (File No. 333-291520)</w:t>
        </w:r>
      </w:hyperlink>
      <w:r>
        <w:rPr>
          <w:rFonts w:ascii="Times New Roman" w:cs="Times New Roman" w:eastAsia="Times New Roman" w:hAnsi="Times New Roman"/>
          <w:sz w:val="18"/>
          <w:szCs w:val="18"/>
          <w:color w:val="auto"/>
        </w:rPr>
        <w:t>, along with the documents incorporated by reference therein, which provides more general information, some of which may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(the “SEC”) before the date of this prospectus supplement, on the other hand, you should rely on the information contained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33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that we filed with the SEC. Under this shelf registration process, we may offer from time to time various securities, of which this offering of shares of our common stock is a part. Such registration statement also includes exhibits that provide more detail on the matters discussed in this prospectus supplement and the accompanying prospectus. You should read this prospectus supplement, the accompanying prospectus, including the information incorporated by reference herein and therein, and the exhibits filed with the SEC in their entirety before making an investment decision.</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have not, and TD Cowen has not, authorized anyone to provide you with information, or to make any representation, different from that contained or incorporated by reference in this prospectus supplement and the accompanying prospectus. We and TD Cowen take no responsibility for, and can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is accurate only as of the respective dates of those documents. Our business, financial condition, results of operations and prospects may have changed since those dates.</w:t>
      </w:r>
    </w:p>
    <w:p>
      <w:pPr>
        <w:spacing w:after="0" w:line="11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are not, and TD Cowen is not, making an offer to sell our common stock in any jurisdiction where the offer or sale is not permitted. Neither this prospectus supplement nor the accompanying prospectus constitute, and may not be used in connection with, an offer to sell, or a solicitation of an offer to buy, any securities offered by this prospectus supplement by any person in any jurisdiction in which it is unlawful for such person to make such an offer or solicitation. You must comply with all applicable laws and regulations in force in any applicable jurisdiction and you must obtain any consent, approval or permission required by you for the purchase, offer or sale of the common stock under the laws and regulations in force in the jurisdiction to which you are subject or in which you make your purchase, offer or sale, and neither we nor TD Cowen will have any responsibility therefor. When we refer to “Coherus,” “we,” “our,” “us” and the “Company” in this prospectus supplement, we mean Coherus Oncology, Inc. and its consolidated subsidiaries, unless otherwise specified. When we refer to “you,” we mean the potential holders of the applicable series of securities.</w:t>
      </w:r>
    </w:p>
    <w:p>
      <w:pPr>
        <w:spacing w:after="0" w:line="333"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Coherus Oncology, our logo and our other trade names, trademarks or service marks appearing in this prospectus supplement and documents incorporated herein by reference are the property of Coherus. This prospectus supplement and the documents incorporated by reference in this prospectus supplement also</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 xml:space="preserve">contain trademarks, trade names and service marks of other companies, which are the property of their respective owners. Solely for convenience, trademarks, trade names and service marks referred to in this prospectus supplement and the documents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contain industry and market data obtained from periodic industry publications, third-party surveys and studies, and government and industry sources. Industry publications and surveys generally state that the information contained therein has been obtained from sources believed to be reliable. Although we believe the industry and market data to be reliable as of the date of this prospectus supplement,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Each publication, study and report speaks as of its original publication date (and not as of the date of this prospectus supplement). In addition, we do not know all of the assumptions regarding general economic conditions or growth that were used in preparing the forecasts from the sources replied upon or cited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highlights certain information about us, this offering and selected information contained elsewhere in or incorporated by reference into this prospectus supplement or the accompanying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and the accompanying prospectus, including the information incorporated by herein and therein, which are described under the heading “Where You Can Find More Information; Incorporation by Reference” in this prospectus supplement. You should also carefully consider the matters discussed in the sections in this prospectus supplement and in the accompanying prospectus titled “Risk Factors” and the other information that we incorporate by reference into this prospectus supplement, including the section </w:t>
      </w:r>
      <w:hyperlink r:id="rId29">
        <w:r>
          <w:rPr>
            <w:rFonts w:ascii="Times New Roman" w:cs="Times New Roman" w:eastAsia="Times New Roman" w:hAnsi="Times New Roman"/>
            <w:sz w:val="18"/>
            <w:szCs w:val="18"/>
            <w:i w:val="1"/>
            <w:iCs w:val="1"/>
            <w:color w:val="auto"/>
          </w:rPr>
          <w:t xml:space="preserve">titled “Risk Factors” in our </w:t>
        </w:r>
        <w:r>
          <w:rPr>
            <w:rFonts w:ascii="Times New Roman" w:cs="Times New Roman" w:eastAsia="Times New Roman" w:hAnsi="Times New Roman"/>
            <w:sz w:val="18"/>
            <w:szCs w:val="18"/>
            <w:i w:val="1"/>
            <w:iCs w:val="1"/>
            <w:u w:val="single" w:color="auto"/>
            <w:color w:val="0000EE"/>
          </w:rPr>
          <w:t>Quarterly Report on Form 10-Q for the quarterly period ended September 30,</w:t>
        </w:r>
      </w:hyperlink>
    </w:p>
    <w:p>
      <w:pPr>
        <w:spacing w:after="0" w:line="6" w:lineRule="exact"/>
        <w:rPr>
          <w:sz w:val="20"/>
          <w:szCs w:val="20"/>
          <w:color w:val="auto"/>
        </w:rPr>
      </w:pPr>
    </w:p>
    <w:p>
      <w:pPr>
        <w:ind w:left="1280"/>
        <w:spacing w:after="0"/>
        <w:rPr>
          <w:rFonts w:ascii="Times New Roman" w:cs="Times New Roman" w:eastAsia="Times New Roman" w:hAnsi="Times New Roman"/>
          <w:sz w:val="18"/>
          <w:szCs w:val="18"/>
          <w:i w:val="1"/>
          <w:iCs w:val="1"/>
          <w:u w:val="single" w:color="auto"/>
          <w:color w:val="0000EE"/>
        </w:rPr>
      </w:pPr>
      <w:hyperlink r:id="rId29">
        <w:r>
          <w:rPr>
            <w:rFonts w:ascii="Times New Roman" w:cs="Times New Roman" w:eastAsia="Times New Roman" w:hAnsi="Times New Roman"/>
            <w:sz w:val="18"/>
            <w:szCs w:val="18"/>
            <w:i w:val="1"/>
            <w:iCs w:val="1"/>
            <w:u w:val="single" w:color="auto"/>
            <w:color w:val="0000EE"/>
          </w:rPr>
          <w:t>2025.</w:t>
        </w:r>
      </w:hyperlink>
    </w:p>
    <w:p>
      <w:pPr>
        <w:spacing w:after="0" w:line="1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80" w:right="699" w:firstLine="360"/>
        <w:spacing w:after="0" w:line="244" w:lineRule="auto"/>
        <w:rPr>
          <w:sz w:val="20"/>
          <w:szCs w:val="20"/>
          <w:color w:val="auto"/>
        </w:rPr>
      </w:pPr>
      <w:r>
        <w:rPr>
          <w:rFonts w:ascii="Times New Roman" w:cs="Times New Roman" w:eastAsia="Times New Roman" w:hAnsi="Times New Roman"/>
          <w:sz w:val="18"/>
          <w:szCs w:val="18"/>
          <w:color w:val="auto"/>
        </w:rPr>
        <w:t>We are a fully integrated commercial -stage innovative oncology company with an approved next-generation PD- 1 inhibitor, LOQTORZI®, and a pipeline that includes two mid- stage clinical candidates targeting liver, lung, head &amp; neck, and other cancers. Our strategy is to expand the use of LOQTORZI in nasopharyngeal cancer (NPC) and advance the development of new indications for LOQTORZI in combination with both our pipeline candidates as well as our industry partners, driving synergies from proprietary combinations, including first-in-class anticancer agents.</w:t>
      </w:r>
    </w:p>
    <w:p>
      <w:pPr>
        <w:spacing w:after="0" w:line="114" w:lineRule="exact"/>
        <w:rPr>
          <w:sz w:val="20"/>
          <w:szCs w:val="20"/>
          <w:color w:val="auto"/>
        </w:rPr>
      </w:pPr>
    </w:p>
    <w:p>
      <w:pPr>
        <w:ind w:left="1280" w:right="519" w:firstLine="360"/>
        <w:spacing w:after="0" w:line="244" w:lineRule="auto"/>
        <w:rPr>
          <w:sz w:val="20"/>
          <w:szCs w:val="20"/>
          <w:color w:val="auto"/>
        </w:rPr>
      </w:pPr>
      <w:r>
        <w:rPr>
          <w:rFonts w:ascii="Times New Roman" w:cs="Times New Roman" w:eastAsia="Times New Roman" w:hAnsi="Times New Roman"/>
          <w:sz w:val="18"/>
          <w:szCs w:val="18"/>
          <w:color w:val="auto"/>
        </w:rPr>
        <w:t>We were incorporated in the State of Delaware in September 2010 under the name BioGenerics, Inc. We subsequently changed the name of the corporation in April 2012 to Coherus BioSciences, Inc. On May 29, 2025 we changed our corporate name to Coherus Oncology, Inc. to better align with our exclusive focus on proprietary innovative immuno-oncology medicines following the completion of the recent divestitures of our biosimilar businesses and the transition to an exclusive focus on immuno- oncology. Our principal executive offices are located at 333 Twin Dolphin Drive, Suite 600, Redwood City, California 94065, and our telephone number is (650) 649-3530. Our website address is https://www.coherus.com. The information contained in or that can be accessed through our website is not part of this prospectus supplement.</w:t>
      </w:r>
    </w:p>
    <w:p>
      <w:pPr>
        <w:spacing w:after="0" w:line="3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Preliminary Unaudited Financial Results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Set forth below are certain preliminary unaudited financial results for the three months and year ended</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84" w:lineRule="exact"/>
        <w:rPr>
          <w:sz w:val="20"/>
          <w:szCs w:val="20"/>
          <w:color w:val="auto"/>
        </w:rPr>
      </w:pPr>
    </w:p>
    <w:p>
      <w:pPr>
        <w:ind w:left="1820" w:right="49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continuing operations for the three months ended December 31, 2025 is estimated to be approximately $12.7 million, compared to $7.7 million for the corresponding period of 2024.</w:t>
      </w:r>
    </w:p>
    <w:p>
      <w:pPr>
        <w:spacing w:after="0" w:line="53"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from continuing operations for the year ended December 31, 2025 is estimated to be $42.2 million, compared to $26.4 million for the year ended December 31, 2024.</w:t>
      </w:r>
    </w:p>
    <w:p>
      <w:pPr>
        <w:spacing w:after="0" w:line="53" w:lineRule="exact"/>
        <w:rPr>
          <w:rFonts w:ascii="Times New Roman" w:cs="Times New Roman" w:eastAsia="Times New Roman" w:hAnsi="Times New Roman"/>
          <w:sz w:val="18"/>
          <w:szCs w:val="18"/>
          <w:color w:val="auto"/>
        </w:rPr>
      </w:pPr>
    </w:p>
    <w:p>
      <w:pPr>
        <w:ind w:left="1820" w:right="579" w:hanging="182"/>
        <w:spacing w:after="0" w:line="261" w:lineRule="auto"/>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as of December 31, 2025 are estimated to be approximately $172.1 million, which includes collections related to a transition services agreement that will be applied to associated payables and accrued liabilities, and which we expect will be sufficient to fund our operations through the end of 2026.</w:t>
      </w:r>
    </w:p>
    <w:p>
      <w:pPr>
        <w:spacing w:after="0" w:line="112"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The preliminary unaudited financial results as of and for the three months and year ended December 31, 2025 (the “preliminary financial information”) are preliminary and were prepared by our management, based upon our estimates, a number of assumptions and currently available information, and are subject to revision based upon, among other things, quarter-end closing procedures and/or adjustments, the completion of our financial statements and other operational procedures. This preliminary financial information is the responsibility of our management and has been prepared in good faith on a consistent basis with prior periods. However, we have not completed our financial closing procedures as of or for the year ended December 31, 2025, and our actual results could be materially different from the preliminary financial information provided above. Our independent registered public accounting firm, Ernst &amp; Young LLP, has not audited, reviewed, examined, compiled nor applied agreed-upon procedures with respect to the accompanying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9" w:lineRule="auto"/>
        <w:rPr>
          <w:sz w:val="20"/>
          <w:szCs w:val="20"/>
          <w:color w:val="auto"/>
        </w:rPr>
      </w:pPr>
      <w:r>
        <w:rPr>
          <w:rFonts w:ascii="Times New Roman" w:cs="Times New Roman" w:eastAsia="Times New Roman" w:hAnsi="Times New Roman"/>
          <w:sz w:val="18"/>
          <w:szCs w:val="18"/>
          <w:color w:val="auto"/>
        </w:rPr>
        <w:t>preliminary financial information and, accordingly, Ernst &amp; Young LLP does not express an opinion or any other form of assurance with respect thereto. Ernst &amp; Young LLP report incorporated by reference into this prospectus supplement and the accompanying prospectus relates to the Company’s previously issued financial statements. It does not extend to the preliminary financial information and should not be read to do so.</w:t>
      </w:r>
    </w:p>
    <w:p>
      <w:pPr>
        <w:spacing w:after="0" w:line="335" w:lineRule="exact"/>
        <w:rPr>
          <w:sz w:val="20"/>
          <w:szCs w:val="20"/>
          <w:color w:val="auto"/>
        </w:rPr>
      </w:pPr>
    </w:p>
    <w:p>
      <w:pPr>
        <w:ind w:left="1280" w:right="559" w:firstLine="360"/>
        <w:spacing w:after="0" w:line="256" w:lineRule="auto"/>
        <w:rPr>
          <w:sz w:val="20"/>
          <w:szCs w:val="20"/>
          <w:color w:val="auto"/>
        </w:rPr>
      </w:pPr>
      <w:r>
        <w:rPr>
          <w:rFonts w:ascii="Times New Roman" w:cs="Times New Roman" w:eastAsia="Times New Roman" w:hAnsi="Times New Roman"/>
          <w:sz w:val="18"/>
          <w:szCs w:val="18"/>
          <w:color w:val="auto"/>
        </w:rPr>
        <w:t>During the course of the preparation of our financial statements and related notes as of and for the three months and year ended December 31, 2025 we may identify items that would require us to make material adjustments to this preliminary financial information. As a result, prospective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and reviewed by Ernst &amp; Young LLP.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p>
      <w:pPr>
        <w:ind w:left="1280" w:right="120"/>
        <w:spacing w:after="0" w:line="657" w:lineRule="auto"/>
        <w:rPr>
          <w:sz w:val="20"/>
          <w:szCs w:val="20"/>
          <w:color w:val="auto"/>
        </w:rPr>
      </w:pPr>
      <w:r>
        <w:rPr>
          <w:rFonts w:ascii="Times New Roman" w:cs="Times New Roman" w:eastAsia="Times New Roman" w:hAnsi="Times New Roman"/>
          <w:sz w:val="18"/>
          <w:szCs w:val="18"/>
          <w:color w:val="auto"/>
        </w:rPr>
        <w:t>Common stock offered by us Plan of Distribution</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60" w:right="40" w:hanging="179"/>
        <w:spacing w:after="0" w:line="282" w:lineRule="auto"/>
        <w:rPr>
          <w:sz w:val="20"/>
          <w:szCs w:val="20"/>
          <w:color w:val="auto"/>
        </w:rPr>
      </w:pPr>
      <w:r>
        <w:rPr>
          <w:rFonts w:ascii="Times New Roman" w:cs="Times New Roman" w:eastAsia="Times New Roman" w:hAnsi="Times New Roman"/>
          <w:sz w:val="18"/>
          <w:szCs w:val="18"/>
          <w:color w:val="auto"/>
        </w:rPr>
        <w:t>Symbol on the Nasdaq Global Market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$64,880,054.</w:t>
      </w:r>
    </w:p>
    <w:p>
      <w:pPr>
        <w:spacing w:after="0" w:line="54" w:lineRule="exact"/>
        <w:rPr>
          <w:sz w:val="20"/>
          <w:szCs w:val="20"/>
          <w:color w:val="auto"/>
        </w:rPr>
      </w:pPr>
    </w:p>
    <w:p>
      <w:pPr>
        <w:ind w:right="579"/>
        <w:spacing w:after="0" w:line="266" w:lineRule="auto"/>
        <w:rPr>
          <w:sz w:val="20"/>
          <w:szCs w:val="20"/>
          <w:color w:val="auto"/>
        </w:rPr>
      </w:pPr>
      <w:r>
        <w:rPr>
          <w:rFonts w:ascii="Times New Roman" w:cs="Times New Roman" w:eastAsia="Times New Roman" w:hAnsi="Times New Roman"/>
          <w:sz w:val="18"/>
          <w:szCs w:val="18"/>
          <w:color w:val="auto"/>
        </w:rPr>
        <w:t xml:space="preserve">“At the market offering” that may be made from time to time through our sales agent, TD Cowen. See “Plan of Distribution” on page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 xml:space="preserve"> of this prospectus supplement.</w:t>
      </w:r>
    </w:p>
    <w:p>
      <w:pPr>
        <w:spacing w:after="0" w:line="68" w:lineRule="exact"/>
        <w:rPr>
          <w:sz w:val="20"/>
          <w:szCs w:val="20"/>
          <w:color w:val="auto"/>
        </w:rPr>
      </w:pPr>
    </w:p>
    <w:p>
      <w:pPr>
        <w:ind w:right="659"/>
        <w:spacing w:after="0" w:line="282" w:lineRule="auto"/>
        <w:rPr>
          <w:sz w:val="20"/>
          <w:szCs w:val="20"/>
          <w:color w:val="auto"/>
        </w:rPr>
      </w:pPr>
      <w:r>
        <w:rPr>
          <w:rFonts w:ascii="Times New Roman" w:cs="Times New Roman" w:eastAsia="Times New Roman" w:hAnsi="Times New Roman"/>
          <w:sz w:val="18"/>
          <w:szCs w:val="18"/>
          <w:color w:val="auto"/>
        </w:rPr>
        <w:t xml:space="preserve">We intend to use the net proceeds from this offering, if any, for general corporate purposes. See “Use of Proceeds” on page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739"/>
        <w:spacing w:after="0" w:line="258"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supplement, the accompanying prospectus, and the documents incorporated by reference in this prospectus supplement and the accompanying prospectus for a discussion of factors to consider before deciding to purchase shares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“CHRS”</w:t>
      </w:r>
    </w:p>
    <w:p>
      <w:pPr>
        <w:spacing w:after="0" w:line="263"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under the section captioned</w:t>
      </w:r>
    </w:p>
    <w:p>
      <w:pPr>
        <w:spacing w:after="0" w:line="18"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i w:val="1"/>
          <w:iCs w:val="1"/>
          <w:color w:val="auto"/>
        </w:rPr>
        <w:t>“Risk Factors” contained in our most recent annual report on Form 10-K and quarterly report on Form 10-Q, as updated by our subsequent filings under the Exchange Act, each of which is incorporated herein by reference, and which may be amended, supplemented or superseded from time to time by other reports we file with the SEC in the future. There may be other unknown or unpredictable economic, business, competitive, regulatory or other factors that could have material adverse effects on our future results. If any of these risks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90"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intend to use the net proceeds from this offering for general corporate purposes, which may include, among other things, increasing our working capital and funding research and development, commercial activities,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To the extent the price per share of common stock being offered in this offering is higher than the net tangible book value per share of our outstanding common stock at the time you are purchasing shares in this offering, you will experience immediate dilution, and such dilution may be substantial.</w:t>
      </w:r>
    </w:p>
    <w:p>
      <w:pPr>
        <w:spacing w:after="0" w:line="8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Additionally, 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1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exercise or settlement of outstanding warrants, convertible notes and equity awards, or sale of shares under our employee stock purchase plan, would also result in further dilution of your investment.</w:t>
      </w:r>
    </w:p>
    <w:p>
      <w:pPr>
        <w:spacing w:after="0" w:line="144"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of common stock we will issue under the sales agreement, at any one time or in total, is uncertain.</w:t>
      </w:r>
    </w:p>
    <w:p>
      <w:pPr>
        <w:spacing w:after="0" w:line="9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our sales agent at any time throughout the term of the sales agreement. The per share price of the shares of common stock that are sold by the sales agent after delivering a placement notice will fluctuate based on the market price of our common stock during the sales period and limits we set with our sales agent. Because the price per share of each share of common stock sold will fluctuate based on the market price of our common stock during the sales period, it is not possible at this stage to predict the number of shares of common stock that will ultimately be issued.</w:t>
      </w:r>
    </w:p>
    <w:p>
      <w:pPr>
        <w:spacing w:after="0" w:line="191"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purchase shares at different times will likely pay different prices.</w:t>
      </w:r>
    </w:p>
    <w:p>
      <w:pPr>
        <w:spacing w:after="0" w:line="9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therefore may experience different outcomes in their investment results. Although we will act in good faith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in the best interests of the Company, we will have discretion, subject to market demand, to vary the timing, prices and number of shares sold. In addition, subject to any restrictions we may place in any applicable placement notice delivered to TD Cowen, there is no minimum or maximum sales price for shares to be sold in this offering. Investors may experience a decline in the value of their shares as a result of share sales made at prices lower than the prices they paid.</w:t>
      </w:r>
    </w:p>
    <w:p>
      <w:pPr>
        <w:spacing w:after="0" w:line="179"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preliminary financial results included in this prospectus supplement are based on information currently available to management and are subject to change.</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preliminary estimated financial results contained in “Prospectus Supplement Summary — Recent Developments — Preliminary Unaudited Financial Results” represents only preliminary financial results and is based on information available to management as of the date of this prospectus supplement. Our actual financial results as of and for the three months and year ended December 31, 2025 are subject to the completion of our financial statements as of such date and such period. Our actual financial results as of and for the year ended December 31, 2025 may differ from the preliminary estimated financial results we have provided as a result of completion of our final adjustments, review by our independent registered public accountants and other developments arising between now and the time that our financial results for such period are finalized.</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preliminary estimated financial information included in this prospectus supplement has been prepared by, and is the responsibility of, our management. Ernst &amp; Young LLP, our independent registered public accounting firm, has not audited, reviewed, examined, compiled, nor applied agreed-upon procedures with respect to the preliminary financial information. Accordingly, Ernst &amp; Young LLP does not express an opinion or any other form of assurance with respect thereto. Complete results as of for the year ended December 31, 2025 will be included in our Annual Report on Form 10-K for the period ended December 31, 2025. See the other risks described in this section and “Cautionary Note Regarding Forward-Looking Statements” for additional information regarding factors that could result in differences between these preliminary and the actual financial results we will report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documents incorporated herein by reference contain forward-looking statements, within the meaning of the Private Securities Litigation Reform Act of 1995, which reflect our current views with respect to, among other things, our operations and financial performance. Any statements that are not statements of historical facts contained in this prospectus supplement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of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statements about:</w:t>
      </w:r>
    </w:p>
    <w:p>
      <w:pPr>
        <w:spacing w:after="0" w:line="83" w:lineRule="exact"/>
        <w:rPr>
          <w:sz w:val="20"/>
          <w:szCs w:val="20"/>
          <w:color w:val="auto"/>
        </w:rPr>
      </w:pPr>
    </w:p>
    <w:p>
      <w:pPr>
        <w:ind w:left="1800" w:right="13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preliminary unaudited financial results as of and for the three months and year ended December 31, 2025 included in this prospectus supplement;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continue to maintain or increase sales for our product;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 for our product and our ability to obtain and maintain regulatory approval of our product candidates, if and when approved;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payer coverage and reimbursement;</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and product candidates in conformity with regulatory requirements and to scale up manufacturing capacity of our product and product candidates for commercial supply;</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manufacturers to supply our product candidates and product for us;</w:t>
      </w:r>
    </w:p>
    <w:p>
      <w:pPr>
        <w:spacing w:after="0" w:line="314"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and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making required future interest and principal payments as they become due in connection with our debt obligations;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but not limited to, projected net revenue, cost of goods sold, research and development expenses, selling and general administrative expense, and interest expense;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strategic plans for our business, product and product candidates;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future preclinical and clinical studies and our research and development programs;</w:t>
      </w:r>
    </w:p>
    <w:p>
      <w:pPr>
        <w:spacing w:after="0" w:line="53" w:lineRule="exact"/>
        <w:rPr>
          <w:rFonts w:ascii="Times New Roman" w:cs="Times New Roman" w:eastAsia="Times New Roman" w:hAnsi="Times New Roman"/>
          <w:sz w:val="18"/>
          <w:szCs w:val="18"/>
          <w:color w:val="auto"/>
        </w:rPr>
      </w:pPr>
    </w:p>
    <w:p>
      <w:pPr>
        <w:jc w:val="both"/>
        <w:ind w:left="1800" w:right="5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us receiving either of the $37.5 million payments we are eligible to receive as part of our divestiture of the UDENYCA franchise, depending on post-closing net sales of UDENYCA;</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or enforceability of third-party intellectual property rights, or the applicability of such rights to our product and product candidates;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litigation involving our product and product candidates;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research organizations to conduct clinical trials of our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use of our product and product candidates;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potential risks, disruptions and losses from future cyberattacks and security incidents;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current or any future product and product candidates;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who currently are producing competitor products or will produce them in the future;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our market opportunity and our industry;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continuation of the war in Ukraine and conflicts in the Middle East on our business and prospects.</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Given these risks and uncertainties, you are cautioned not to place undue reliance on forward-looking statements. The forward-looking statements included in this prospectus supplement are made only as of the date hereof. Except as required under federal securities laws and the rules and regulations of the SEC, we do not undertake, and specifically decline, any obligation to update any of these statements or to publicly announce the results of any revisions to any forward-looking statements after the distribution of this prospectus supplement, whether as a result of new information, future events, changes in assumptions or otherwise.</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 We intend to use the net proceeds, if any, from this offering for general corporate purposes.</w:t>
      </w:r>
    </w:p>
    <w:p>
      <w:pPr>
        <w:spacing w:after="0" w:line="11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shares of our common stock through or to TD Cowen as our sales agent or principal. Sales of our common stock, if any, will be made at market prices by any method that is deemed to be an “at the market offering” as defined in Rule 415 under the Securities Act.</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13"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will be up to 3.0% of the gross sales price of the shares sold through it pursuant to the sales agreement. We have also agreed to reimburse TD Cowen up to $75,000 of actual outside legal expenses incurred by TD Cowen in connection with this offering. We estimate that the total expenses of the offering payable by us, excluding commissions payable to TD Cowen under the sales agreement, will be approximately $450,000.</w:t>
      </w:r>
    </w:p>
    <w:p>
      <w:pPr>
        <w:spacing w:after="0" w:line="116"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and the net proceeds to us.</w:t>
      </w:r>
    </w:p>
    <w:p>
      <w:pPr>
        <w:spacing w:after="0" w:line="9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and the net proceeds to us in connection with the sales of common stock.</w:t>
      </w:r>
    </w:p>
    <w:p>
      <w:pPr>
        <w:spacing w:after="0" w:line="94"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1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0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trades under the symbol “CHRS.” The transfer agent of our common stock is Equiniti Trust Company Shareowner Services.</w:t>
      </w:r>
    </w:p>
    <w:p>
      <w:pPr>
        <w:spacing w:after="0" w:line="9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Coherus Oncology, Inc. TD Securities (USA) LLC is being represented in connection with this offering by Davis Polk &amp; Wardwell LLP, Redwood City, California.</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consolidated financial statements of Coherus Oncology, Inc. appearing in Coherus Oncology, Inc.’s </w:t>
      </w:r>
      <w:hyperlink r:id="rId41">
        <w:r>
          <w:rPr>
            <w:rFonts w:ascii="Times New Roman" w:cs="Times New Roman" w:eastAsia="Times New Roman" w:hAnsi="Times New Roman"/>
            <w:sz w:val="18"/>
            <w:szCs w:val="18"/>
            <w:u w:val="single" w:color="auto"/>
            <w:color w:val="0000EE"/>
          </w:rPr>
          <w:t>Current Report (Form 8-K) dated November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effectiveness of Coherus Oncology, Inc.’s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internal control over financial reporting as of December 31, 2024, have been audited by Ernst &amp; Young LLP, independent registered public accounting firm, as set forth in its reports thereon, which conclude, among other things, that Coherus Oncology, Inc. did not maintain effective internal control over financial reporting as of December 31, 2024,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the registration statement or otherwise filed with the SEC.</w:t>
      </w:r>
    </w:p>
    <w:p>
      <w:pPr>
        <w:spacing w:after="0" w:line="328"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1 -800-SEC-0330. The SEC also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supplement and the termination of this offering, provided, however, that we are not incorporating any information furnished under Item 2.02 or Item 7.01 of any current report on Form 8-K:</w:t>
      </w:r>
    </w:p>
    <w:p>
      <w:pPr>
        <w:spacing w:after="0" w:line="32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incorporate by reference the documents set forth below that have previously been filed with the SEC:</w:t>
      </w:r>
    </w:p>
    <w:p>
      <w:pPr>
        <w:spacing w:after="0" w:line="54" w:lineRule="exact"/>
        <w:rPr>
          <w:sz w:val="20"/>
          <w:szCs w:val="20"/>
          <w:color w:val="auto"/>
        </w:rPr>
      </w:pPr>
    </w:p>
    <w:p>
      <w:pPr>
        <w:ind w:left="1800" w:right="519" w:hanging="180"/>
        <w:spacing w:after="0" w:line="261" w:lineRule="auto"/>
        <w:tabs>
          <w:tab w:leader="none" w:pos="1800" w:val="left"/>
        </w:tabs>
        <w:numPr>
          <w:ilvl w:val="0"/>
          <w:numId w:val="4"/>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December 31, 2024, filed with the SEC on</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000000"/>
          </w:rPr>
          <w:t>, as updated through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Current Report on Form 8-K filed with the SEC on</w:t>
        </w:r>
      </w:hyperlink>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November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solely to recast certain financial information and related disclosures </w:t>
        </w:r>
      </w:hyperlink>
      <w:r>
        <w:rPr>
          <w:rFonts w:ascii="Times New Roman" w:cs="Times New Roman" w:eastAsia="Times New Roman" w:hAnsi="Times New Roman"/>
          <w:sz w:val="18"/>
          <w:szCs w:val="18"/>
          <w:color w:val="0000EE"/>
        </w:rPr>
        <w:t xml:space="preserve">included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Company’s Annual Report.</w:t>
      </w:r>
    </w:p>
    <w:p>
      <w:pPr>
        <w:spacing w:after="0" w:line="71" w:lineRule="exact"/>
        <w:rPr>
          <w:rFonts w:ascii="Times New Roman" w:cs="Times New Roman" w:eastAsia="Times New Roman" w:hAnsi="Times New Roman"/>
          <w:sz w:val="18"/>
          <w:szCs w:val="18"/>
          <w:color w:val="0000EE"/>
        </w:rPr>
      </w:pPr>
    </w:p>
    <w:p>
      <w:pPr>
        <w:ind w:left="1800" w:right="6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w:t>
      </w:r>
      <w:hyperlink r:id="rId44">
        <w:r>
          <w:rPr>
            <w:rFonts w:ascii="Times New Roman" w:cs="Times New Roman" w:eastAsia="Times New Roman" w:hAnsi="Times New Roman"/>
            <w:sz w:val="18"/>
            <w:szCs w:val="18"/>
            <w:u w:val="single" w:color="auto"/>
            <w:color w:val="0000EE"/>
          </w:rPr>
          <w:t>Definitive Proxy Statement on Schedule 14A, filed with the SEC on April 29, 2025</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4"/>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45">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quarter ended June 30, 2025, filed with the SEC on</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August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the quarter ended September 30, 2025, filed with the SEC on </w:t>
      </w:r>
      <w:hyperlink r:id="rId47">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00"/>
        </w:rPr>
      </w:pPr>
    </w:p>
    <w:p>
      <w:pPr>
        <w:ind w:left="1800" w:right="439" w:hanging="180"/>
        <w:spacing w:after="0" w:line="261" w:lineRule="auto"/>
        <w:tabs>
          <w:tab w:leader="none" w:pos="1800" w:val="left"/>
        </w:tabs>
        <w:numPr>
          <w:ilvl w:val="0"/>
          <w:numId w:val="4"/>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 xml:space="preserve">April 14, 2025 </w:t>
        </w:r>
      </w:hyperlink>
      <w:hyperlink r:id="rId48">
        <w:r>
          <w:rPr>
            <w:rFonts w:ascii="Times New Roman" w:cs="Times New Roman" w:eastAsia="Times New Roman" w:hAnsi="Times New Roman"/>
            <w:sz w:val="18"/>
            <w:szCs w:val="18"/>
            <w:color w:val="000000"/>
          </w:rPr>
          <w:t>(only with respect to Item 2.01 and related exhibits filed under Item 9.01),</w:t>
        </w:r>
      </w:hyperlink>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5.03),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3,</w:t>
        </w:r>
      </w:hyperlink>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 xml:space="preserve">September 8, 2025 </w:t>
        </w:r>
      </w:hyperlink>
      <w:hyperlink r:id="rId5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November 13, 2025</w:t>
        </w:r>
      </w:hyperlink>
      <w:hyperlink r:id="rId50">
        <w:r>
          <w:rPr>
            <w:rFonts w:ascii="Times New Roman" w:cs="Times New Roman" w:eastAsia="Times New Roman" w:hAnsi="Times New Roman"/>
            <w:sz w:val="18"/>
            <w:szCs w:val="18"/>
            <w:color w:val="000000"/>
          </w:rPr>
          <w:t>.</w:t>
        </w:r>
      </w:hyperlink>
    </w:p>
    <w:p>
      <w:pPr>
        <w:spacing w:after="0" w:line="71" w:lineRule="exact"/>
        <w:rPr>
          <w:rFonts w:ascii="Times New Roman" w:cs="Times New Roman" w:eastAsia="Times New Roman" w:hAnsi="Times New Roman"/>
          <w:sz w:val="18"/>
          <w:szCs w:val="18"/>
          <w:color w:val="0000EE"/>
        </w:rPr>
      </w:pPr>
    </w:p>
    <w:p>
      <w:pPr>
        <w:ind w:left="1800" w:right="439" w:hanging="180"/>
        <w:spacing w:after="0" w:line="266" w:lineRule="auto"/>
        <w:tabs>
          <w:tab w:leader="none" w:pos="1800" w:val="left"/>
        </w:tabs>
        <w:numPr>
          <w:ilvl w:val="0"/>
          <w:numId w:val="4"/>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 with</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the SEC on November 3, 2014</w:t>
        </w:r>
        <w:r>
          <w:rPr>
            <w:rFonts w:ascii="Times New Roman" w:cs="Times New Roman" w:eastAsia="Times New Roman" w:hAnsi="Times New Roman"/>
            <w:sz w:val="18"/>
            <w:szCs w:val="18"/>
            <w:color w:val="000000"/>
          </w:rPr>
          <w:t>, and any amendment or report filed with the SEC for the purpose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updating the description.</w:t>
      </w:r>
    </w:p>
    <w:p>
      <w:pPr>
        <w:spacing w:after="0" w:line="95" w:lineRule="exact"/>
        <w:rPr>
          <w:rFonts w:ascii="Times New Roman" w:cs="Times New Roman" w:eastAsia="Times New Roman" w:hAnsi="Times New Roman"/>
          <w:sz w:val="18"/>
          <w:szCs w:val="18"/>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supplement,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353"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supplement by writing or telephoning us at the following address:</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Coherus Oncology, Inc.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333 Twin Dolphin Drive, Suite 600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(650) 649-3530</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t>Coherus Oncology, Inc.</w:t>
      </w:r>
    </w:p>
    <w:p>
      <w:pPr>
        <w:spacing w:after="0" w:line="2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127000</wp:posOffset>
            </wp:positionV>
            <wp:extent cx="2674620" cy="659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267462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Debt Securities</w:t>
      </w:r>
    </w:p>
    <w:p>
      <w:pPr>
        <w:ind w:left="48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up to $150.0 million in the aggregate of the securities identified above from time to time in one or more offerings. This prospectus provides you with a general description of the securities.</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7"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EE"/>
        </w:rPr>
        <w:t>7</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3"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“CHRS.” On November 12, 2025, the last reported sale price of our common stock on the Nasdaq Global Market was $1.36 per share.</w:t>
      </w:r>
    </w:p>
    <w:p>
      <w:pPr>
        <w:spacing w:after="0" w:line="90"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right="180"/>
        <w:spacing w:after="0" w:line="313" w:lineRule="auto"/>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INCORPORATION BY REFERENCE 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GLOBAL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5559425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9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w:t>
      </w:r>
    </w:p>
    <w:p>
      <w:pPr>
        <w:spacing w:after="0" w:line="1"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2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341"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When we refer to “Coherus,” “we,” “our,” “us” and the “Company” in this prospectus, we mean Coherus Oncology, Inc. and its consolidated subsidiaries, unless otherwise specified. When we refer to “you,” we mean the potential holders of the applicable series of securities.</w:t>
      </w:r>
    </w:p>
    <w:p>
      <w:pPr>
        <w:spacing w:after="0" w:line="73"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Coherus Oncology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our logo and our other trade names, trademarks or service marks appearing in this prospectus are the property of Coherus. This prospectus and the documents incorporated by reference herein also include trademarks, tradenames and service marks that are the property of other organizations. Solely for convenience, our trademarks and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which reflect our current views with respect to, among other things, our operations and financial performance. Any statements that are not statements of historical facts contained in this prospectus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of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 but are not limited to, statements about:</w:t>
      </w:r>
    </w:p>
    <w:p>
      <w:pPr>
        <w:spacing w:after="0" w:line="301" w:lineRule="exact"/>
        <w:rPr>
          <w:sz w:val="20"/>
          <w:szCs w:val="20"/>
          <w:color w:val="auto"/>
        </w:rPr>
      </w:pPr>
    </w:p>
    <w:p>
      <w:pPr>
        <w:ind w:left="1800" w:right="57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available cash, cash equivalents and marketable securities, product sales, and ATM Offering proceeds received to date will be sufficient to fund our planned expenditures and meet our obligations in the future;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continue to maintain or increase sales for our product;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 for our product and our ability to obtain and maintain regulatory approval of our product candidates, if and when approved;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payer coverage and reimbursement;</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and product candidates in conformity with regulatory requirements and to scale up manufacturing capacity of our product and product candidates for commercial supply;</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manufacturers to supply our product candidates and product for us;</w:t>
      </w:r>
    </w:p>
    <w:p>
      <w:pPr>
        <w:spacing w:after="0" w:line="314"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and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making required future interest and principal payments as they become due in connection with our debt obligations;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75"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but not limited to, projected net revenue, cost of goods sold, research and development expenses, selling and general administrative expense, and interest expense;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strategic plans for our business, product and product candidates;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future preclinical and clinical studies and our research and development programs;</w:t>
      </w:r>
    </w:p>
    <w:p>
      <w:pPr>
        <w:spacing w:after="0" w:line="53" w:lineRule="exact"/>
        <w:rPr>
          <w:rFonts w:ascii="Times New Roman" w:cs="Times New Roman" w:eastAsia="Times New Roman" w:hAnsi="Times New Roman"/>
          <w:sz w:val="18"/>
          <w:szCs w:val="18"/>
          <w:color w:val="auto"/>
        </w:rPr>
      </w:pPr>
    </w:p>
    <w:p>
      <w:pPr>
        <w:jc w:val="both"/>
        <w:ind w:left="1800" w:right="5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us receiving either of the $37.5 million payments we are eligible to receive as part of our divestiture of the UDENYCA franchise, depending on post-closing net sales of UDENYCA;</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or enforceability of third-party intellectual property rights, or the applicability of such rights to our product and product candidates;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litigation involving our product and product candidates;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research organizations to conduct clinical trials of our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use of our product and product candidates;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potential risks, disruptions and losses from future cyberattacks and security incidents;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current or any future product and product candidates;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who currently are producing competitor products or will produce them in the future;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our market opportunity and our industry;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continuation of the war in Ukraine and conflicts in the Middle East on our business and prospects.</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Given these risks and uncertainties, you are cautioned not to place undue reliance on forward-looking statements. The forward-looking statements included in this prospectus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prospectus, whether as a result of new information, future events, changes in assumptions or otherwise.</w:t>
      </w:r>
    </w:p>
    <w:p>
      <w:pPr>
        <w:spacing w:after="0" w:line="127"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This prospectus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https://www.coherus.com</w:t>
      </w:r>
      <w:r>
        <w:rPr>
          <w:rFonts w:ascii="Times New Roman" w:cs="Times New Roman" w:eastAsia="Times New Roman" w:hAnsi="Times New Roman"/>
          <w:sz w:val="18"/>
          <w:szCs w:val="18"/>
          <w:color w:val="auto"/>
        </w:rPr>
        <w:t xml:space="preserve"> . The information on our web site, however, is not, and should not be deemed to be, a part of this prospectus. We also use our website as a means of disclosing material non-public information and for complying with our disclosure obligations under Regulation FD.</w:t>
      </w:r>
    </w:p>
    <w:p>
      <w:pPr>
        <w:spacing w:after="0" w:line="10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prospectus supplement or a subsequently filed document incorporated by reference modifies or replaces that statement.</w:t>
      </w:r>
    </w:p>
    <w:p>
      <w:pPr>
        <w:spacing w:after="0" w:line="12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800" w:right="519" w:hanging="180"/>
        <w:spacing w:after="0" w:line="261" w:lineRule="auto"/>
        <w:tabs>
          <w:tab w:leader="none" w:pos="1800" w:val="left"/>
        </w:tabs>
        <w:numPr>
          <w:ilvl w:val="0"/>
          <w:numId w:val="7"/>
        </w:numPr>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u w:val="single" w:color="auto"/>
            <w:color w:val="0000EE"/>
          </w:rPr>
          <w:t>Our Annual Report on Form 10-K for the year ended December 31, 2024, filed with the SEC on</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000000"/>
          </w:rPr>
          <w:t>, as updated through our Current Report on Form 8-K filed with the SEC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November 13, 2025 solely to recast certain financial information and related disclosures included in our Annual Report.</w:t>
      </w:r>
    </w:p>
    <w:p>
      <w:pPr>
        <w:spacing w:after="0" w:line="71" w:lineRule="exact"/>
        <w:rPr>
          <w:rFonts w:ascii="Times New Roman" w:cs="Times New Roman" w:eastAsia="Times New Roman" w:hAnsi="Times New Roman"/>
          <w:sz w:val="18"/>
          <w:szCs w:val="18"/>
          <w:color w:val="0000EE"/>
        </w:rPr>
      </w:pPr>
    </w:p>
    <w:p>
      <w:pPr>
        <w:ind w:left="1800" w:right="6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w:t>
      </w:r>
      <w:hyperlink r:id="rId44">
        <w:r>
          <w:rPr>
            <w:rFonts w:ascii="Times New Roman" w:cs="Times New Roman" w:eastAsia="Times New Roman" w:hAnsi="Times New Roman"/>
            <w:sz w:val="18"/>
            <w:szCs w:val="18"/>
            <w:u w:val="single" w:color="auto"/>
            <w:color w:val="0000EE"/>
          </w:rPr>
          <w:t>Definitive Proxy Statement on Schedule 14A, filed with the SEC on April 29, 2025</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7"/>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45">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quarter ended June 30, 2025, filed with the SEC on</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August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the quarter ended September 30, 2025, filed with the SEC on </w:t>
      </w:r>
      <w:hyperlink r:id="rId47">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00"/>
        </w:rPr>
      </w:pPr>
    </w:p>
    <w:p>
      <w:pPr>
        <w:ind w:left="1800" w:right="519" w:hanging="180"/>
        <w:spacing w:after="0" w:line="266" w:lineRule="auto"/>
        <w:tabs>
          <w:tab w:leader="none" w:pos="1800" w:val="left"/>
        </w:tabs>
        <w:numPr>
          <w:ilvl w:val="0"/>
          <w:numId w:val="7"/>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April 22, 2025</w:t>
        </w:r>
      </w:hyperlink>
      <w:hyperlink r:id="rId4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April 25, 2025</w:t>
        </w:r>
      </w:hyperlink>
      <w:hyperlink r:id="rId4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 xml:space="preserve">May 30, 2025 </w:t>
        </w:r>
      </w:hyperlink>
      <w:hyperlink r:id="rId48">
        <w:r>
          <w:rPr>
            <w:rFonts w:ascii="Times New Roman" w:cs="Times New Roman" w:eastAsia="Times New Roman" w:hAnsi="Times New Roman"/>
            <w:sz w:val="18"/>
            <w:szCs w:val="18"/>
            <w:color w:val="000000"/>
          </w:rPr>
          <w:t>(only with respect to Item 5.03),</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July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September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November 13, 2025</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800" w:right="439" w:hanging="180"/>
        <w:spacing w:after="0" w:line="266" w:lineRule="auto"/>
        <w:tabs>
          <w:tab w:leader="none" w:pos="1800" w:val="left"/>
        </w:tabs>
        <w:numPr>
          <w:ilvl w:val="0"/>
          <w:numId w:val="7"/>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8-A, filed</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with the SEC on November 3, 2014</w:t>
        </w:r>
        <w:r>
          <w:rPr>
            <w:rFonts w:ascii="Times New Roman" w:cs="Times New Roman" w:eastAsia="Times New Roman" w:hAnsi="Times New Roman"/>
            <w:sz w:val="18"/>
            <w:szCs w:val="18"/>
            <w:color w:val="000000"/>
          </w:rPr>
          <w:t xml:space="preserve">, and any amendment or report filed with the SEC for the </w:t>
        </w:r>
      </w:hyperlink>
      <w:r>
        <w:rPr>
          <w:rFonts w:ascii="Times New Roman" w:cs="Times New Roman" w:eastAsia="Times New Roman" w:hAnsi="Times New Roman"/>
          <w:sz w:val="18"/>
          <w:szCs w:val="18"/>
          <w:color w:val="0000EE"/>
        </w:rPr>
        <w:t xml:space="preserve">purpose </w:t>
      </w:r>
      <w:r>
        <w:rPr>
          <w:rFonts w:ascii="Times New Roman" w:cs="Times New Roman" w:eastAsia="Times New Roman" w:hAnsi="Times New Roman"/>
          <w:sz w:val="18"/>
          <w:szCs w:val="18"/>
          <w:color w:val="000000"/>
        </w:rPr>
        <w:t>of updating the description.</w:t>
      </w:r>
    </w:p>
    <w:p>
      <w:pPr>
        <w:spacing w:after="0" w:line="95" w:lineRule="exact"/>
        <w:rPr>
          <w:rFonts w:ascii="Times New Roman" w:cs="Times New Roman" w:eastAsia="Times New Roman" w:hAnsi="Times New Roman"/>
          <w:sz w:val="18"/>
          <w:szCs w:val="18"/>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excluding any information furnished to, rather than filed with, the SEC, will also be incorporated by reference into this prospectus and deemed to be part of this prospectus from the date of the filing of such reports and documents.</w:t>
      </w:r>
    </w:p>
    <w:p>
      <w:pPr>
        <w:spacing w:after="0" w:line="10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Coherus Oncology, Inc.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333 Twin Dolphin Drive, Suite 600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(650) 649-3530</w:t>
      </w:r>
    </w:p>
    <w:p>
      <w:pPr>
        <w:spacing w:after="0" w:line="126"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We are a fully integrated commercial-stage innovative oncology company with an approved next-generation PD-1 inhibitor, LOQTORZI, and a pipeline that includes two mid-stage clinical candidates targeting liver, lung, head &amp; neck, and other cancers. Our strategy is to expand the use of LOQTORZI in NPC and advance the development of new indications for LOQTORZI in combination with both our pipeline candidates as well as our industry partners, driving synergies from proprietary combinations, including first-in-class anticancer agents.</w:t>
      </w:r>
    </w:p>
    <w:p>
      <w:pPr>
        <w:spacing w:after="0" w:line="120"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September 2010 under the name BioGenerics, Inc. We subsequently changed the name of the corporation in April 2012 to Coherus BioSciences, Inc. On</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May 29, 2025 we changed our corporate name to Coherus Oncology, Inc. Our principal executive offices are located at 333 Twin Dolphin Drive, Suite 600, Redwood City, California 94065, and our telephone number is (650) 649-3530. Our website address is https://www.coherus.com. The information contained in or that can be accessed through our website is not, and should not be deemed to be, part of this prospectus. We also use our website as a means of disclosing material non-public information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Investment in any of our securities offered pursuant to this prospectus and the applicable prospectus supplement involves a high degree of risk. Before deciding whether to invest in our securities, you should carefully consider the risks described under the caption “Risk Factors” contained in our most recent Quarterly Report on Form 10-Q and any subsequent Annual Reports on Form 10-K, Quarterly Reports on Form 10-Q or Current Reports on Form 8-K, and all other information contained or incorporated by reference into this prospectus, as updated by our subsequent filings under the Exchange Act, and the risks described under the caption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or certificate of incorporation, and our amended and restated bylaws, or bylaws, both of which have been publicly filed with the SEC. See “Where You Can Find More Information; Incorporation by Reference.”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authorizes 300,000,000 shares of common stock, $0.0001 par value per share.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common stockholders do not have cumulative voting rights in the election of directors. Accordingly, holders of a majority of the voting shares are able to elect all of the directors.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certificate of incorporation and bylaws provide that annual stockholder meetings will be held at a date, place (if any) and time as designated by resolution of the board of directors from time to time. To the extent permitted under applicable law, we may but are not obligated to conduct meetings by remote communications, including by webcast.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 of Provisions</w:t>
      </w:r>
    </w:p>
    <w:p>
      <w:pPr>
        <w:spacing w:after="0" w:line="162"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Some provisions of Delaware law and the certificate of incorporation and bylaws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to be in their best interest or in the best interests of the company, including transactions that might result in a premium over the market price for shares of common stock.</w:t>
      </w:r>
    </w:p>
    <w:p>
      <w:pPr>
        <w:spacing w:after="0" w:line="81" w:lineRule="exact"/>
        <w:rPr>
          <w:sz w:val="20"/>
          <w:szCs w:val="20"/>
          <w:color w:val="auto"/>
        </w:r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to first negotiate with our board of directors. We believe that the benefits of protection to the company’s potential ability to negotiate with the proponent of an unfriendly or unsolicited proposal to acquire or restructure the company outweigh the disadvantages of discouraging these proposals because negotiation of these proposals could result in an improvement of their terms.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203 of the DGCL prohibits persons deemed “interested stockholders” from engaging in a</w:t>
      </w:r>
    </w:p>
    <w:p>
      <w:pPr>
        <w:spacing w:after="0" w:line="27"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the certificate of incorporation, our board of directors has the authority, without action by our stockholders, to designate and issue up to 5,000,000 shares of preferred stock, par value $0.0001 per share, in one or more series and to designate the rights, preferences and privileges of each series, any or all of which may be greater than the rights of our common stock. It is not possible to state the actual effect of the issuance of any shares of preferred stock upon the rights of holders of our common stock until our board of directors determines the specific rights of the holders of preferred stock. However, the effects might include, among other things, restricting dividends on the common stock, diluting the voting power of the common stock, impairing the liquidation rights of the common stock and delaying or preventing a change in control of our common stock without further action by our stockholders and may adversely affect the market price of our common stock. As of October 31, 2025, no shares of our preferred stock were outstanding.</w:t>
      </w:r>
    </w:p>
    <w:p>
      <w:pPr>
        <w:spacing w:after="0" w:line="1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48"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by our corporate secretary only at the direction of the board of directors pursuant to a resolution adopted by a majority of the board of directors.</w:t>
      </w:r>
    </w:p>
    <w:p>
      <w:pPr>
        <w:spacing w:after="0" w:line="3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bylaws set forth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our stockholders, with staggered three -year terms. Only one class of directors will be elected at each annual meeting of our stockholders, with the other classes continuing for the remainder of their respective three-year terms. Furthermore, the size of the board of directors shall be determined from time to time exclusively by the board of directors pursuant to a resolution adopted by the board of directors, provided the board of directors may not consist of fewer than one member. In addition, a vote of the majority of all the then outstanding shares of voting stock is required for removal of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with cause and not less than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all the then outstanding</w:t>
      </w:r>
    </w:p>
    <w:p>
      <w:pPr>
        <w:spacing w:after="0" w:line="36"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shares of voting stock is required for removal of a director without cause. Furthermore, any vacancy on the board of directors, including a vacancy resulting from an increase in the size of the board, may be filled only by a majority vote of the board of directors then in office, although less than a quorum, or by a sole remaining director. This system of electing and removing directors and filling vacancies may tend to discourage a third party from making a tender offer or otherwise attempting to obtain control of the company, because it generally makes it more difficult for stockholders to replace a majority of the directors.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148" w:lineRule="exact"/>
        <w:rPr>
          <w:sz w:val="20"/>
          <w:szCs w:val="20"/>
          <w:color w:val="auto"/>
        </w:rPr>
      </w:pPr>
    </w:p>
    <w:p>
      <w:pPr>
        <w:ind w:left="1260" w:right="539" w:firstLine="360"/>
        <w:spacing w:after="0" w:line="235" w:lineRule="auto"/>
        <w:rPr>
          <w:sz w:val="20"/>
          <w:szCs w:val="20"/>
          <w:color w:val="auto"/>
        </w:rPr>
      </w:pPr>
      <w:r>
        <w:rPr>
          <w:rFonts w:ascii="Times New Roman" w:cs="Times New Roman" w:eastAsia="Times New Roman" w:hAnsi="Times New Roman"/>
          <w:sz w:val="18"/>
          <w:szCs w:val="18"/>
          <w:color w:val="auto"/>
        </w:rPr>
        <w:t>Amendment of any of the above anti-takeover provisions set forth in the certificate of incorporation, except for the provision making it possible for the board to issue “blank check” preferred stock, would require approval by holders of at least sixty-six and two-thirds percent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then outstanding voting stock. Subject to limitations set forth in the bylaws or the certificate of incorporation, the board is expressly empowered to adopt, amend or repeal the bylaws. Stockholders shall have the power to amend the bylaws provided that any such amendment would require approval by holders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the then outstanding voting</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w:t>
      </w:r>
    </w:p>
    <w:p>
      <w:pPr>
        <w:spacing w:after="0" w:line="14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provisions of the DGCL, the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management of our company. It is possible that these provisions could make it more difficult to accomplish transactions that stockholders may otherwise deem to be in their best interests.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48"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the directors and officers for monetary damages to the fullest extent permitted by Delaware law. Consequently, directors and officers are not personally liable to us or our stockholders for monetary damages for any breach of fiduciary duties as directors, except liability for:</w:t>
      </w:r>
    </w:p>
    <w:p>
      <w:pPr>
        <w:spacing w:after="0" w:line="69"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us or our stockholders;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Each of the certificate of incorporation and bylaws provides that we are required to indemnify the directors and officers, in each case to the fullest extent permitted by Delaware law.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to indemnify the directors, executive officers and other employees as determined by the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We also maintain directors’ and officers’ liability insurance.</w:t>
      </w:r>
    </w:p>
    <w:p>
      <w:pPr>
        <w:spacing w:after="0" w:line="11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certificate of incorporation and bylaws may discourage stockholders from bringing a lawsuit against the directors and officers for breach of their fiduciary duty. They may also reduce the likelihood of derivative litigation against the directors and officers, even though an action, if successful, might benefit us and our stockholders. Furthermore, a stockholder’s investment may be adversely affected to the extent that we pay the costs of settlement and damage.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provide that, to the fullest extent permitted by law,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of to us or our stockholders, (iii) any action asserting a claim arising pursuant to any provision of the DGCL, or (iv) any action asserting a claim governed by the internal affairs doctrine, in all cases subject to the court’s having personal jurisdiction over the indispensable parties named as defendants, to the fullest extent permitted by law or, if such court does not have subject matter jurisdiction thereof, the federal district court of the State of Delaware.</w:t>
      </w:r>
    </w:p>
    <w:p>
      <w:pPr>
        <w:spacing w:after="0" w:line="12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bylaws also provide that, unless we consent in writing to the selection of an alternative forum, to the fullest extent permitted by law, the federal district courts of the United States of America shall be the sole and exclusive forum for resolving any complaint asserting a cause of action arising under the Securities Act. Notwithstanding the foregoing, our bylaws provide that the exclusive forum provision will not apply to suits brought to enforce any liability or duty created by the Securities Exchange Act of 1934, as amended.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of common stock are listed on Nasdaq under the symbol “CHRS.”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of common stock have no sinking fund provisions.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Shareowner Services. The transfer agent and registrar’s address is Equiniti Trust Company Shareowner Services, P.O. Box 64854, St. Paul, MN 55164-0854.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2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As used in this section only, “Coherus,” “we,” “our” or “us” refer to Coherus Oncology, Inc. excluding our subsidiaries, unless expressly stated or the context otherwise requires.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jc w:val="both"/>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30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jc w:val="both"/>
        <w:ind w:left="1800" w:right="4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4"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0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4"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4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58"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54"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9"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348"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5"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or a successor person, unless:</w:t>
      </w:r>
    </w:p>
    <w:p>
      <w:pPr>
        <w:spacing w:after="0" w:line="68" w:lineRule="exact"/>
        <w:rPr>
          <w:sz w:val="20"/>
          <w:szCs w:val="20"/>
          <w:color w:val="auto"/>
        </w:rPr>
      </w:pPr>
    </w:p>
    <w:p>
      <w:pPr>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successor person (if other than Coherus) is a corporation, partnership, trust or other entity organized and validly existing under the laws of any U.S. domestic jurisdiction and expressly assumes our obligations on the debt securities and under the indenture; and</w:t>
      </w:r>
    </w:p>
    <w:p>
      <w:pPr>
        <w:spacing w:after="0" w:line="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94"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 (Section 5.1)</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17" w:lineRule="exact"/>
        <w:rPr>
          <w:sz w:val="20"/>
          <w:szCs w:val="20"/>
          <w:color w:val="auto"/>
        </w:rPr>
      </w:pPr>
    </w:p>
    <w:p>
      <w:pPr>
        <w:ind w:left="1800" w:right="51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Coherus and the trustee receive written notice from the holders of not less than 25% in principal amount of the outstanding debt securities of that series as provided in the indenture;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Coherus;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99"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6"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8" w:lineRule="exact"/>
        <w:rPr>
          <w:sz w:val="20"/>
          <w:szCs w:val="20"/>
          <w:color w:val="auto"/>
        </w:rPr>
      </w:pPr>
    </w:p>
    <w:p>
      <w:pPr>
        <w:ind w:left="1800" w:right="6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1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54"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(Section 9.1)</w:t>
      </w:r>
    </w:p>
    <w:p>
      <w:pPr>
        <w:spacing w:after="0" w:line="9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affected debt security then outstanding if that amendment will:</w:t>
      </w:r>
    </w:p>
    <w:p>
      <w:pPr>
        <w:spacing w:after="0" w:line="117" w:lineRule="exact"/>
        <w:rPr>
          <w:sz w:val="20"/>
          <w:szCs w:val="20"/>
          <w:color w:val="auto"/>
        </w:rPr>
      </w:pPr>
    </w:p>
    <w:p>
      <w:pPr>
        <w:ind w:left="1800" w:right="6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4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applicable series of debt securities, upon compliance with certain conditions:</w:t>
      </w:r>
    </w:p>
    <w:p>
      <w:pPr>
        <w:spacing w:after="0" w:line="52" w:lineRule="exact"/>
        <w:rPr>
          <w:sz w:val="20"/>
          <w:szCs w:val="20"/>
          <w:color w:val="auto"/>
        </w:rPr>
      </w:pPr>
    </w:p>
    <w:p>
      <w:pPr>
        <w:ind w:left="1800" w:right="57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or covenant defeasance.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17" w:lineRule="exact"/>
        <w:rPr>
          <w:sz w:val="20"/>
          <w:szCs w:val="20"/>
          <w:color w:val="auto"/>
        </w:rPr>
      </w:pPr>
    </w:p>
    <w:p>
      <w:pPr>
        <w:ind w:left="1800" w:right="439" w:hanging="180"/>
        <w:spacing w:after="0" w:line="254"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81"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9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 w:lineRule="exact"/>
        <w:rPr>
          <w:sz w:val="20"/>
          <w:szCs w:val="20"/>
          <w:color w:val="auto"/>
        </w:rPr>
      </w:pPr>
    </w:p>
    <w:p>
      <w:pPr>
        <w:ind w:left="1800" w:right="5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54"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9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90"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04"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9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Coherus.</w:t>
      </w:r>
    </w:p>
    <w:p>
      <w:pPr>
        <w:spacing w:after="0" w:line="77"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1"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1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5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2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32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34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34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9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54" w:lineRule="exact"/>
        <w:rPr>
          <w:sz w:val="20"/>
          <w:szCs w:val="20"/>
          <w:color w:val="auto"/>
        </w:rPr>
      </w:pPr>
    </w:p>
    <w:p>
      <w:pPr>
        <w:ind w:left="1800" w:right="519" w:hanging="180"/>
        <w:spacing w:after="0" w:line="258"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59"/>
        <w:spacing w:after="0" w:line="257"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34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6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0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2"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as amended, or to contribute to payments they may be required to make in respect thereof and to reimburse those persons for certain expenses.</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w:t>
      </w:r>
    </w:p>
    <w:p>
      <w:pPr>
        <w:spacing w:after="0" w:line="27"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Rule 415(a)(4) under the Securities Act, as amended.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341"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Coherus Oncology,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Coherus Oncology, Inc. appearing in Coherus Oncology, Inc.’s Current Report (Form 8-K) dated November 13, 2025, and the effectiveness of Coherus Oncology, Inc.’s internal control over financial reporting as of December 31, 2024, have been audited by Ernst &amp; Young LLP, independent registered public accounting firm, as set forth in its reports thereon, which conclude, among other things, that Coherus Oncology, Inc. did not maintain effective internal control over financial reporting as of December 31, 2024,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Up to $64,880,054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452755</wp:posOffset>
            </wp:positionV>
            <wp:extent cx="2674620" cy="659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267462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1524635</wp:posOffset>
            </wp:positionV>
            <wp:extent cx="1234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1052830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jpe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jpe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25" Type="http://schemas.openxmlformats.org/officeDocument/2006/relationships/hyperlink" Target="https://www.sec.gov/Archives/edgar/data/1512762/000110465925111503/tm2530769-1_s3.htm" TargetMode="External"/><Relationship Id="rId29" Type="http://schemas.openxmlformats.org/officeDocument/2006/relationships/hyperlink" Target="https://www.sec.gov/ix?doc=/Archives/edgar/data/0001512762/000110465925107852/chrs-20250930x10q.htm" TargetMode="External"/><Relationship Id="rId41" Type="http://schemas.openxmlformats.org/officeDocument/2006/relationships/hyperlink" Target="https://www.sec.gov/ix?doc=/Archives/edgar/data/1512762/000110465925111484/chrs-20251113x8k.htm" TargetMode="External"/><Relationship Id="rId43" Type="http://schemas.openxmlformats.org/officeDocument/2006/relationships/hyperlink" Target="https://www.sec.gov/ix?doc=/Archives/edgar/data/1512762/000155837025003126/chrs-20241231x10k.htm" TargetMode="External"/><Relationship Id="rId44" Type="http://schemas.openxmlformats.org/officeDocument/2006/relationships/hyperlink" Target="https://www.sec.gov/ix?doc=/Archives/edgar/data/1512762/000155837025005825/chrs-20250611xdef14a.htm" TargetMode="External"/><Relationship Id="rId45" Type="http://schemas.openxmlformats.org/officeDocument/2006/relationships/hyperlink" Target="https://www.sec.gov/ix?doc=/Archives/edgar/data/1512762/000155837025007418/chrs-20250331x10q.htm" TargetMode="External"/><Relationship Id="rId46" Type="http://schemas.openxmlformats.org/officeDocument/2006/relationships/hyperlink" Target="https://www.sec.gov/ix?doc=/Archives/edgar/data/1512762/000155837025010803/chrs-20250630x10q.htm" TargetMode="External"/><Relationship Id="rId47" Type="http://schemas.openxmlformats.org/officeDocument/2006/relationships/hyperlink" Target="https://www.sec.gov/ix?doc=/Archives/edgar/data/1512762/000110465925107852/chrs-20250930x10q.htm" TargetMode="External"/><Relationship Id="rId48" Type="http://schemas.openxmlformats.org/officeDocument/2006/relationships/hyperlink" Target="https://www.sec.gov/ix?doc=/Archives/edgar/data/1512762/000155837025004264/chrs-20250331x8k.htm" TargetMode="External"/><Relationship Id="rId49" Type="http://schemas.openxmlformats.org/officeDocument/2006/relationships/hyperlink" Target="https://www.sec.gov/ix?doc=/Archives/edgar/data/1512762/000155837025004746/chrs-20250411x8k.htm" TargetMode="External"/><Relationship Id="rId50" Type="http://schemas.openxmlformats.org/officeDocument/2006/relationships/hyperlink" Target="https://www.sec.gov/ix?doc=/Archives/edgar/data/1512762/000155837025009085/chrs-20250630x8k.htm" TargetMode="External"/><Relationship Id="rId51" Type="http://schemas.openxmlformats.org/officeDocument/2006/relationships/hyperlink" Target="https://www.sec.gov/ix?doc=/Archives/edgar/data/1512762/000155837025011911/chrs-20250905x8k.htm" TargetMode="External"/><Relationship Id="rId52" Type="http://schemas.openxmlformats.org/officeDocument/2006/relationships/hyperlink" Target="https://www.sec.gov/Archives/edgar/data/1512762/000119312514393922/d814871d8a12b.htm" TargetMode="External"/><Relationship Id="rId68" Type="http://schemas.openxmlformats.org/officeDocument/2006/relationships/hyperlink" Target="https://www.sec.gov/ix?doc=/Archives/edgar/data/1512762/000155837025005157/chrs-20250416x8k.htm" TargetMode="External"/><Relationship Id="rId69" Type="http://schemas.openxmlformats.org/officeDocument/2006/relationships/hyperlink" Target="https://www.sec.gov/ix?doc=/Archives/edgar/data/1512762/000155837025005554/chrs-20250422x8k.htm" TargetMode="External"/><Relationship Id="rId70" Type="http://schemas.openxmlformats.org/officeDocument/2006/relationships/hyperlink" Target="https://www.sec.gov/ix?doc=/Archives/edgar/data/1512762/000155837025008294/chrs-20250529x8k.htm" TargetMode="External"/><Relationship Id="rId71" Type="http://schemas.openxmlformats.org/officeDocument/2006/relationships/hyperlink" Target="https://www.sec.gov/ix?doc=/Archives/edgar/data/1512762/000110465925059351/tm2517926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2026-01-23T16:51:14Z</dcterms:created>
  <dcterms:modified xsi:type="dcterms:W3CDTF">2026-01-23T16:51:14Z</dcterms:modified>
</cp:coreProperties>
</file>