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Helvetica;sans-serif" w:hAnsi="Helvetica;sans-serif"/>
          <w:b/>
          <w:sz w:val="20"/>
        </w:rPr>
      </w:pPr>
      <w:bookmarkStart w:id="0" w:name="chrs-20260804xs8.htm"/>
      <w:bookmarkStart w:id="1" w:name="kschrs20260804xs8"/>
      <w:bookmarkEnd w:id="0"/>
      <w:bookmarkEnd w:id="1"/>
      <w:r>
        <w:rPr>
          <w:rFonts w:ascii="Helvetica;sans-serif" w:hAnsi="Helvetica;sans-serif"/>
          <w:b/>
          <w:sz w:val="20"/>
        </w:rPr>
        <w:t>As filed with the Securities and Exchange Commission on August 5, 2026  Registration No. 333-</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0"/>
        </w:rPr>
      </w:pPr>
      <w:r>
        <w:rPr>
          <w:rFonts w:ascii="Helvetica;sans-serif" w:hAnsi="Helvetica;sans-serif"/>
          <w:b/>
          <w:sz w:val="30"/>
        </w:rPr>
        <w:t>UNITED STATES</w:t>
      </w:r>
    </w:p>
    <w:p>
      <w:pPr>
        <w:pStyle w:val="TextBody"/>
        <w:bidi w:val="0"/>
        <w:spacing w:before="0" w:after="0"/>
        <w:ind w:left="0" w:right="0" w:hanging="0"/>
        <w:jc w:val="center"/>
        <w:rPr>
          <w:rFonts w:ascii="Helvetica;sans-serif" w:hAnsi="Helvetica;sans-serif"/>
          <w:b/>
          <w:sz w:val="30"/>
        </w:rPr>
      </w:pPr>
      <w:r>
        <w:rPr>
          <w:rFonts w:ascii="Helvetica;sans-serif" w:hAnsi="Helvetica;sans-serif"/>
          <w:b/>
          <w:sz w:val="30"/>
        </w:rPr>
        <w:t>SECURITIES AND EXCHANGE COMMISSION</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Washington, D.C. 20549</w:t>
      </w:r>
    </w:p>
    <w:p>
      <w:pPr>
        <w:pStyle w:val="HorizontalLine"/>
        <w:pBdr>
          <w:bottom w:val="single" w:sz="6" w:space="0" w:color="000000"/>
        </w:pBdr>
        <w:bidi w:val="0"/>
        <w:spacing w:before="0" w:after="60"/>
        <w:ind w:left="3827" w:right="3827" w:hanging="0"/>
        <w:jc w:val="left"/>
        <w:rPr/>
      </w:pPr>
      <w:r>
        <w:rPr/>
      </w:r>
    </w:p>
    <w:p>
      <w:pPr>
        <w:pStyle w:val="TextBody"/>
        <w:bidi w:val="0"/>
        <w:spacing w:before="0" w:after="0"/>
        <w:ind w:left="0" w:right="0" w:hanging="0"/>
        <w:jc w:val="center"/>
        <w:rPr>
          <w:rFonts w:ascii="Helvetica;sans-serif" w:hAnsi="Helvetica;sans-serif"/>
          <w:b/>
          <w:sz w:val="30"/>
        </w:rPr>
      </w:pPr>
      <w:r>
        <w:rPr>
          <w:rFonts w:ascii="Helvetica;sans-serif" w:hAnsi="Helvetica;sans-serif"/>
          <w:b/>
          <w:sz w:val="30"/>
        </w:rPr>
        <w:t>FORM S-8</w:t>
      </w:r>
    </w:p>
    <w:p>
      <w:pPr>
        <w:pStyle w:val="TextBody"/>
        <w:bidi w:val="0"/>
        <w:spacing w:before="0" w:after="0"/>
        <w:ind w:left="0" w:right="0" w:hanging="0"/>
        <w:jc w:val="center"/>
        <w:rPr>
          <w:rFonts w:ascii="Helvetica;sans-serif" w:hAnsi="Helvetica;sans-serif"/>
          <w:b/>
          <w:sz w:val="30"/>
        </w:rPr>
      </w:pPr>
      <w:r>
        <w:rPr>
          <w:rFonts w:ascii="Helvetica;sans-serif" w:hAnsi="Helvetica;sans-serif"/>
          <w:b/>
          <w:sz w:val="30"/>
        </w:rPr>
        <w:t xml:space="preserve">REGISTRATION STATEMENT </w:t>
      </w:r>
    </w:p>
    <w:p>
      <w:pPr>
        <w:pStyle w:val="TextBody"/>
        <w:bidi w:val="0"/>
        <w:spacing w:before="0" w:after="0"/>
        <w:ind w:left="0" w:right="0" w:hanging="0"/>
        <w:jc w:val="center"/>
        <w:rPr>
          <w:rFonts w:ascii="Helvetica;sans-serif" w:hAnsi="Helvetica;sans-serif"/>
          <w:b/>
          <w:i/>
          <w:sz w:val="20"/>
        </w:rPr>
      </w:pPr>
      <w:r>
        <w:rPr>
          <w:rFonts w:ascii="Helvetica;sans-serif" w:hAnsi="Helvetica;sans-serif"/>
          <w:b/>
          <w:i/>
          <w:sz w:val="20"/>
        </w:rPr>
        <w:t>UNDER</w:t>
      </w:r>
    </w:p>
    <w:p>
      <w:pPr>
        <w:pStyle w:val="TextBody"/>
        <w:bidi w:val="0"/>
        <w:spacing w:before="0" w:after="0"/>
        <w:ind w:left="0" w:right="0" w:hanging="0"/>
        <w:jc w:val="center"/>
        <w:rPr>
          <w:rFonts w:ascii="Helvetica;sans-serif" w:hAnsi="Helvetica;sans-serif"/>
          <w:b/>
          <w:i/>
          <w:sz w:val="20"/>
        </w:rPr>
      </w:pPr>
      <w:r>
        <w:rPr>
          <w:rFonts w:ascii="Helvetica;sans-serif" w:hAnsi="Helvetica;sans-serif"/>
          <w:b/>
          <w:i/>
          <w:sz w:val="20"/>
        </w:rPr>
        <w:t>THE SECURITIES ACT OF 1933</w:t>
      </w:r>
    </w:p>
    <w:p>
      <w:pPr>
        <w:pStyle w:val="HorizontalLine"/>
        <w:pBdr>
          <w:bottom w:val="single" w:sz="6" w:space="0" w:color="000000"/>
        </w:pBdr>
        <w:bidi w:val="0"/>
        <w:spacing w:before="0" w:after="60"/>
        <w:ind w:left="3827" w:right="3827" w:hanging="0"/>
        <w:jc w:val="left"/>
        <w:rPr/>
      </w:pPr>
      <w:r>
        <w:rPr/>
      </w:r>
    </w:p>
    <w:p>
      <w:pPr>
        <w:pStyle w:val="TextBody"/>
        <w:bidi w:val="0"/>
        <w:spacing w:before="0" w:after="0"/>
        <w:ind w:left="0" w:right="0" w:hanging="0"/>
        <w:jc w:val="center"/>
        <w:rPr>
          <w:rFonts w:ascii="Helvetica;sans-serif" w:hAnsi="Helvetica;sans-serif"/>
          <w:b/>
          <w:sz w:val="40"/>
        </w:rPr>
      </w:pPr>
      <w:r>
        <w:rPr>
          <w:rFonts w:ascii="Helvetica;sans-serif" w:hAnsi="Helvetica;sans-serif"/>
          <w:b/>
          <w:sz w:val="40"/>
        </w:rPr>
        <w:t>Coherus Oncology,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(Exact name of registrant as specified in its charter)</w:t>
      </w:r>
    </w:p>
    <w:p>
      <w:pPr>
        <w:pStyle w:val="TextBody"/>
        <w:bidi w:val="0"/>
        <w:spacing w:before="0" w:after="0"/>
        <w:ind w:left="0" w:right="0" w:hanging="0"/>
        <w:jc w:val="left"/>
        <w:rPr/>
      </w:pPr>
      <w:r>
        <w:rPr/>
        <w:t>​</w:t>
      </w:r>
    </w:p>
    <w:tbl>
      <w:tblPr>
        <w:tblW w:w="5256" w:type="dxa"/>
        <w:jc w:val="center"/>
        <w:tblInd w:w="0" w:type="dxa"/>
        <w:tblLayout w:type="fixed"/>
        <w:tblCellMar>
          <w:top w:w="0" w:type="dxa"/>
          <w:left w:w="0" w:type="dxa"/>
          <w:bottom w:w="0" w:type="dxa"/>
          <w:right w:w="0" w:type="dxa"/>
        </w:tblCellMar>
      </w:tblPr>
      <w:tblGrid>
        <w:gridCol w:w="2926"/>
        <w:gridCol w:w="109"/>
        <w:gridCol w:w="2221"/>
      </w:tblGrid>
      <w:tr>
        <w:trPr/>
        <w:tc>
          <w:tcPr>
            <w:tcW w:w="29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Delaware</w:t>
            </w:r>
          </w:p>
        </w:tc>
        <w:tc>
          <w:tcPr>
            <w:tcW w:w="109" w:type="dxa"/>
            <w:tcBorders/>
            <w:vAlign w:val="center"/>
          </w:tcPr>
          <w:p>
            <w:pPr>
              <w:pStyle w:val="TableContents"/>
              <w:bidi w:val="0"/>
              <w:spacing w:before="0" w:after="0"/>
              <w:ind w:left="0" w:right="0" w:hanging="0"/>
              <w:jc w:val="center"/>
              <w:rPr/>
            </w:pPr>
            <w:r>
              <w:rPr/>
              <w:t>​</w:t>
            </w:r>
          </w:p>
        </w:tc>
        <w:tc>
          <w:tcPr>
            <w:tcW w:w="2221"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27-3615821</w:t>
            </w:r>
          </w:p>
        </w:tc>
      </w:tr>
      <w:tr>
        <w:trPr/>
        <w:tc>
          <w:tcPr>
            <w:tcW w:w="292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(State or other jurisdiction of</w:t>
            </w:r>
          </w:p>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incorporation or organization)</w:t>
            </w:r>
          </w:p>
        </w:tc>
        <w:tc>
          <w:tcPr>
            <w:tcW w:w="109" w:type="dxa"/>
            <w:tcBorders/>
            <w:vAlign w:val="center"/>
          </w:tcPr>
          <w:p>
            <w:pPr>
              <w:pStyle w:val="TableContents"/>
              <w:bidi w:val="0"/>
              <w:spacing w:before="0" w:after="0"/>
              <w:ind w:left="0" w:right="0" w:hanging="0"/>
              <w:jc w:val="center"/>
              <w:rPr/>
            </w:pPr>
            <w:r>
              <w:rPr/>
              <w:t>​</w:t>
            </w:r>
          </w:p>
        </w:tc>
        <w:tc>
          <w:tcPr>
            <w:tcW w:w="2221"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(I.R.S. Employer</w:t>
            </w:r>
          </w:p>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333 Twin Dolphin Drive, Suite 600</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Redwood City, CA 94065</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(650) 649-3530</w:t>
      </w:r>
    </w:p>
    <w:p>
      <w:pPr>
        <w:pStyle w:val="TextBody"/>
        <w:bidi w:val="0"/>
        <w:spacing w:before="0" w:after="60"/>
        <w:ind w:left="0" w:right="0" w:hanging="0"/>
        <w:jc w:val="center"/>
        <w:rPr>
          <w:rFonts w:ascii="Helvetica;sans-serif" w:hAnsi="Helvetica;sans-serif"/>
          <w:b/>
          <w:sz w:val="20"/>
        </w:rPr>
      </w:pPr>
      <w:r>
        <w:rPr>
          <w:rFonts w:ascii="Helvetica;sans-serif" w:hAnsi="Helvetica;sans-serif"/>
          <w:b/>
          <w:sz w:val="20"/>
        </w:rPr>
        <w:t>(Address, including zip code, and telephone number, including area code, of registrant’s principal executive offices)</w:t>
      </w:r>
    </w:p>
    <w:p>
      <w:pPr>
        <w:pStyle w:val="HorizontalLine"/>
        <w:pBdr>
          <w:bottom w:val="single" w:sz="6" w:space="0" w:color="000000"/>
        </w:pBdr>
        <w:bidi w:val="0"/>
        <w:spacing w:before="0" w:after="60"/>
        <w:ind w:left="3827" w:right="3827" w:hanging="0"/>
        <w:jc w:val="left"/>
        <w:rPr/>
      </w:pPr>
      <w:r>
        <w:rPr/>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Coherus Oncology, Inc. Amended and Restated 2014 Equity Incentive Award Plan</w:t>
      </w:r>
    </w:p>
    <w:p>
      <w:pPr>
        <w:pStyle w:val="TextBody"/>
        <w:bidi w:val="0"/>
        <w:spacing w:before="0" w:after="0"/>
        <w:ind w:left="0" w:right="0" w:hanging="0"/>
        <w:jc w:val="center"/>
        <w:rPr/>
      </w:pPr>
      <w:r>
        <w:rPr/>
        <w:t>​</w:t>
      </w:r>
    </w:p>
    <w:p>
      <w:pPr>
        <w:pStyle w:val="TextBody"/>
        <w:bidi w:val="0"/>
        <w:spacing w:before="0" w:after="60"/>
        <w:ind w:left="0" w:right="0" w:hanging="0"/>
        <w:jc w:val="center"/>
        <w:rPr>
          <w:rFonts w:ascii="Helvetica;sans-serif" w:hAnsi="Helvetica;sans-serif"/>
          <w:b/>
          <w:sz w:val="20"/>
        </w:rPr>
      </w:pPr>
      <w:r>
        <w:rPr>
          <w:rFonts w:ascii="Helvetica;sans-serif" w:hAnsi="Helvetica;sans-serif"/>
          <w:b/>
          <w:sz w:val="20"/>
        </w:rPr>
        <w:t>(Full Title of the Plan)</w:t>
      </w:r>
    </w:p>
    <w:p>
      <w:pPr>
        <w:pStyle w:val="HorizontalLine"/>
        <w:pBdr>
          <w:bottom w:val="single" w:sz="6" w:space="0" w:color="000000"/>
        </w:pBdr>
        <w:bidi w:val="0"/>
        <w:spacing w:before="0" w:after="60"/>
        <w:ind w:left="3827" w:right="3827" w:hanging="0"/>
        <w:jc w:val="left"/>
        <w:rPr/>
      </w:pPr>
      <w:r>
        <w:rPr/>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Dennis M. Lanfear</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President and Chief Executive Officer</w:t>
      </w:r>
    </w:p>
    <w:p>
      <w:pPr>
        <w:pStyle w:val="TextBody"/>
        <w:bidi w:val="0"/>
        <w:spacing w:before="0" w:after="45"/>
        <w:ind w:left="0" w:right="0" w:hanging="0"/>
        <w:jc w:val="center"/>
        <w:rPr>
          <w:rFonts w:ascii="Helvetica;sans-serif" w:hAnsi="Helvetica;sans-serif"/>
          <w:b/>
          <w:sz w:val="20"/>
        </w:rPr>
      </w:pPr>
      <w:r>
        <w:rPr>
          <w:rFonts w:ascii="Helvetica;sans-serif" w:hAnsi="Helvetica;sans-serif"/>
          <w:b/>
          <w:sz w:val="20"/>
        </w:rPr>
        <w:t>Coherus Oncology,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333 Twin Dolphin Drive, Suite 600</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Redwood City, CA 94065</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(650) 649-3530</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(Name, address, including zip code, and telephone number, including area code, of agent for service)</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rFonts w:ascii="Helvetica;sans-serif" w:hAnsi="Helvetica;sans-serif"/>
          <w:b/>
          <w:i/>
          <w:sz w:val="20"/>
        </w:rPr>
      </w:pPr>
      <w:r>
        <w:rPr>
          <w:rFonts w:ascii="Helvetica;sans-serif" w:hAnsi="Helvetica;sans-serif"/>
          <w:b/>
          <w:i/>
          <w:sz w:val="20"/>
        </w:rPr>
        <w:t>Copies to:</w:t>
      </w:r>
    </w:p>
    <w:tbl>
      <w:tblPr>
        <w:tblW w:w="6013" w:type="dxa"/>
        <w:jc w:val="center"/>
        <w:tblInd w:w="0" w:type="dxa"/>
        <w:tblLayout w:type="fixed"/>
        <w:tblCellMar>
          <w:top w:w="0" w:type="dxa"/>
          <w:left w:w="0" w:type="dxa"/>
          <w:bottom w:w="0" w:type="dxa"/>
          <w:right w:w="0" w:type="dxa"/>
        </w:tblCellMar>
      </w:tblPr>
      <w:tblGrid>
        <w:gridCol w:w="2806"/>
        <w:gridCol w:w="146"/>
        <w:gridCol w:w="3061"/>
      </w:tblGrid>
      <w:tr>
        <w:trPr/>
        <w:tc>
          <w:tcPr>
            <w:tcW w:w="28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6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Benjamin A. Potter, Esq.</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Drew Capurro, Esq.</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Latham &amp; Watkins LLP</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 Jefferson Avenue, Suite 300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Redwood City, CA 94063</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(650) 328-4600</w:t>
            </w:r>
          </w:p>
        </w:tc>
        <w:tc>
          <w:tcPr>
            <w:tcW w:w="146" w:type="dxa"/>
            <w:tcBorders/>
            <w:vAlign w:val="center"/>
          </w:tcPr>
          <w:p>
            <w:pPr>
              <w:pStyle w:val="TableContents"/>
              <w:bidi w:val="0"/>
              <w:spacing w:before="0" w:after="0"/>
              <w:ind w:left="0" w:right="0" w:hanging="0"/>
              <w:jc w:val="left"/>
              <w:rPr/>
            </w:pPr>
            <w:r>
              <w:rPr/>
              <w:t> </w:t>
            </w:r>
          </w:p>
        </w:tc>
        <w:tc>
          <w:tcPr>
            <w:tcW w:w="30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Bryan McMichael</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333 Twin Dolphin Drive, Suite 600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Redwood City, CA 94065</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(650) 649-3530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tbl>
      <w:tblPr>
        <w:tblW w:w="5203" w:type="dxa"/>
        <w:jc w:val="center"/>
        <w:tblInd w:w="0" w:type="dxa"/>
        <w:tblLayout w:type="fixed"/>
        <w:tblCellMar>
          <w:top w:w="0" w:type="dxa"/>
          <w:left w:w="0" w:type="dxa"/>
          <w:bottom w:w="0" w:type="dxa"/>
          <w:right w:w="0" w:type="dxa"/>
        </w:tblCellMar>
      </w:tblPr>
      <w:tblGrid>
        <w:gridCol w:w="2341"/>
        <w:gridCol w:w="146"/>
        <w:gridCol w:w="2716"/>
      </w:tblGrid>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20"/>
              </w:rPr>
              <w:t xml:space="preserve">Large accelerated filer  </w:t>
            </w:r>
            <w:r>
              <w:rPr>
                <w:rFonts w:ascii="Times New Roman;Times;serif" w:hAnsi="Times New Roman;Times;serif"/>
                <w:sz w:val="20"/>
              </w:rPr>
              <w:t>☐</w:t>
            </w:r>
          </w:p>
        </w:tc>
        <w:tc>
          <w:tcPr>
            <w:tcW w:w="146" w:type="dxa"/>
            <w:tcBorders/>
            <w:vAlign w:val="center"/>
          </w:tcPr>
          <w:p>
            <w:pPr>
              <w:pStyle w:val="TableContents"/>
              <w:bidi w:val="0"/>
              <w:spacing w:before="0" w:after="0"/>
              <w:ind w:left="0" w:right="0" w:hanging="0"/>
              <w:jc w:val="left"/>
              <w:rPr/>
            </w:pPr>
            <w:r>
              <w:rPr/>
              <w:t> </w:t>
            </w:r>
          </w:p>
        </w:tc>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20"/>
              </w:rPr>
              <w:t>Accelerated filer </w:t>
            </w:r>
            <w:r>
              <w:rPr>
                <w:rFonts w:ascii="Times New Roman;Times;serif" w:hAnsi="Times New Roman;Times;serif"/>
                <w:sz w:val="20"/>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20"/>
              </w:rPr>
              <w:t>Non-accelerated filer </w:t>
            </w: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20"/>
              </w:rPr>
              <w:t>Smaller reporting company </w:t>
            </w:r>
            <w:r>
              <w:rPr>
                <w:rFonts w:ascii="Times New Roman;Times;serif" w:hAnsi="Times New Roman;Times;serif"/>
                <w:sz w:val="20"/>
              </w:rPr>
              <w:t>☒</w:t>
            </w:r>
          </w:p>
        </w:tc>
      </w:tr>
      <w:tr>
        <w:trPr/>
        <w:tc>
          <w:tcPr>
            <w:tcW w:w="23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20"/>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Helvetica;sans-serif" w:hAnsi="Helvetica;san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EXPLANATORY NOTE </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This Registration Statement on Form S-8 is being filed for the purpose of registering an additional 7,700,000 shares of common stock of Coherus Oncology, Inc. (the “Registrant”), par value $0.0001 per share, reserved for issuance under the Registrant’s Amended and Restated 2014 Equity Incentive Award Plan (together with previous versions of such plan, and as may be further amended from time to time, the “2014 Plan”), as approved by the Registrant’s shareholders on May 27, 2026 for which Registration Statements of the Registrant on Form S-8 (File Nos. 333-200593, 333-203356, 333-209936, 333-216679, 333-222700, 333-229480, 333-236068, 333-251876, 333-262134, 333-269291, 333-278314 and 333-281394) are effective.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 xml:space="preserve">INCORPORATION BY REFERENCE OF CONTENTS OF </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 xml:space="preserve">REGISTRATION STATEMENTS ON FORM S-8 </w:t>
      </w:r>
    </w:p>
    <w:p>
      <w:pPr>
        <w:pStyle w:val="TextBody"/>
        <w:bidi w:val="0"/>
        <w:spacing w:before="0" w:after="0"/>
        <w:ind w:left="0" w:right="0" w:firstLine="490"/>
        <w:jc w:val="left"/>
        <w:rPr/>
      </w:pPr>
      <w:r>
        <w:rPr/>
        <w:t> </w:t>
      </w:r>
    </w:p>
    <w:p>
      <w:pPr>
        <w:pStyle w:val="TextBody"/>
        <w:bidi w:val="0"/>
        <w:spacing w:before="0" w:after="0"/>
        <w:ind w:left="0" w:right="0" w:firstLine="490"/>
        <w:jc w:val="both"/>
        <w:rPr/>
      </w:pPr>
      <w:r>
        <w:rPr>
          <w:rFonts w:ascii="Helvetica;sans-serif" w:hAnsi="Helvetica;sans-serif"/>
          <w:sz w:val="20"/>
        </w:rPr>
        <w:t xml:space="preserve">Pursuant to Instruction E of Form S-8, the contents of the Registration Statements on Form S-8 filed with the Securities and Exchange Commission on </w:t>
      </w:r>
      <w:hyperlink r:id="rId2">
        <w:r>
          <w:rPr>
            <w:rStyle w:val="InternetLink"/>
            <w:rFonts w:ascii="Helvetica;sans-serif" w:hAnsi="Helvetica;sans-serif"/>
            <w:b w:val="false"/>
            <w:i w:val="false"/>
            <w:caps w:val="false"/>
            <w:smallCaps w:val="false"/>
            <w:color w:val="0000EE"/>
            <w:sz w:val="20"/>
          </w:rPr>
          <w:t>November 25, 2014</w:t>
        </w:r>
      </w:hyperlink>
      <w:r>
        <w:rPr>
          <w:rFonts w:ascii="Times New Roman;Times;serif" w:hAnsi="Times New Roman;Times;serif"/>
          <w:sz w:val="20"/>
        </w:rPr>
        <w:t xml:space="preserve"> </w:t>
      </w:r>
      <w:r>
        <w:rPr>
          <w:rFonts w:ascii="Helvetica;sans-serif" w:hAnsi="Helvetica;sans-serif"/>
          <w:sz w:val="20"/>
        </w:rPr>
        <w:t xml:space="preserve">(File No. 333-200593), </w:t>
      </w:r>
      <w:hyperlink r:id="rId3">
        <w:r>
          <w:rPr>
            <w:rStyle w:val="InternetLink"/>
            <w:rFonts w:ascii="Helvetica;sans-serif" w:hAnsi="Helvetica;sans-serif"/>
            <w:b w:val="false"/>
            <w:i w:val="false"/>
            <w:caps w:val="false"/>
            <w:smallCaps w:val="false"/>
            <w:color w:val="0000EE"/>
            <w:sz w:val="20"/>
          </w:rPr>
          <w:t>April 10, 2015</w:t>
        </w:r>
      </w:hyperlink>
      <w:r>
        <w:rPr>
          <w:rFonts w:ascii="Times New Roman;Times;serif" w:hAnsi="Times New Roman;Times;serif"/>
          <w:sz w:val="20"/>
        </w:rPr>
        <w:t xml:space="preserve"> </w:t>
      </w:r>
      <w:r>
        <w:rPr>
          <w:rFonts w:ascii="Helvetica;sans-serif" w:hAnsi="Helvetica;sans-serif"/>
          <w:sz w:val="20"/>
        </w:rPr>
        <w:t xml:space="preserve">(File No. 333-203356), </w:t>
      </w:r>
      <w:hyperlink r:id="rId4">
        <w:r>
          <w:rPr>
            <w:rStyle w:val="InternetLink"/>
            <w:rFonts w:ascii="Helvetica;sans-serif" w:hAnsi="Helvetica;sans-serif"/>
            <w:b w:val="false"/>
            <w:i w:val="false"/>
            <w:caps w:val="false"/>
            <w:smallCaps w:val="false"/>
            <w:color w:val="0000EE"/>
            <w:sz w:val="20"/>
          </w:rPr>
          <w:t>March 4, 2016</w:t>
        </w:r>
      </w:hyperlink>
      <w:r>
        <w:rPr>
          <w:rFonts w:ascii="Times New Roman;Times;serif" w:hAnsi="Times New Roman;Times;serif"/>
          <w:sz w:val="20"/>
        </w:rPr>
        <w:t xml:space="preserve"> </w:t>
      </w:r>
      <w:r>
        <w:rPr>
          <w:rFonts w:ascii="Helvetica;sans-serif" w:hAnsi="Helvetica;sans-serif"/>
          <w:sz w:val="20"/>
        </w:rPr>
        <w:t xml:space="preserve">(File No. 333-209936), </w:t>
      </w:r>
      <w:hyperlink r:id="rId5">
        <w:r>
          <w:rPr>
            <w:rStyle w:val="InternetLink"/>
            <w:rFonts w:ascii="Helvetica;sans-serif" w:hAnsi="Helvetica;sans-serif"/>
            <w:b w:val="false"/>
            <w:i w:val="false"/>
            <w:caps w:val="false"/>
            <w:smallCaps w:val="false"/>
            <w:color w:val="0000EE"/>
            <w:sz w:val="20"/>
          </w:rPr>
          <w:t>March 14, 2017</w:t>
        </w:r>
      </w:hyperlink>
      <w:r>
        <w:rPr>
          <w:rFonts w:ascii="Times New Roman;Times;serif" w:hAnsi="Times New Roman;Times;serif"/>
          <w:sz w:val="20"/>
        </w:rPr>
        <w:t xml:space="preserve"> </w:t>
      </w:r>
      <w:r>
        <w:rPr>
          <w:rFonts w:ascii="Helvetica;sans-serif" w:hAnsi="Helvetica;sans-serif"/>
          <w:sz w:val="20"/>
        </w:rPr>
        <w:t xml:space="preserve">(File No. 333-216679), </w:t>
      </w:r>
      <w:hyperlink r:id="rId6">
        <w:r>
          <w:rPr>
            <w:rStyle w:val="InternetLink"/>
            <w:rFonts w:ascii="Helvetica;sans-serif" w:hAnsi="Helvetica;sans-serif"/>
            <w:b w:val="false"/>
            <w:i w:val="false"/>
            <w:caps w:val="false"/>
            <w:smallCaps w:val="false"/>
            <w:color w:val="0000EE"/>
            <w:sz w:val="20"/>
          </w:rPr>
          <w:t>January 25, 2018</w:t>
        </w:r>
      </w:hyperlink>
      <w:r>
        <w:rPr>
          <w:rFonts w:ascii="Times New Roman;Times;serif" w:hAnsi="Times New Roman;Times;serif"/>
          <w:sz w:val="20"/>
        </w:rPr>
        <w:t xml:space="preserve"> </w:t>
      </w:r>
      <w:r>
        <w:rPr>
          <w:rFonts w:ascii="Helvetica;sans-serif" w:hAnsi="Helvetica;sans-serif"/>
          <w:sz w:val="20"/>
        </w:rPr>
        <w:t xml:space="preserve">(File No. 333-222700), </w:t>
      </w:r>
      <w:hyperlink r:id="rId7">
        <w:r>
          <w:rPr>
            <w:rStyle w:val="InternetLink"/>
            <w:rFonts w:ascii="Helvetica;sans-serif" w:hAnsi="Helvetica;sans-serif"/>
            <w:b w:val="false"/>
            <w:i w:val="false"/>
            <w:caps w:val="false"/>
            <w:smallCaps w:val="false"/>
            <w:color w:val="0000EE"/>
            <w:sz w:val="20"/>
          </w:rPr>
          <w:t>February 1, 2019</w:t>
        </w:r>
      </w:hyperlink>
      <w:r>
        <w:rPr>
          <w:rFonts w:ascii="Times New Roman;Times;serif" w:hAnsi="Times New Roman;Times;serif"/>
          <w:sz w:val="20"/>
        </w:rPr>
        <w:t xml:space="preserve"> </w:t>
      </w:r>
      <w:r>
        <w:rPr>
          <w:rFonts w:ascii="Helvetica;sans-serif" w:hAnsi="Helvetica;sans-serif"/>
          <w:sz w:val="20"/>
        </w:rPr>
        <w:t xml:space="preserve">(File No. 333-229480), </w:t>
      </w:r>
      <w:hyperlink r:id="rId8">
        <w:r>
          <w:rPr>
            <w:rStyle w:val="InternetLink"/>
            <w:rFonts w:ascii="Helvetica;sans-serif" w:hAnsi="Helvetica;sans-serif"/>
            <w:b w:val="false"/>
            <w:i w:val="false"/>
            <w:caps w:val="false"/>
            <w:smallCaps w:val="false"/>
            <w:color w:val="0000EE"/>
            <w:sz w:val="20"/>
          </w:rPr>
          <w:t>January 24, 2020</w:t>
        </w:r>
      </w:hyperlink>
      <w:r>
        <w:rPr>
          <w:rFonts w:ascii="Times New Roman;Times;serif" w:hAnsi="Times New Roman;Times;serif"/>
          <w:sz w:val="20"/>
        </w:rPr>
        <w:t xml:space="preserve"> </w:t>
      </w:r>
      <w:r>
        <w:rPr>
          <w:rFonts w:ascii="Helvetica;sans-serif" w:hAnsi="Helvetica;sans-serif"/>
          <w:sz w:val="20"/>
        </w:rPr>
        <w:t xml:space="preserve">(File No. 333-236068), </w:t>
      </w:r>
      <w:hyperlink r:id="rId9">
        <w:r>
          <w:rPr>
            <w:rStyle w:val="InternetLink"/>
            <w:rFonts w:ascii="Helvetica;sans-serif" w:hAnsi="Helvetica;sans-serif"/>
            <w:b w:val="false"/>
            <w:i w:val="false"/>
            <w:caps w:val="false"/>
            <w:smallCaps w:val="false"/>
            <w:color w:val="0000EE"/>
            <w:sz w:val="20"/>
          </w:rPr>
          <w:t>January 4, 2021</w:t>
        </w:r>
      </w:hyperlink>
      <w:r>
        <w:rPr>
          <w:rFonts w:ascii="Times New Roman;Times;serif" w:hAnsi="Times New Roman;Times;serif"/>
          <w:sz w:val="20"/>
        </w:rPr>
        <w:t xml:space="preserve"> </w:t>
      </w:r>
      <w:r>
        <w:rPr>
          <w:rFonts w:ascii="Helvetica;sans-serif" w:hAnsi="Helvetica;sans-serif"/>
          <w:sz w:val="20"/>
        </w:rPr>
        <w:t xml:space="preserve">(File No. 333-251876), </w:t>
      </w:r>
      <w:hyperlink r:id="rId10">
        <w:r>
          <w:rPr>
            <w:rStyle w:val="InternetLink"/>
            <w:rFonts w:ascii="Helvetica;sans-serif" w:hAnsi="Helvetica;sans-serif"/>
            <w:b w:val="false"/>
            <w:i w:val="false"/>
            <w:caps w:val="false"/>
            <w:smallCaps w:val="false"/>
            <w:color w:val="0000EE"/>
            <w:sz w:val="20"/>
          </w:rPr>
          <w:t>January 13, 2022</w:t>
        </w:r>
      </w:hyperlink>
      <w:r>
        <w:rPr>
          <w:rFonts w:ascii="Times New Roman;Times;serif" w:hAnsi="Times New Roman;Times;serif"/>
          <w:sz w:val="20"/>
        </w:rPr>
        <w:t xml:space="preserve"> </w:t>
      </w:r>
      <w:r>
        <w:rPr>
          <w:rFonts w:ascii="Helvetica;sans-serif" w:hAnsi="Helvetica;sans-serif"/>
          <w:sz w:val="20"/>
        </w:rPr>
        <w:t xml:space="preserve">(File No. 333-262134), </w:t>
      </w:r>
      <w:hyperlink r:id="rId11">
        <w:r>
          <w:rPr>
            <w:rStyle w:val="InternetLink"/>
            <w:rFonts w:ascii="Helvetica;sans-serif" w:hAnsi="Helvetica;sans-serif"/>
            <w:b w:val="false"/>
            <w:i w:val="false"/>
            <w:caps w:val="false"/>
            <w:smallCaps w:val="false"/>
            <w:sz w:val="20"/>
          </w:rPr>
          <w:t>January 18, 2023</w:t>
        </w:r>
      </w:hyperlink>
      <w:r>
        <w:rPr>
          <w:rFonts w:ascii="Times New Roman;Times;serif" w:hAnsi="Times New Roman;Times;serif"/>
          <w:sz w:val="20"/>
        </w:rPr>
        <w:t xml:space="preserve"> </w:t>
      </w:r>
      <w:r>
        <w:rPr>
          <w:rFonts w:ascii="Helvetica;sans-serif" w:hAnsi="Helvetica;sans-serif"/>
          <w:sz w:val="20"/>
        </w:rPr>
        <w:t xml:space="preserve">(File No. 333-269291), </w:t>
      </w:r>
      <w:hyperlink r:id="rId12">
        <w:r>
          <w:rPr>
            <w:rStyle w:val="InternetLink"/>
            <w:rFonts w:ascii="Helvetica;sans-serif" w:hAnsi="Helvetica;sans-serif"/>
            <w:b w:val="false"/>
            <w:i w:val="false"/>
            <w:caps w:val="false"/>
            <w:smallCaps w:val="false"/>
            <w:sz w:val="20"/>
          </w:rPr>
          <w:t>March 28, 2024</w:t>
        </w:r>
      </w:hyperlink>
      <w:r>
        <w:rPr>
          <w:rFonts w:ascii="Times New Roman;Times;serif" w:hAnsi="Times New Roman;Times;serif"/>
          <w:sz w:val="20"/>
        </w:rPr>
        <w:t xml:space="preserve"> </w:t>
      </w:r>
      <w:r>
        <w:rPr>
          <w:rFonts w:ascii="Helvetica;sans-serif" w:hAnsi="Helvetica;sans-serif"/>
          <w:sz w:val="20"/>
        </w:rPr>
        <w:t xml:space="preserve">(File No. 333-278314) and </w:t>
      </w:r>
      <w:hyperlink r:id="rId13">
        <w:r>
          <w:rPr>
            <w:rStyle w:val="InternetLink"/>
            <w:rFonts w:ascii="Helvetica;sans-serif" w:hAnsi="Helvetica;sans-serif"/>
            <w:b w:val="false"/>
            <w:i w:val="false"/>
            <w:caps w:val="false"/>
            <w:smallCaps w:val="false"/>
            <w:sz w:val="20"/>
          </w:rPr>
          <w:t>August 8, 2024</w:t>
        </w:r>
      </w:hyperlink>
      <w:r>
        <w:rPr>
          <w:rFonts w:ascii="Times New Roman;Times;serif" w:hAnsi="Times New Roman;Times;serif"/>
          <w:sz w:val="20"/>
        </w:rPr>
        <w:t xml:space="preserve"> </w:t>
      </w:r>
      <w:r>
        <w:rPr>
          <w:rFonts w:ascii="Helvetica;sans-serif" w:hAnsi="Helvetica;sans-serif"/>
          <w:sz w:val="20"/>
        </w:rPr>
        <w:t>(File No. 333-281394) are incorporated by reference herein.</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INDEX TO EXHIBITS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56"/>
        <w:gridCol w:w="6176"/>
        <w:gridCol w:w="608"/>
        <w:gridCol w:w="796"/>
        <w:gridCol w:w="806"/>
        <w:gridCol w:w="963"/>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43560" cy="175260"/>
                      <wp:effectExtent l="0" t="0" r="0" b="0"/>
                      <wp:wrapNone/>
                      <wp:docPr id="2" name="Frame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921760" cy="175260"/>
                      <wp:effectExtent l="0" t="0" r="0" b="0"/>
                      <wp:wrapNone/>
                      <wp:docPr id="3" name="Frame3"/>
                      <a:graphic xmlns:a="http://schemas.openxmlformats.org/drawingml/2006/main">
                        <a:graphicData uri="http://schemas.microsoft.com/office/word/2010/wordprocessingShape">
                          <wps:wsp>
                            <wps:cNvSpPr txBox="1"/>
                            <wps:spPr>
                              <a:xfrm>
                                <a:off x="0" y="0"/>
                                <a:ext cx="392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86080" cy="175260"/>
                      <wp:effectExtent l="0" t="0" r="0" b="0"/>
                      <wp:wrapNone/>
                      <wp:docPr id="4" name="Frame4"/>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05460" cy="175260"/>
                      <wp:effectExtent l="0" t="0" r="0" b="0"/>
                      <wp:wrapNone/>
                      <wp:docPr id="5" name="Frame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11810" cy="175260"/>
                      <wp:effectExtent l="0" t="0" r="0" b="0"/>
                      <wp:wrapNone/>
                      <wp:docPr id="6" name="Frame6"/>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11505" cy="175260"/>
                      <wp:effectExtent l="0" t="0" r="0" b="0"/>
                      <wp:wrapNone/>
                      <wp:docPr id="7" name="Frame7"/>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before="0" w:after="0"/>
              <w:ind w:left="0" w:right="0" w:hanging="0"/>
              <w:jc w:val="center"/>
              <w:rPr/>
            </w:pPr>
            <w:r>
              <w:rPr/>
              <w:t>​</w:t>
            </w:r>
          </w:p>
        </w:tc>
        <w:tc>
          <w:tcPr>
            <w:tcW w:w="6176" w:type="dxa"/>
            <w:tcBorders/>
            <w:vAlign w:val="center"/>
          </w:tcPr>
          <w:p>
            <w:pPr>
              <w:pStyle w:val="TableContents"/>
              <w:bidi w:val="0"/>
              <w:spacing w:before="0" w:after="0"/>
              <w:ind w:left="0" w:right="0" w:hanging="0"/>
              <w:jc w:val="center"/>
              <w:rPr/>
            </w:pPr>
            <w:r>
              <w:rPr/>
              <w:t>​</w:t>
            </w:r>
          </w:p>
        </w:tc>
        <w:tc>
          <w:tcPr>
            <w:tcW w:w="2210" w:type="dxa"/>
            <w:gridSpan w:val="3"/>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Incorporated by Reference</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Exhibit</w:t>
              <w:br/>
              <w:t>Number</w:t>
            </w:r>
          </w:p>
        </w:tc>
        <w:tc>
          <w:tcPr>
            <w:tcW w:w="617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Description</w:t>
            </w:r>
          </w:p>
        </w:tc>
        <w:tc>
          <w:tcPr>
            <w:tcW w:w="608"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Form</w:t>
            </w:r>
          </w:p>
        </w:tc>
        <w:tc>
          <w:tcPr>
            <w:tcW w:w="79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Exhibit</w:t>
            </w:r>
          </w:p>
        </w:tc>
        <w:tc>
          <w:tcPr>
            <w:tcW w:w="80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Date Filed</w:t>
            </w:r>
          </w:p>
        </w:tc>
        <w:tc>
          <w:tcPr>
            <w:tcW w:w="963"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Filed</w:t>
              <w:br/>
              <w:t>Herewith</w:t>
            </w:r>
          </w:p>
        </w:tc>
      </w:tr>
      <w:tr>
        <w:trPr/>
        <w:tc>
          <w:tcPr>
            <w:tcW w:w="856" w:type="dxa"/>
            <w:tcBorders/>
            <w:vAlign w:val="center"/>
          </w:tcPr>
          <w:p>
            <w:pPr>
              <w:pStyle w:val="TableContents"/>
              <w:bidi w:val="0"/>
              <w:spacing w:before="0" w:after="0"/>
              <w:ind w:left="0" w:right="0" w:hanging="0"/>
              <w:jc w:val="left"/>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3.1</w:t>
            </w:r>
          </w:p>
        </w:tc>
        <w:tc>
          <w:tcPr>
            <w:tcW w:w="6176" w:type="dxa"/>
            <w:tcBorders/>
            <w:vAlign w:val="center"/>
          </w:tcPr>
          <w:p>
            <w:pPr>
              <w:pStyle w:val="TableContents"/>
              <w:pBdr/>
              <w:bidi w:val="0"/>
              <w:spacing w:before="0" w:after="0"/>
              <w:ind w:left="0" w:right="0" w:hanging="0"/>
              <w:jc w:val="left"/>
              <w:rPr/>
            </w:pPr>
            <w:hyperlink r:id="rId14">
              <w:r>
                <w:rPr>
                  <w:rStyle w:val="InternetLink"/>
                  <w:rFonts w:ascii="Helvetica;sans-serif" w:hAnsi="Helvetica;sans-serif"/>
                  <w:b w:val="false"/>
                  <w:i w:val="false"/>
                  <w:caps w:val="false"/>
                  <w:smallCaps w:val="false"/>
                  <w:sz w:val="20"/>
                </w:rPr>
                <w:t>Amended and Restated Certificate of Incorporation of the Registrant.</w:t>
              </w:r>
            </w:hyperlink>
          </w:p>
        </w:tc>
        <w:tc>
          <w:tcPr>
            <w:tcW w:w="608"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8-K</w:t>
            </w:r>
          </w:p>
        </w:tc>
        <w:tc>
          <w:tcPr>
            <w:tcW w:w="79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3.1</w:t>
            </w:r>
          </w:p>
        </w:tc>
        <w:tc>
          <w:tcPr>
            <w:tcW w:w="80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11/13/2014</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3.2</w:t>
            </w:r>
          </w:p>
        </w:tc>
        <w:tc>
          <w:tcPr>
            <w:tcW w:w="6176" w:type="dxa"/>
            <w:tcBorders/>
            <w:vAlign w:val="center"/>
          </w:tcPr>
          <w:p>
            <w:pPr>
              <w:pStyle w:val="TableContents"/>
              <w:pBdr/>
              <w:bidi w:val="0"/>
              <w:spacing w:before="0" w:after="0"/>
              <w:ind w:left="0" w:right="0" w:hanging="0"/>
              <w:jc w:val="left"/>
              <w:rPr/>
            </w:pPr>
            <w:hyperlink r:id="rId15">
              <w:r>
                <w:rPr>
                  <w:rStyle w:val="InternetLink"/>
                  <w:rFonts w:ascii="Helvetica;sans-serif" w:hAnsi="Helvetica;sans-serif"/>
                  <w:b w:val="false"/>
                  <w:i w:val="false"/>
                  <w:caps w:val="false"/>
                  <w:smallCaps w:val="false"/>
                  <w:sz w:val="20"/>
                </w:rPr>
                <w:t>Certificate of Amendment to the Amended and Restated Certificate of Incorporation of the Registrant, effective as of May 29, 2025.</w:t>
              </w:r>
            </w:hyperlink>
          </w:p>
        </w:tc>
        <w:tc>
          <w:tcPr>
            <w:tcW w:w="608"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8-K</w:t>
            </w:r>
          </w:p>
        </w:tc>
        <w:tc>
          <w:tcPr>
            <w:tcW w:w="79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3.1</w:t>
            </w:r>
          </w:p>
        </w:tc>
        <w:tc>
          <w:tcPr>
            <w:tcW w:w="80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5/30/2025</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3.3</w:t>
            </w:r>
          </w:p>
        </w:tc>
        <w:tc>
          <w:tcPr>
            <w:tcW w:w="6176" w:type="dxa"/>
            <w:tcBorders/>
            <w:vAlign w:val="center"/>
          </w:tcPr>
          <w:p>
            <w:pPr>
              <w:pStyle w:val="TableContents"/>
              <w:bidi w:val="0"/>
              <w:spacing w:before="0" w:after="0"/>
              <w:ind w:left="0" w:right="0" w:hanging="0"/>
              <w:jc w:val="left"/>
              <w:rPr/>
            </w:pPr>
            <w:hyperlink r:id="rId16">
              <w:r>
                <w:rPr>
                  <w:rStyle w:val="InternetLink"/>
                  <w:rFonts w:ascii="Helvetica;sans-serif" w:hAnsi="Helvetica;sans-serif"/>
                  <w:b w:val="false"/>
                  <w:i w:val="false"/>
                  <w:caps w:val="false"/>
                  <w:smallCaps w:val="false"/>
                  <w:sz w:val="20"/>
                </w:rPr>
                <w:t>Amended and Restated Bylaws of the Registrant.</w:t>
              </w:r>
            </w:hyperlink>
          </w:p>
        </w:tc>
        <w:tc>
          <w:tcPr>
            <w:tcW w:w="608"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8-K</w:t>
            </w:r>
          </w:p>
        </w:tc>
        <w:tc>
          <w:tcPr>
            <w:tcW w:w="79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3.1</w:t>
            </w:r>
          </w:p>
        </w:tc>
        <w:tc>
          <w:tcPr>
            <w:tcW w:w="80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11/18/2020</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4.1</w:t>
            </w:r>
          </w:p>
        </w:tc>
        <w:tc>
          <w:tcPr>
            <w:tcW w:w="6176" w:type="dxa"/>
            <w:tcBorders/>
            <w:vAlign w:val="center"/>
          </w:tcPr>
          <w:p>
            <w:pPr>
              <w:pStyle w:val="TableContents"/>
              <w:pBdr/>
              <w:bidi w:val="0"/>
              <w:spacing w:before="0" w:after="0"/>
              <w:ind w:left="0" w:right="0" w:hanging="0"/>
              <w:jc w:val="left"/>
              <w:rPr/>
            </w:pPr>
            <w:hyperlink r:id="rId17">
              <w:r>
                <w:rPr>
                  <w:rStyle w:val="InternetLink"/>
                  <w:rFonts w:ascii="Helvetica;sans-serif" w:hAnsi="Helvetica;sans-serif"/>
                  <w:b w:val="false"/>
                  <w:i w:val="false"/>
                  <w:caps w:val="false"/>
                  <w:smallCaps w:val="false"/>
                  <w:sz w:val="20"/>
                </w:rPr>
                <w:t>Specimen Common Stock Certificate.</w:t>
              </w:r>
            </w:hyperlink>
          </w:p>
        </w:tc>
        <w:tc>
          <w:tcPr>
            <w:tcW w:w="608"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S-1/A</w:t>
            </w:r>
          </w:p>
        </w:tc>
        <w:tc>
          <w:tcPr>
            <w:tcW w:w="79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4.2</w:t>
            </w:r>
          </w:p>
        </w:tc>
        <w:tc>
          <w:tcPr>
            <w:tcW w:w="80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10/24/2014</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5.1</w:t>
            </w:r>
          </w:p>
        </w:tc>
        <w:tc>
          <w:tcPr>
            <w:tcW w:w="6176" w:type="dxa"/>
            <w:tcBorders/>
            <w:vAlign w:val="center"/>
          </w:tcPr>
          <w:p>
            <w:pPr>
              <w:pStyle w:val="TableContents"/>
              <w:bidi w:val="0"/>
              <w:spacing w:before="0" w:after="0"/>
              <w:ind w:left="0" w:right="0" w:hanging="0"/>
              <w:jc w:val="left"/>
              <w:rPr/>
            </w:pPr>
            <w:hyperlink w:anchor="chrs-20260804xex5d1.htm">
              <w:r>
                <w:rPr>
                  <w:rStyle w:val="InternetLink"/>
                  <w:rFonts w:ascii="Helvetica;sans-serif" w:hAnsi="Helvetica;sans-serif"/>
                  <w:b w:val="false"/>
                  <w:i w:val="false"/>
                  <w:caps w:val="false"/>
                  <w:smallCaps w:val="false"/>
                  <w:sz w:val="20"/>
                </w:rPr>
                <w:t>Opinion of Latham &amp; Watkins LLP.</w:t>
              </w:r>
            </w:hyperlink>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X</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23.1</w:t>
            </w:r>
          </w:p>
        </w:tc>
        <w:tc>
          <w:tcPr>
            <w:tcW w:w="6176" w:type="dxa"/>
            <w:tcBorders/>
            <w:vAlign w:val="center"/>
          </w:tcPr>
          <w:p>
            <w:pPr>
              <w:pStyle w:val="TableContents"/>
              <w:bidi w:val="0"/>
              <w:spacing w:before="0" w:after="0"/>
              <w:ind w:left="0" w:right="0" w:hanging="0"/>
              <w:jc w:val="left"/>
              <w:rPr/>
            </w:pPr>
            <w:hyperlink w:anchor="chrs-20260804xex5d1.htm">
              <w:r>
                <w:rPr>
                  <w:rStyle w:val="InternetLink"/>
                  <w:rFonts w:ascii="Helvetica;sans-serif" w:hAnsi="Helvetica;sans-serif"/>
                  <w:b w:val="false"/>
                  <w:i w:val="false"/>
                  <w:caps w:val="false"/>
                  <w:smallCaps w:val="false"/>
                  <w:sz w:val="20"/>
                </w:rPr>
                <w:t>Consent of Latham &amp; Watkins LLP (included in Exhibit 5.1).</w:t>
              </w:r>
            </w:hyperlink>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X</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23.2</w:t>
            </w:r>
          </w:p>
        </w:tc>
        <w:tc>
          <w:tcPr>
            <w:tcW w:w="6176" w:type="dxa"/>
            <w:tcBorders/>
            <w:vAlign w:val="center"/>
          </w:tcPr>
          <w:p>
            <w:pPr>
              <w:pStyle w:val="TableContents"/>
              <w:bidi w:val="0"/>
              <w:spacing w:before="0" w:after="0"/>
              <w:ind w:left="0" w:right="0" w:hanging="0"/>
              <w:jc w:val="left"/>
              <w:rPr/>
            </w:pPr>
            <w:hyperlink w:anchor="chrs-20260804xex23d2.htm">
              <w:r>
                <w:rPr>
                  <w:rStyle w:val="InternetLink"/>
                  <w:rFonts w:ascii="Helvetica;sans-serif" w:hAnsi="Helvetica;sans-serif"/>
                  <w:b w:val="false"/>
                  <w:i w:val="false"/>
                  <w:caps w:val="false"/>
                  <w:smallCaps w:val="false"/>
                  <w:sz w:val="20"/>
                </w:rPr>
                <w:t>Consent of Ernst &amp; Young LLP, Independent Registered Public Accounting Firm.</w:t>
              </w:r>
            </w:hyperlink>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X</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24.1</w:t>
            </w:r>
          </w:p>
        </w:tc>
        <w:tc>
          <w:tcPr>
            <w:tcW w:w="6176" w:type="dxa"/>
            <w:tcBorders/>
            <w:vAlign w:val="center"/>
          </w:tcPr>
          <w:p>
            <w:pPr>
              <w:pStyle w:val="TableContents"/>
              <w:bidi w:val="0"/>
              <w:spacing w:before="0" w:after="0"/>
              <w:ind w:left="0" w:right="0" w:hanging="0"/>
              <w:jc w:val="left"/>
              <w:rPr/>
            </w:pPr>
            <w:hyperlink w:anchor="Power_of_Attorney">
              <w:r>
                <w:rPr>
                  <w:rStyle w:val="InternetLink"/>
                  <w:rFonts w:ascii="Helvetica;sans-serif" w:hAnsi="Helvetica;sans-serif"/>
                  <w:b w:val="false"/>
                  <w:i w:val="false"/>
                  <w:caps w:val="false"/>
                  <w:smallCaps w:val="false"/>
                  <w:sz w:val="20"/>
                </w:rPr>
                <w:t>Power of Attorney (included in the signature page to this registration statement).</w:t>
              </w:r>
            </w:hyperlink>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X</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99.1(a)#</w:t>
            </w:r>
          </w:p>
        </w:tc>
        <w:tc>
          <w:tcPr>
            <w:tcW w:w="6176" w:type="dxa"/>
            <w:tcBorders/>
            <w:vAlign w:val="center"/>
          </w:tcPr>
          <w:p>
            <w:pPr>
              <w:pStyle w:val="TableContents"/>
              <w:bidi w:val="0"/>
              <w:spacing w:before="0" w:after="0"/>
              <w:ind w:left="0" w:right="0" w:hanging="0"/>
              <w:jc w:val="left"/>
              <w:rPr/>
            </w:pPr>
            <w:hyperlink r:id="rId18">
              <w:r>
                <w:rPr>
                  <w:rStyle w:val="InternetLink"/>
                  <w:rFonts w:ascii="Helvetica;sans-serif" w:hAnsi="Helvetica;sans-serif"/>
                  <w:b w:val="false"/>
                  <w:i w:val="false"/>
                  <w:caps w:val="false"/>
                  <w:smallCaps w:val="false"/>
                  <w:sz w:val="20"/>
                </w:rPr>
                <w:t>Coherus Oncology, Inc. Amended and Restated 2014 Equity Incentive Award Plan.</w:t>
              </w:r>
            </w:hyperlink>
          </w:p>
        </w:tc>
        <w:tc>
          <w:tcPr>
            <w:tcW w:w="608"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10-Q</w:t>
            </w:r>
          </w:p>
        </w:tc>
        <w:tc>
          <w:tcPr>
            <w:tcW w:w="79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10.2</w:t>
            </w:r>
          </w:p>
        </w:tc>
        <w:tc>
          <w:tcPr>
            <w:tcW w:w="80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8/07/2025</w:t>
            </w:r>
          </w:p>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99.1(b)#</w:t>
            </w:r>
          </w:p>
        </w:tc>
        <w:tc>
          <w:tcPr>
            <w:tcW w:w="6176" w:type="dxa"/>
            <w:tcBorders/>
            <w:vAlign w:val="center"/>
          </w:tcPr>
          <w:p>
            <w:pPr>
              <w:pStyle w:val="TableContents"/>
              <w:bidi w:val="0"/>
              <w:spacing w:before="0" w:after="0"/>
              <w:ind w:left="0" w:right="0" w:hanging="0"/>
              <w:jc w:val="left"/>
              <w:rPr/>
            </w:pPr>
            <w:hyperlink w:anchor="chrs-20260804xex99d1b.htm">
              <w:r>
                <w:rPr>
                  <w:rStyle w:val="InternetLink"/>
                  <w:rFonts w:ascii="Helvetica;sans-serif" w:hAnsi="Helvetica;sans-serif"/>
                  <w:b w:val="false"/>
                  <w:i w:val="false"/>
                  <w:caps w:val="false"/>
                  <w:smallCaps w:val="false"/>
                  <w:sz w:val="20"/>
                </w:rPr>
                <w:t>Amendment to Coherus Oncology, Inc. Amended and Restated 2014 Equity Incentive Award Plan.</w:t>
              </w:r>
            </w:hyperlink>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X</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99.1(c)#</w:t>
            </w:r>
          </w:p>
        </w:tc>
        <w:tc>
          <w:tcPr>
            <w:tcW w:w="6176" w:type="dxa"/>
            <w:tcBorders/>
            <w:vAlign w:val="center"/>
          </w:tcPr>
          <w:p>
            <w:pPr>
              <w:pStyle w:val="TableContents"/>
              <w:bidi w:val="0"/>
              <w:spacing w:before="0" w:after="0"/>
              <w:ind w:left="0" w:right="0" w:hanging="0"/>
              <w:jc w:val="left"/>
              <w:rPr/>
            </w:pPr>
            <w:hyperlink r:id="rId19">
              <w:r>
                <w:rPr>
                  <w:rStyle w:val="InternetLink"/>
                  <w:rFonts w:ascii="Helvetica;sans-serif" w:hAnsi="Helvetica;sans-serif"/>
                  <w:b w:val="false"/>
                  <w:i w:val="false"/>
                  <w:caps w:val="false"/>
                  <w:smallCaps w:val="false"/>
                  <w:sz w:val="20"/>
                </w:rPr>
                <w:t>Form of Stock Option Grant Notice and Stock Option Agreement under the 2014 Equity Incentive Award Plan.</w:t>
              </w:r>
            </w:hyperlink>
          </w:p>
        </w:tc>
        <w:tc>
          <w:tcPr>
            <w:tcW w:w="608"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S-1/A</w:t>
            </w:r>
          </w:p>
        </w:tc>
        <w:tc>
          <w:tcPr>
            <w:tcW w:w="79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10.11(b)</w:t>
            </w:r>
          </w:p>
        </w:tc>
        <w:tc>
          <w:tcPr>
            <w:tcW w:w="80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11/4/2014</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99.1(d)#</w:t>
            </w:r>
          </w:p>
        </w:tc>
        <w:tc>
          <w:tcPr>
            <w:tcW w:w="6176" w:type="dxa"/>
            <w:tcBorders/>
            <w:vAlign w:val="center"/>
          </w:tcPr>
          <w:p>
            <w:pPr>
              <w:pStyle w:val="TableContents"/>
              <w:bidi w:val="0"/>
              <w:spacing w:before="0" w:after="0"/>
              <w:ind w:left="0" w:right="0" w:hanging="0"/>
              <w:jc w:val="left"/>
              <w:rPr/>
            </w:pPr>
            <w:hyperlink r:id="rId20">
              <w:r>
                <w:rPr>
                  <w:rStyle w:val="InternetLink"/>
                  <w:rFonts w:ascii="Helvetica;sans-serif" w:hAnsi="Helvetica;sans-serif"/>
                  <w:b w:val="false"/>
                  <w:i w:val="false"/>
                  <w:caps w:val="false"/>
                  <w:smallCaps w:val="false"/>
                  <w:sz w:val="20"/>
                </w:rPr>
                <w:t>Form of Restricted Stock Award Grant Notice and Restricted Stock Award Agreement under the 2014 Equity Incentive Award Plan.</w:t>
              </w:r>
            </w:hyperlink>
          </w:p>
        </w:tc>
        <w:tc>
          <w:tcPr>
            <w:tcW w:w="608"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S-1/A</w:t>
            </w:r>
          </w:p>
        </w:tc>
        <w:tc>
          <w:tcPr>
            <w:tcW w:w="79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10.11(c)</w:t>
            </w:r>
          </w:p>
        </w:tc>
        <w:tc>
          <w:tcPr>
            <w:tcW w:w="80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11/4/2014</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99.1(e)#</w:t>
            </w:r>
          </w:p>
        </w:tc>
        <w:tc>
          <w:tcPr>
            <w:tcW w:w="6176" w:type="dxa"/>
            <w:tcBorders/>
            <w:vAlign w:val="center"/>
          </w:tcPr>
          <w:p>
            <w:pPr>
              <w:pStyle w:val="TableContents"/>
              <w:bidi w:val="0"/>
              <w:spacing w:before="0" w:after="0"/>
              <w:ind w:left="0" w:right="0" w:hanging="0"/>
              <w:jc w:val="left"/>
              <w:rPr/>
            </w:pPr>
            <w:hyperlink r:id="rId21">
              <w:r>
                <w:rPr>
                  <w:rStyle w:val="InternetLink"/>
                  <w:rFonts w:ascii="Helvetica;sans-serif" w:hAnsi="Helvetica;sans-serif"/>
                  <w:b w:val="false"/>
                  <w:i w:val="false"/>
                  <w:caps w:val="false"/>
                  <w:smallCaps w:val="false"/>
                  <w:sz w:val="20"/>
                </w:rPr>
                <w:t>Form of Restricted Stock Unit Award Grant Notice and Restricted Stock Unit Award Agreement under the 2014 Equity Incentive Award Plan.</w:t>
              </w:r>
            </w:hyperlink>
          </w:p>
        </w:tc>
        <w:tc>
          <w:tcPr>
            <w:tcW w:w="608"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S-1/A</w:t>
            </w:r>
          </w:p>
        </w:tc>
        <w:tc>
          <w:tcPr>
            <w:tcW w:w="79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10.11(d)</w:t>
            </w:r>
          </w:p>
        </w:tc>
        <w:tc>
          <w:tcPr>
            <w:tcW w:w="806"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11/4/2014</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pPr>
            <w:r>
              <w:rPr/>
              <w:t>​</w:t>
            </w:r>
          </w:p>
        </w:tc>
        <w:tc>
          <w:tcPr>
            <w:tcW w:w="617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pPr>
            <w:r>
              <w:rPr/>
              <w:t>​</w:t>
            </w:r>
          </w:p>
        </w:tc>
      </w:tr>
      <w:tr>
        <w:trPr/>
        <w:tc>
          <w:tcPr>
            <w:tcW w:w="85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sz w:val="20"/>
              </w:rPr>
              <w:t>107</w:t>
            </w:r>
          </w:p>
        </w:tc>
        <w:tc>
          <w:tcPr>
            <w:tcW w:w="6176" w:type="dxa"/>
            <w:tcBorders/>
            <w:vAlign w:val="center"/>
          </w:tcPr>
          <w:p>
            <w:pPr>
              <w:pStyle w:val="TableContents"/>
              <w:bidi w:val="0"/>
              <w:spacing w:before="0" w:after="0"/>
              <w:ind w:left="0" w:right="0" w:hanging="0"/>
              <w:jc w:val="left"/>
              <w:rPr/>
            </w:pPr>
            <w:hyperlink w:anchor="chrs-20260804xexfees.htm">
              <w:r>
                <w:rPr>
                  <w:rStyle w:val="InternetLink"/>
                  <w:rFonts w:ascii="Helvetica;sans-serif" w:hAnsi="Helvetica;sans-serif"/>
                  <w:b w:val="false"/>
                  <w:i w:val="false"/>
                  <w:caps w:val="false"/>
                  <w:smallCaps w:val="false"/>
                  <w:sz w:val="20"/>
                </w:rPr>
                <w:t>Filing Fee Table.</w:t>
              </w:r>
            </w:hyperlink>
          </w:p>
        </w:tc>
        <w:tc>
          <w:tcPr>
            <w:tcW w:w="608"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X</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Helvetica;sans-serif" w:hAnsi="Helvetica;sans-serif"/>
          <w:sz w:val="20"/>
        </w:rPr>
      </w:pPr>
      <w:r>
        <w:rPr>
          <w:rFonts w:ascii="Helvetica;sans-serif" w:hAnsi="Helvetica;sans-serif"/>
          <w:sz w:val="20"/>
        </w:rPr>
        <w:t># Indicates management contract or compensatory plan.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center"/>
        <w:rPr>
          <w:rFonts w:ascii="Helvetica;sans-serif" w:hAnsi="Helvetica;sans-serif"/>
          <w:b/>
          <w:sz w:val="20"/>
        </w:rPr>
      </w:pPr>
      <w:r>
        <w:rPr>
          <w:rFonts w:ascii="Helvetica;sans-serif" w:hAnsi="Helvetica;sans-serif"/>
          <w:b/>
          <w:sz w:val="20"/>
        </w:rPr>
        <w:t>SIGNATURES</w:t>
      </w:r>
    </w:p>
    <w:p>
      <w:pPr>
        <w:pStyle w:val="TextBody"/>
        <w:bidi w:val="0"/>
        <w:spacing w:before="0" w:after="200"/>
        <w:ind w:left="0" w:right="0" w:firstLine="720"/>
        <w:jc w:val="both"/>
        <w:rPr>
          <w:rFonts w:ascii="Helvetica;sans-serif" w:hAnsi="Helvetica;sans-serif"/>
          <w:sz w:val="20"/>
        </w:rPr>
      </w:pPr>
      <w:r>
        <w:rPr>
          <w:rFonts w:ascii="Helvetica;sans-serif" w:hAnsi="Helvetica;sans-serif"/>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Redwood City, California, on August 5, 2026.</w:t>
      </w:r>
    </w:p>
    <w:tbl>
      <w:tblPr>
        <w:tblW w:w="3966" w:type="dxa"/>
        <w:jc w:val="left"/>
        <w:tblInd w:w="0" w:type="dxa"/>
        <w:tblLayout w:type="fixed"/>
        <w:tblCellMar>
          <w:top w:w="0" w:type="dxa"/>
          <w:left w:w="0" w:type="dxa"/>
          <w:bottom w:w="0" w:type="dxa"/>
          <w:right w:w="0" w:type="dxa"/>
        </w:tblCellMar>
      </w:tblPr>
      <w:tblGrid>
        <w:gridCol w:w="124"/>
        <w:gridCol w:w="406"/>
        <w:gridCol w:w="34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8740" cy="175260"/>
                      <wp:effectExtent l="0" t="0" r="0" b="0"/>
                      <wp:wrapNone/>
                      <wp:docPr id="8" name="Frame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7810" cy="175260"/>
                      <wp:effectExtent l="0" t="0" r="0" b="0"/>
                      <wp:wrapNone/>
                      <wp:docPr id="9" name="Frame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81860" cy="175260"/>
                      <wp:effectExtent l="0" t="0" r="0" b="0"/>
                      <wp:wrapNone/>
                      <wp:docPr id="10" name="Frame10"/>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COHERUS ONCOLOGY, INC.</w:t>
            </w:r>
          </w:p>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By:</w:t>
            </w:r>
          </w:p>
        </w:tc>
        <w:tc>
          <w:tcPr>
            <w:tcW w:w="3436" w:type="dxa"/>
            <w:tcBorders>
              <w:bottom w:val="single" w:sz="8"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40" w:right="0" w:hanging="0"/>
              <w:jc w:val="left"/>
              <w:rPr>
                <w:rFonts w:ascii="Helvetica;sans-serif" w:hAnsi="Helvetica;sans-serif"/>
                <w:sz w:val="20"/>
              </w:rPr>
            </w:pPr>
            <w:r>
              <w:rPr>
                <w:rFonts w:ascii="Helvetica;sans-serif" w:hAnsi="Helvetica;san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Helvetica;sans-serif" w:hAnsi="Helvetica;sans-serif"/>
          <w:b/>
          <w:sz w:val="20"/>
        </w:rPr>
      </w:pPr>
      <w:r>
        <w:rPr>
          <w:rFonts w:ascii="Helvetica;sans-serif" w:hAnsi="Helvetica;sans-serif"/>
          <w:b/>
          <w:sz w:val="20"/>
        </w:rPr>
        <w:t>POWER OF ATTORNEY</w:t>
      </w:r>
      <w:bookmarkStart w:id="2" w:name="Power_of_Attorney"/>
      <w:bookmarkEnd w:id="2"/>
    </w:p>
    <w:p>
      <w:pPr>
        <w:pStyle w:val="TextBody"/>
        <w:bidi w:val="0"/>
        <w:spacing w:before="0" w:after="120"/>
        <w:ind w:left="0" w:right="0" w:firstLine="720"/>
        <w:jc w:val="both"/>
        <w:rPr>
          <w:rFonts w:ascii="Helvetica;sans-serif" w:hAnsi="Helvetica;sans-serif"/>
          <w:sz w:val="20"/>
        </w:rPr>
      </w:pPr>
      <w:r>
        <w:rPr>
          <w:rFonts w:ascii="Helvetica;sans-serif" w:hAnsi="Helvetica;sans-serif"/>
          <w:sz w:val="20"/>
        </w:rPr>
        <w:t>KNOW ALL PERSONS BY THESE PRESENTS, that each person whose signature appears below does hereby constitute and appoint Dennis M. Lanfear and Bryan McMichael, and each of them, with full power of substitution and full power to act without the other, his or her true and lawful attorney-in-fact and agent to act for him or her in his or her name, place and stead, in any and all capacities, to sign any and all amendments (including post-effective amendments) to this Registration Statement, and to file this Registration Statement, with all exhibits thereto, and other documents in connection therewith, with the Commission,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Pursuant to the requirements of the Securities Act, this Registration Statement has been signed by the following persons in the capacities and on the date indicated.</w:t>
      </w:r>
    </w:p>
    <w:p>
      <w:pPr>
        <w:pStyle w:val="TextBody"/>
        <w:bidi w:val="0"/>
        <w:spacing w:before="0" w:after="0"/>
        <w:ind w:left="0" w:right="0" w:firstLine="720"/>
        <w:jc w:val="left"/>
        <w:rPr/>
      </w:pPr>
      <w:r>
        <w:rPr/>
        <w:t>​</w:t>
      </w:r>
    </w:p>
    <w:tbl>
      <w:tblPr>
        <w:tblW w:w="9281" w:type="dxa"/>
        <w:jc w:val="left"/>
        <w:tblInd w:w="0" w:type="dxa"/>
        <w:tblLayout w:type="fixed"/>
        <w:tblCellMar>
          <w:top w:w="0" w:type="dxa"/>
          <w:left w:w="0" w:type="dxa"/>
          <w:bottom w:w="0" w:type="dxa"/>
          <w:right w:w="0" w:type="dxa"/>
        </w:tblCellMar>
      </w:tblPr>
      <w:tblGrid>
        <w:gridCol w:w="2266"/>
        <w:gridCol w:w="5326"/>
        <w:gridCol w:w="1426"/>
        <w:gridCol w:w="109"/>
        <w:gridCol w:w="154"/>
      </w:tblGrid>
      <w:tr>
        <w:trPr/>
        <w:tc>
          <w:tcPr>
            <w:tcW w:w="2266"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Signature</w:t>
            </w:r>
          </w:p>
        </w:tc>
        <w:tc>
          <w:tcPr>
            <w:tcW w:w="532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Title</w:t>
            </w:r>
          </w:p>
        </w:tc>
        <w:tc>
          <w:tcPr>
            <w:tcW w:w="142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Date</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Dennis M. Lanfear</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 xml:space="preserve">Chairman, President and Chief Executive Officer </w:t>
            </w:r>
          </w:p>
          <w:p>
            <w:pPr>
              <w:pStyle w:val="TableContents"/>
              <w:bidi w:val="0"/>
              <w:spacing w:before="0" w:after="0"/>
              <w:ind w:left="0" w:right="0" w:hanging="0"/>
              <w:jc w:val="center"/>
              <w:rPr>
                <w:rFonts w:ascii="Helvetica;sans-serif" w:hAnsi="Helvetica;sans-serif"/>
                <w:b w:val="false"/>
                <w:i/>
                <w:caps w:val="false"/>
                <w:smallCaps w:val="false"/>
                <w:color w:val="000000"/>
                <w:sz w:val="20"/>
              </w:rPr>
            </w:pPr>
            <w:r>
              <w:rPr>
                <w:rFonts w:ascii="Helvetica;sans-serif" w:hAnsi="Helvetica;sans-serif"/>
                <w:b w:val="false"/>
                <w:i/>
                <w:caps w:val="false"/>
                <w:smallCaps w:val="false"/>
                <w:color w:val="000000"/>
                <w:sz w:val="20"/>
              </w:rPr>
              <w:t>(Principal Executive Officer)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Dennis M. Lanfear</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Bryan McMichael</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 xml:space="preserve">Chief Financial Officer </w:t>
            </w:r>
          </w:p>
          <w:p>
            <w:pPr>
              <w:pStyle w:val="TableContents"/>
              <w:bidi w:val="0"/>
              <w:spacing w:before="0" w:after="0"/>
              <w:ind w:left="0" w:right="0" w:hanging="0"/>
              <w:jc w:val="center"/>
              <w:rPr>
                <w:rFonts w:ascii="Helvetica;sans-serif" w:hAnsi="Helvetica;sans-serif"/>
                <w:b w:val="false"/>
                <w:i/>
                <w:caps w:val="false"/>
                <w:smallCaps w:val="false"/>
                <w:color w:val="000000"/>
                <w:sz w:val="20"/>
              </w:rPr>
            </w:pPr>
            <w:r>
              <w:rPr>
                <w:rFonts w:ascii="Helvetica;sans-serif" w:hAnsi="Helvetica;sans-serif"/>
                <w:b w:val="false"/>
                <w:i/>
                <w:caps w:val="false"/>
                <w:smallCaps w:val="false"/>
                <w:color w:val="000000"/>
                <w:sz w:val="20"/>
              </w:rPr>
              <w:t>(Principal Financial Officer and Principal Accounting Officer)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Bryan McMichael</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5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Lee N. Newcomer</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Director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Lee N. Newcomer</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center"/>
              <w:rPr/>
            </w:pPr>
            <w:r>
              <w:rPr/>
              <w:t>​</w:t>
            </w:r>
          </w:p>
        </w:tc>
        <w:tc>
          <w:tcPr>
            <w:tcW w:w="532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Ali J. Satvat</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Director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Ali J. Satvat</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center"/>
              <w:rPr/>
            </w:pPr>
            <w:r>
              <w:rPr/>
              <w:t>​</w:t>
            </w:r>
          </w:p>
        </w:tc>
        <w:tc>
          <w:tcPr>
            <w:tcW w:w="532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Mats Wahlström</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Director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Mats Wahlström</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center"/>
              <w:rPr/>
            </w:pPr>
            <w:r>
              <w:rPr/>
              <w:t>​</w:t>
            </w:r>
          </w:p>
        </w:tc>
        <w:tc>
          <w:tcPr>
            <w:tcW w:w="532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Charles Newton</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Director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Charles Newton</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center"/>
              <w:rPr/>
            </w:pPr>
            <w:r>
              <w:rPr/>
              <w:t>​</w:t>
            </w:r>
          </w:p>
        </w:tc>
        <w:tc>
          <w:tcPr>
            <w:tcW w:w="532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Michael Ryan</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Director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Michael Ryan</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center"/>
              <w:rPr/>
            </w:pPr>
            <w:r>
              <w:rPr/>
              <w:t>​</w:t>
            </w:r>
          </w:p>
        </w:tc>
        <w:tc>
          <w:tcPr>
            <w:tcW w:w="532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Jill O’Donnell-Tormey</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Director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Jill O’Donnell-Tormey</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center"/>
              <w:rPr/>
            </w:pPr>
            <w:r>
              <w:rPr/>
              <w:t>​</w:t>
            </w:r>
          </w:p>
        </w:tc>
        <w:tc>
          <w:tcPr>
            <w:tcW w:w="532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/s/ Rita Karachun</w:t>
            </w:r>
          </w:p>
        </w:tc>
        <w:tc>
          <w:tcPr>
            <w:tcW w:w="53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Director</w:t>
            </w:r>
          </w:p>
        </w:tc>
        <w:tc>
          <w:tcPr>
            <w:tcW w:w="1426" w:type="dxa"/>
            <w:vMerge w:val="restart"/>
            <w:tcBorders/>
            <w:vAlign w:val="center"/>
          </w:tcPr>
          <w:p>
            <w:pPr>
              <w:pStyle w:val="TableContents"/>
              <w:bidi w:val="0"/>
              <w:spacing w:before="0" w:after="0"/>
              <w:ind w:left="0" w:right="0" w:hanging="0"/>
              <w:jc w:val="center"/>
              <w:rPr>
                <w:rFonts w:ascii="Helvetica;sans-serif" w:hAnsi="Helvetica;sans-serif"/>
                <w:b w:val="false"/>
                <w:i w:val="false"/>
                <w:caps w:val="false"/>
                <w:smallCaps w:val="false"/>
                <w:color w:val="000000"/>
                <w:sz w:val="20"/>
              </w:rPr>
            </w:pPr>
            <w:r>
              <w:rPr>
                <w:rFonts w:ascii="Helvetica;sans-serif" w:hAnsi="Helvetica;sans-serif"/>
                <w:b w:val="false"/>
                <w:i w:val="false"/>
                <w:caps w:val="false"/>
                <w:smallCaps w:val="false"/>
                <w:color w:val="000000"/>
                <w:sz w:val="20"/>
              </w:rPr>
              <w:t>August 5, 2026</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66" w:type="dxa"/>
            <w:tcBorders>
              <w:top w:val="single" w:sz="8" w:space="0" w:color="000000"/>
            </w:tcBorders>
            <w:tcMar>
              <w:top w:w="28" w:type="dxa"/>
            </w:tcMar>
            <w:vAlign w:val="center"/>
          </w:tcPr>
          <w:p>
            <w:pPr>
              <w:pStyle w:val="TableContents"/>
              <w:bidi w:val="0"/>
              <w:spacing w:before="0" w:after="0"/>
              <w:ind w:left="0" w:right="0" w:hanging="0"/>
              <w:jc w:val="center"/>
              <w:rPr>
                <w:rFonts w:ascii="Helvetica;sans-serif" w:hAnsi="Helvetica;sans-serif"/>
                <w:sz w:val="20"/>
              </w:rPr>
            </w:pPr>
            <w:r>
              <w:rPr>
                <w:rFonts w:ascii="Helvetica;sans-serif" w:hAnsi="Helvetica;sans-serif"/>
                <w:sz w:val="20"/>
              </w:rPr>
              <w:t>Rita Karachun</w:t>
            </w:r>
          </w:p>
        </w:tc>
        <w:tc>
          <w:tcPr>
            <w:tcW w:w="5326" w:type="dxa"/>
            <w:vMerge w:val="continue"/>
            <w:tcBorders/>
            <w:vAlign w:val="center"/>
          </w:tcPr>
          <w:p>
            <w:pPr>
              <w:pStyle w:val="Normal"/>
              <w:bidi w:val="0"/>
              <w:jc w:val="left"/>
              <w:rPr/>
            </w:pPr>
            <w:r>
              <w:rPr/>
            </w:r>
          </w:p>
        </w:tc>
        <w:tc>
          <w:tcPr>
            <w:tcW w:w="142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 w:name="chrs-20260804xex5d1.htm"/>
      <w:bookmarkStart w:id="4" w:name="kschrs20260804xex5d1"/>
      <w:bookmarkEnd w:id="3"/>
      <w:bookmarkEnd w:id="4"/>
      <w:r>
        <w:rPr/>
        <w:t>​</w:t>
      </w:r>
      <w:r>
        <w:br w:type="page"/>
      </w:r>
    </w:p>
    <w:p>
      <w:pPr>
        <w:pStyle w:val="TextBody"/>
        <w:bidi w:val="0"/>
        <w:spacing w:before="0" w:after="0"/>
        <w:ind w:left="0" w:right="0" w:hanging="0"/>
        <w:jc w:val="right"/>
        <w:rPr>
          <w:rFonts w:ascii="Helvetica;sans-serif" w:hAnsi="Helvetica;sans-serif"/>
          <w:b/>
          <w:sz w:val="20"/>
        </w:rPr>
      </w:pPr>
      <w:r>
        <w:rPr>
          <w:rFonts w:ascii="Helvetica;sans-serif" w:hAnsi="Helvetica;sans-serif"/>
          <w:b/>
          <w:sz w:val="20"/>
        </w:rPr>
        <w:t>Exhibit 5.1</w:t>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2286000" cy="15176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2"/>
                    <a:stretch>
                      <a:fillRect/>
                    </a:stretch>
                  </pic:blipFill>
                  <pic:spPr bwMode="auto">
                    <a:xfrm>
                      <a:off x="0" y="0"/>
                      <a:ext cx="2286000" cy="151765"/>
                    </a:xfrm>
                    <a:prstGeom prst="rect">
                      <a:avLst/>
                    </a:prstGeom>
                  </pic:spPr>
                </pic:pic>
              </a:graphicData>
            </a:graphic>
          </wp:inline>
        </w:drawing>
      </w:r>
    </w:p>
    <w:p>
      <w:pPr>
        <w:pStyle w:val="TextBody"/>
        <w:bidi w:val="0"/>
        <w:spacing w:before="0" w:after="0"/>
        <w:ind w:left="0" w:right="0" w:hanging="0"/>
        <w:jc w:val="left"/>
        <w:rPr/>
      </w:pPr>
      <w:r>
        <w:rPr/>
        <w:t>​</w:t>
      </w:r>
    </w:p>
    <w:tbl>
      <w:tblPr>
        <w:tblW w:w="5401" w:type="dxa"/>
        <w:jc w:val="center"/>
        <w:tblInd w:w="0" w:type="dxa"/>
        <w:tblLayout w:type="fixed"/>
        <w:tblCellMar>
          <w:top w:w="0" w:type="dxa"/>
          <w:left w:w="0" w:type="dxa"/>
          <w:bottom w:w="0" w:type="dxa"/>
          <w:right w:w="0" w:type="dxa"/>
        </w:tblCellMar>
      </w:tblPr>
      <w:tblGrid>
        <w:gridCol w:w="1441"/>
        <w:gridCol w:w="1638"/>
        <w:gridCol w:w="2322"/>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15035" cy="175260"/>
                      <wp:effectExtent l="0" t="0" r="0" b="0"/>
                      <wp:wrapNone/>
                      <wp:docPr id="12" name="Frame11"/>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040130" cy="175260"/>
                      <wp:effectExtent l="0" t="0" r="0" b="0"/>
                      <wp:wrapNone/>
                      <wp:docPr id="13" name="Frame12"/>
                      <a:graphic xmlns:a="http://schemas.openxmlformats.org/drawingml/2006/main">
                        <a:graphicData uri="http://schemas.microsoft.com/office/word/2010/wordprocessingShape">
                          <wps:wsp>
                            <wps:cNvSpPr txBox="1"/>
                            <wps:spPr>
                              <a:xfrm>
                                <a:off x="0" y="0"/>
                                <a:ext cx="1040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74470" cy="175260"/>
                      <wp:effectExtent l="0" t="0" r="0" b="0"/>
                      <wp:wrapNone/>
                      <wp:docPr id="14" name="Frame13"/>
                      <a:graphic xmlns:a="http://schemas.openxmlformats.org/drawingml/2006/main">
                        <a:graphicData uri="http://schemas.microsoft.com/office/word/2010/wordprocessingShape">
                          <wps:wsp>
                            <wps:cNvSpPr txBox="1"/>
                            <wps:spPr>
                              <a:xfrm>
                                <a:off x="0" y="0"/>
                                <a:ext cx="147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20"/>
              </w:rPr>
              <w:t>650 Town Center Drive, 20</w:t>
            </w:r>
            <w:r>
              <w:rPr>
                <w:rFonts w:ascii="Helvetica;sans-serif" w:hAnsi="Helvetica;sans-serif"/>
                <w:sz w:val="15"/>
              </w:rPr>
              <w:t>th</w:t>
            </w:r>
            <w:r>
              <w:rPr>
                <w:rFonts w:ascii="Times New Roman;Times;serif" w:hAnsi="Times New Roman;Times;serif"/>
                <w:sz w:val="20"/>
              </w:rPr>
              <w:t xml:space="preserve"> </w:t>
            </w:r>
            <w:r>
              <w:rPr>
                <w:rFonts w:ascii="Helvetica;sans-serif" w:hAnsi="Helvetica;sans-serif"/>
                <w:sz w:val="20"/>
              </w:rPr>
              <w:t>Floor</w:t>
            </w:r>
          </w:p>
        </w:tc>
      </w:tr>
      <w:tr>
        <w:trPr/>
        <w:tc>
          <w:tcPr>
            <w:tcW w:w="144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Costa Mesa, California 92626-1925</w:t>
            </w:r>
          </w:p>
        </w:tc>
      </w:tr>
      <w:tr>
        <w:trPr/>
        <w:tc>
          <w:tcPr>
            <w:tcW w:w="144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Tel: +1.715.540.1235 Fax: +1.714.755.8290</w:t>
            </w:r>
          </w:p>
        </w:tc>
      </w:tr>
      <w:tr>
        <w:trPr/>
        <w:tc>
          <w:tcPr>
            <w:tcW w:w="144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www.lw.com</w:t>
            </w:r>
          </w:p>
        </w:tc>
      </w:tr>
      <w:tr>
        <w:trPr/>
        <w:tc>
          <w:tcPr>
            <w:tcW w:w="144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FIRM / AFFILIATE OFFICES</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Austin</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Milan</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Beijing</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Munich</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Boston</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New York</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Brussels</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Orange County</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Chicago</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Paris</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Dubai</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Riyadh</w:t>
            </w:r>
          </w:p>
        </w:tc>
      </w:tr>
      <w:tr>
        <w:trPr/>
        <w:tc>
          <w:tcPr>
            <w:tcW w:w="144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August 5, 2026</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Düsseldorf</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San Diego</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Frankfurt</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San Francisco</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Hamburg</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Seoul</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Hong Kong</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Silicon Valley</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Houston</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Singapore</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London</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Tel Aviv</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Los Angeles</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Tokyo</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Madrid</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Washington, D.C.</w:t>
            </w:r>
          </w:p>
        </w:tc>
      </w:tr>
      <w:tr>
        <w:trPr/>
        <w:tc>
          <w:tcPr>
            <w:tcW w:w="144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Coherus Oncology, Inc.</w:t>
        <w:br/>
        <w:t>333 Twin Dolphin Drive, Suite 600</w:t>
        <w:br/>
        <w:t>Redwood City, CA 94065</w:t>
      </w:r>
    </w:p>
    <w:p>
      <w:pPr>
        <w:pStyle w:val="TextBody"/>
        <w:bidi w:val="0"/>
        <w:spacing w:before="0" w:after="0"/>
        <w:ind w:left="0" w:right="0" w:hanging="0"/>
        <w:jc w:val="left"/>
        <w:rPr/>
      </w:pPr>
      <w:r>
        <w:rPr/>
        <w:t>​</w:t>
      </w:r>
    </w:p>
    <w:p>
      <w:pPr>
        <w:pStyle w:val="TextBody"/>
        <w:pBdr/>
        <w:bidi w:val="0"/>
        <w:spacing w:before="0" w:after="0"/>
        <w:ind w:left="288" w:right="0" w:hanging="576"/>
        <w:jc w:val="left"/>
        <w:rPr>
          <w:rFonts w:ascii="Times New Roman;Times;serif" w:hAnsi="Times New Roman;Times;serif"/>
          <w:sz w:val="20"/>
        </w:rPr>
      </w:pPr>
      <w:r>
        <w:rPr>
          <w:rFonts w:ascii="Helvetica;sans-serif" w:hAnsi="Helvetica;sans-serif"/>
          <w:sz w:val="20"/>
        </w:rPr>
        <w:t>Re:    </w:t>
      </w:r>
      <w:r>
        <w:rPr>
          <w:rFonts w:ascii="Helvetica;sans-serif" w:hAnsi="Helvetica;sans-serif"/>
          <w:sz w:val="20"/>
          <w:u w:val="single"/>
        </w:rPr>
        <w:t>Registration Statement on Form S-8; 7,700,000 shares of Common Stock, par value $0.0001 per share</w:t>
      </w:r>
    </w:p>
    <w:p>
      <w:pPr>
        <w:pStyle w:val="TextBody"/>
        <w:bidi w:val="0"/>
        <w:spacing w:before="0" w:after="0"/>
        <w:ind w:left="0" w:right="0" w:hanging="0"/>
        <w:jc w:val="both"/>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To the addressee set forth above: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Helvetica;sans-serif" w:hAnsi="Helvetica;sans-serif"/>
          <w:sz w:val="20"/>
        </w:rPr>
        <w:t>We have acted as special counsel to Coherus Oncology, Inc., a Delaware corporation (the “</w:t>
      </w:r>
      <w:r>
        <w:rPr>
          <w:rFonts w:ascii="Helvetica;sans-serif" w:hAnsi="Helvetica;sans-serif"/>
          <w:b/>
          <w:i/>
          <w:sz w:val="20"/>
        </w:rPr>
        <w:t>Company</w:t>
      </w:r>
      <w:r>
        <w:rPr>
          <w:rFonts w:ascii="Times New Roman;Times;serif" w:hAnsi="Times New Roman;Times;serif"/>
          <w:sz w:val="20"/>
        </w:rPr>
        <w:t>”</w:t>
      </w:r>
      <w:r>
        <w:rPr>
          <w:rFonts w:ascii="Helvetica;sans-serif" w:hAnsi="Helvetica;sans-serif"/>
          <w:sz w:val="20"/>
        </w:rPr>
        <w:t>), in connection with the registration by the Company of 7,700,000 shares of Common Stock of the Company, par value $0.0001 per share (the “</w:t>
      </w:r>
      <w:r>
        <w:rPr>
          <w:rFonts w:ascii="Helvetica;sans-serif" w:hAnsi="Helvetica;sans-serif"/>
          <w:b/>
          <w:i/>
          <w:sz w:val="20"/>
        </w:rPr>
        <w:t>Shares</w:t>
      </w:r>
      <w:r>
        <w:rPr>
          <w:rFonts w:ascii="Times New Roman;Times;serif" w:hAnsi="Times New Roman;Times;serif"/>
          <w:sz w:val="20"/>
        </w:rPr>
        <w:t>”</w:t>
      </w:r>
      <w:r>
        <w:rPr>
          <w:rFonts w:ascii="Helvetica;sans-serif" w:hAnsi="Helvetica;sans-serif"/>
          <w:sz w:val="20"/>
        </w:rPr>
        <w:t>), issuable under the Coherus Oncology, Inc. Amended and Restated 2014 Equity Incentive Award Plan (the “</w:t>
      </w:r>
      <w:r>
        <w:rPr>
          <w:rFonts w:ascii="Helvetica;sans-serif" w:hAnsi="Helvetica;sans-serif"/>
          <w:b/>
          <w:i/>
          <w:sz w:val="20"/>
        </w:rPr>
        <w:t>Plan</w:t>
      </w:r>
      <w:r>
        <w:rPr>
          <w:rFonts w:ascii="Times New Roman;Times;serif" w:hAnsi="Times New Roman;Times;serif"/>
          <w:sz w:val="20"/>
        </w:rPr>
        <w:t>”</w:t>
      </w:r>
      <w:r>
        <w:rPr>
          <w:rFonts w:ascii="Helvetica;sans-serif" w:hAnsi="Helvetica;sans-serif"/>
          <w:sz w:val="20"/>
        </w:rPr>
        <w:t>). The Shares are included in a registration statement on Form S-8 under the Securities Act of 1933, as amended (the “</w:t>
      </w:r>
      <w:r>
        <w:rPr>
          <w:rFonts w:ascii="Helvetica;sans-serif" w:hAnsi="Helvetica;sans-serif"/>
          <w:b/>
          <w:i/>
          <w:sz w:val="20"/>
        </w:rPr>
        <w:t>Act</w:t>
      </w:r>
      <w:r>
        <w:rPr>
          <w:rFonts w:ascii="Times New Roman;Times;serif" w:hAnsi="Times New Roman;Times;serif"/>
          <w:sz w:val="20"/>
        </w:rPr>
        <w:t>”</w:t>
      </w:r>
      <w:r>
        <w:rPr>
          <w:rFonts w:ascii="Helvetica;sans-serif" w:hAnsi="Helvetica;sans-serif"/>
          <w:sz w:val="20"/>
        </w:rPr>
        <w:t>), filed with the Securities and Exchange Commission (the “</w:t>
      </w:r>
      <w:r>
        <w:rPr>
          <w:rFonts w:ascii="Helvetica;sans-serif" w:hAnsi="Helvetica;sans-serif"/>
          <w:b/>
          <w:i/>
          <w:sz w:val="20"/>
        </w:rPr>
        <w:t>Commission</w:t>
      </w:r>
      <w:r>
        <w:rPr>
          <w:rFonts w:ascii="Times New Roman;Times;serif" w:hAnsi="Times New Roman;Times;serif"/>
          <w:sz w:val="20"/>
        </w:rPr>
        <w:t>”</w:t>
      </w:r>
      <w:r>
        <w:rPr>
          <w:rFonts w:ascii="Helvetica;sans-serif" w:hAnsi="Helvetica;sans-serif"/>
          <w:sz w:val="20"/>
        </w:rPr>
        <w:t>) on August [5], 2026 (the “</w:t>
      </w:r>
      <w:r>
        <w:rPr>
          <w:rFonts w:ascii="Helvetica;sans-serif" w:hAnsi="Helvetica;sans-serif"/>
          <w:b/>
          <w:i/>
          <w:sz w:val="20"/>
        </w:rPr>
        <w:t>Registration Statement</w:t>
      </w:r>
      <w:r>
        <w:rPr>
          <w:rFonts w:ascii="Times New Roman;Times;serif" w:hAnsi="Times New Roman;Times;serif"/>
          <w:sz w:val="20"/>
        </w:rPr>
        <w:t>”</w:t>
      </w:r>
      <w:r>
        <w:rPr>
          <w:rFonts w:ascii="Helvetica;sans-serif" w:hAnsi="Helvetica;sans-serif"/>
          <w:sz w:val="20"/>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Helvetica;sans-serif" w:hAnsi="Helvetica;sans-serif"/>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Helvetica;sans-serif" w:hAnsi="Helvetica;sans-serif"/>
          <w:b/>
          <w:i/>
          <w:sz w:val="20"/>
        </w:rPr>
        <w:t>DGCL</w:t>
      </w:r>
      <w:r>
        <w:rPr>
          <w:rFonts w:ascii="Times New Roman;Times;serif" w:hAnsi="Times New Roman;Times;serif"/>
          <w:sz w:val="20"/>
        </w:rPr>
        <w:t>”</w:t>
      </w:r>
      <w:r>
        <w:rPr>
          <w:rFonts w:ascii="Helvetica;sans-serif" w:hAnsi="Helvetica;sans-serif"/>
          <w:sz w:val="20"/>
        </w:rPr>
        <w:t>), and we express no opinion with respect to any other laws.</w:t>
      </w:r>
    </w:p>
    <w:p>
      <w:pPr>
        <w:pStyle w:val="TextBody"/>
        <w:bidi w:val="0"/>
        <w:spacing w:before="0" w:after="0"/>
        <w:ind w:left="0" w:right="0" w:hanging="0"/>
        <w:jc w:val="both"/>
        <w:rPr/>
      </w:pPr>
      <w:r>
        <w:rPr/>
        <w:t> </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 assuming in each case that the individual issuances, grants or awards under the Plan are duly authorized by all necessary corporate action and duly issued, granted or awarded and exercised in accordance with the requirements of law and the Plan (and the agreements and awards duly adopted thereunder and in accordance therewith), the issuance and sale of the Shares will have been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Helvetica;sans-serif" w:hAnsi="Helvetica;sans-serif"/>
          <w:sz w:val="14"/>
        </w:rPr>
      </w:pPr>
      <w:r>
        <w:rPr>
          <w:rFonts w:ascii="Helvetica;sans-serif" w:hAnsi="Helvetica;sans-serif"/>
          <w:sz w:val="14"/>
        </w:rPr>
        <w:t>August 5, 2026</w:t>
      </w:r>
    </w:p>
    <w:p>
      <w:pPr>
        <w:pStyle w:val="TextBody"/>
        <w:bidi w:val="0"/>
        <w:spacing w:before="0" w:after="0"/>
        <w:ind w:left="0" w:right="0" w:hanging="0"/>
        <w:jc w:val="left"/>
        <w:rPr>
          <w:rFonts w:ascii="Helvetica;sans-serif" w:hAnsi="Helvetica;sans-serif"/>
          <w:sz w:val="14"/>
        </w:rPr>
      </w:pPr>
      <w:r>
        <w:rPr>
          <w:rFonts w:ascii="Helvetica;sans-serif" w:hAnsi="Helvetica;sans-serif"/>
          <w:sz w:val="14"/>
        </w:rPr>
        <w:t>Page 2</w:t>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1600200" cy="10604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23"/>
                    <a:stretch>
                      <a:fillRect/>
                    </a:stretch>
                  </pic:blipFill>
                  <pic:spPr bwMode="auto">
                    <a:xfrm>
                      <a:off x="0" y="0"/>
                      <a:ext cx="1600200" cy="10604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hanging="0"/>
        <w:jc w:val="both"/>
        <w:rPr/>
      </w:pPr>
      <w:r>
        <w:rPr/>
        <w:t> </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both"/>
        <w:rPr/>
      </w:pPr>
      <w:r>
        <w:rPr/>
        <w:t>​</w:t>
      </w:r>
    </w:p>
    <w:p>
      <w:pPr>
        <w:pStyle w:val="TextBody"/>
        <w:bidi w:val="0"/>
        <w:spacing w:before="0" w:after="240"/>
        <w:ind w:left="3600" w:right="0" w:firstLine="720"/>
        <w:jc w:val="left"/>
        <w:rPr>
          <w:rFonts w:ascii="Helvetica;sans-serif" w:hAnsi="Helvetica;sans-serif"/>
          <w:sz w:val="20"/>
        </w:rPr>
      </w:pPr>
      <w:r>
        <w:rPr>
          <w:rFonts w:ascii="Helvetica;sans-serif" w:hAnsi="Helvetica;sans-serif"/>
          <w:sz w:val="20"/>
        </w:rPr>
        <w:t>Very truly yours,</w:t>
      </w:r>
    </w:p>
    <w:p>
      <w:pPr>
        <w:pStyle w:val="TextBody"/>
        <w:bidi w:val="0"/>
        <w:spacing w:before="0" w:after="0"/>
        <w:ind w:left="4320" w:right="0" w:hanging="0"/>
        <w:jc w:val="left"/>
        <w:rPr>
          <w:rFonts w:ascii="Times New Roman;Times;serif" w:hAnsi="Times New Roman;Times;serif"/>
          <w:sz w:val="20"/>
        </w:rPr>
      </w:pPr>
      <w:r>
        <w:rPr>
          <w:rFonts w:ascii="Helvetica;sans-serif" w:hAnsi="Helvetica;sans-serif"/>
          <w:sz w:val="20"/>
        </w:rPr>
        <w:t>/s/ Latham &amp; Watkins LLP</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Helvetica;sans-serif" w:hAnsi="Helvetica;sans-serif"/>
          <w:b/>
          <w:sz w:val="20"/>
        </w:rPr>
      </w:pPr>
      <w:bookmarkStart w:id="5" w:name="chrs-20260804xex23d2.htm"/>
      <w:bookmarkStart w:id="6" w:name="kschrs20260804xex23d2"/>
      <w:bookmarkEnd w:id="5"/>
      <w:bookmarkEnd w:id="6"/>
      <w:r>
        <w:rPr>
          <w:rFonts w:ascii="Helvetica;sans-serif" w:hAnsi="Helvetica;sans-serif"/>
          <w:b/>
          <w:sz w:val="20"/>
        </w:rPr>
        <w:t>Exhibit 23.2</w:t>
      </w:r>
      <w:r>
        <w:br w:type="page"/>
      </w:r>
    </w:p>
    <w:p>
      <w:pPr>
        <w:pStyle w:val="TextBody"/>
        <w:bidi w:val="0"/>
        <w:spacing w:before="0" w:after="200"/>
        <w:ind w:left="0" w:right="0" w:hanging="0"/>
        <w:jc w:val="center"/>
        <w:rPr>
          <w:rFonts w:ascii="Helvetica;sans-serif" w:hAnsi="Helvetica;sans-serif"/>
          <w:b/>
          <w:sz w:val="20"/>
        </w:rPr>
      </w:pPr>
      <w:r>
        <w:rPr>
          <w:rFonts w:ascii="Helvetica;sans-serif" w:hAnsi="Helvetica;sans-serif"/>
          <w:b/>
          <w:sz w:val="20"/>
        </w:rPr>
        <w:t>CONSENT OF ERNST &amp; YOUNG LLP, INDEPENDENT REGISTERED PUBLIC ACCOUNTING FIRM</w:t>
      </w:r>
    </w:p>
    <w:p>
      <w:pPr>
        <w:pStyle w:val="TextBody"/>
        <w:bidi w:val="0"/>
        <w:spacing w:before="0" w:after="280"/>
        <w:ind w:left="0" w:right="0" w:hanging="0"/>
        <w:jc w:val="both"/>
        <w:rPr>
          <w:rFonts w:ascii="Helvetica;sans-serif" w:hAnsi="Helvetica;sans-serif"/>
          <w:sz w:val="20"/>
        </w:rPr>
      </w:pPr>
      <w:r>
        <w:rPr>
          <w:rFonts w:ascii="Helvetica;sans-serif" w:hAnsi="Helvetica;sans-serif"/>
          <w:sz w:val="20"/>
        </w:rPr>
        <w:t>We consent to the incorporation by reference in the Registration Statement (Form S-8) pertaining to the Coherus Oncology, Inc. Amended and Restated 2014 Equity Incentive Award Plan of our reports dated March 9, 2026, with respect to the consolidated financial statements of Coherus Oncology, Inc. and the effectiveness of internal control over financial reporting of Coherus Oncology, Inc. included in its Annual Report (Form 10-K) for the year ended December 31, 2025, filed with the Securities and Exchange Commission.</w:t>
      </w:r>
    </w:p>
    <w:tbl>
      <w:tblPr>
        <w:tblW w:w="2465" w:type="dxa"/>
        <w:jc w:val="center"/>
        <w:tblInd w:w="0" w:type="dxa"/>
        <w:tblLayout w:type="fixed"/>
        <w:tblCellMar>
          <w:top w:w="0" w:type="dxa"/>
          <w:left w:w="0" w:type="dxa"/>
          <w:bottom w:w="0" w:type="dxa"/>
          <w:right w:w="0" w:type="dxa"/>
        </w:tblCellMar>
      </w:tblPr>
      <w:tblGrid>
        <w:gridCol w:w="2311"/>
        <w:gridCol w:w="154"/>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67485" cy="175260"/>
                      <wp:effectExtent l="0" t="0" r="0" b="0"/>
                      <wp:wrapNone/>
                      <wp:docPr id="16" name="Frame1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7790" cy="175260"/>
                      <wp:effectExtent l="0" t="0" r="0" b="0"/>
                      <wp:wrapNone/>
                      <wp:docPr id="17" name="Frame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Ernst &amp; Young LLP</w:t>
            </w:r>
          </w:p>
        </w:tc>
        <w:tc>
          <w:tcPr>
            <w:tcW w:w="154"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San Francisco, California</w:t>
            </w:r>
          </w:p>
        </w:tc>
        <w:tc>
          <w:tcPr>
            <w:tcW w:w="154"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August 5,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7" w:name="chrs-20260804xex99d1b.htm"/>
      <w:bookmarkStart w:id="8" w:name="kschrs20260804xex99d1b"/>
      <w:bookmarkEnd w:id="7"/>
      <w:bookmarkEnd w:id="8"/>
      <w:r>
        <w:rPr>
          <w:rFonts w:ascii="Times New Roman;Times;serif" w:hAnsi="Times New Roman;Times;serif"/>
          <w:b/>
          <w:sz w:val="24"/>
        </w:rPr>
        <w:t>Exhibit 99.1(b)</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AMENDMENT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TO</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COHERUS ONCOLOGY, INC.</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AMENDED AND RESTATED 2014 EQUITY INCENTIVE AWARD PLAN</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This Amendment (this “</w:t>
      </w:r>
      <w:r>
        <w:rPr>
          <w:rFonts w:ascii="Times New Roman;Times;serif" w:hAnsi="Times New Roman;Times;serif"/>
          <w:sz w:val="24"/>
          <w:u w:val="single"/>
        </w:rPr>
        <w:t>Amendment</w:t>
      </w:r>
      <w:r>
        <w:rPr>
          <w:rFonts w:ascii="Times New Roman;Times;serif" w:hAnsi="Times New Roman;Times;serif"/>
          <w:sz w:val="24"/>
        </w:rPr>
        <w:t>”) to the Amended and Restated 2014 Equity Incentive Award Plan (the “</w:t>
      </w:r>
      <w:r>
        <w:rPr>
          <w:rFonts w:ascii="Times New Roman;Times;serif" w:hAnsi="Times New Roman;Times;serif"/>
          <w:sz w:val="24"/>
          <w:u w:val="single"/>
        </w:rPr>
        <w:t>Plan</w:t>
      </w:r>
      <w:r>
        <w:rPr>
          <w:rFonts w:ascii="Times New Roman;Times;serif" w:hAnsi="Times New Roman;Times;serif"/>
          <w:sz w:val="24"/>
        </w:rPr>
        <w:t>”) of Coherus Oncology, Inc., a Delaware corporation (the “</w:t>
      </w:r>
      <w:r>
        <w:rPr>
          <w:rFonts w:ascii="Times New Roman;Times;serif" w:hAnsi="Times New Roman;Times;serif"/>
          <w:sz w:val="24"/>
          <w:u w:val="single"/>
        </w:rPr>
        <w:t>Company</w:t>
      </w:r>
      <w:r>
        <w:rPr>
          <w:rFonts w:ascii="Times New Roman;Times;serif" w:hAnsi="Times New Roman;Times;serif"/>
          <w:sz w:val="24"/>
        </w:rPr>
        <w:t>”) is made pursuant to Section 13.1 of the Plan, effective as of April 8, 2026.</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WITNESSETH THAT:</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the Company presently maintains the Plan for the benefit of its employees and employees of its Subsidiaries (as defined in the Plan); and</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pursuant to Section 13.1 of the Plan, the Board of Directors of the Company (the “</w:t>
      </w:r>
      <w:r>
        <w:rPr>
          <w:rFonts w:ascii="Times New Roman;Times;serif" w:hAnsi="Times New Roman;Times;serif"/>
          <w:sz w:val="24"/>
          <w:u w:val="single"/>
        </w:rPr>
        <w:t>Board</w:t>
      </w:r>
      <w:r>
        <w:rPr>
          <w:rFonts w:ascii="Times New Roman;Times;serif" w:hAnsi="Times New Roman;Times;serif"/>
          <w:sz w:val="24"/>
        </w:rPr>
        <w:t>”) may, in its sole discretion, amend, suspend, or terminate the Plan at any time; and</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xml:space="preserve">, an amendment to increase the number of shares of Common Stock subject to the Plan is not effective without the approval of the Company’s stockholders within twelve (12) months before or after an action by the Board to amend the Plan to increase the number of shares of Common Stock reserved for the Plan; and </w:t>
      </w:r>
    </w:p>
    <w:p>
      <w:pPr>
        <w:pStyle w:val="TextBody"/>
        <w:bidi w:val="0"/>
        <w:spacing w:lineRule="auto" w:line="285" w:before="0" w:after="240"/>
        <w:ind w:left="0" w:right="0" w:firstLine="720"/>
        <w:jc w:val="left"/>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the Board believes it is in the best interests of the Company to amend the Plan as set forth in this Amendment.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sz w:val="24"/>
        </w:rPr>
        <w:t>NOW THEREFORE</w:t>
      </w:r>
      <w:r>
        <w:rPr>
          <w:rFonts w:ascii="Times New Roman;Times;serif" w:hAnsi="Times New Roman;Times;serif"/>
          <w:sz w:val="24"/>
        </w:rPr>
        <w:t>, the Plan is hereby amended as follows:</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99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Capitalized Terms</w:t>
            </w:r>
            <w:r>
              <w:rPr>
                <w:rFonts w:ascii="Times New Roman;Times;serif" w:hAnsi="Times New Roman;Times;serif"/>
                <w:b w:val="false"/>
                <w:i w:val="false"/>
                <w:caps w:val="false"/>
                <w:smallCaps w:val="false"/>
                <w:sz w:val="24"/>
              </w:rPr>
              <w:t>. All capitalized terms used and not defined in this Amendment shall have the meanings given thereto in the Plan.</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100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Amendment to the Plan</w:t>
            </w:r>
            <w:r>
              <w:rPr>
                <w:rFonts w:ascii="Times New Roman;Times;serif" w:hAnsi="Times New Roman;Times;serif"/>
                <w:b w:val="false"/>
                <w:i w:val="false"/>
                <w:caps w:val="false"/>
                <w:smallCaps w:val="false"/>
                <w:sz w:val="24"/>
              </w:rPr>
              <w:t>.  Subject to the approval of the Company’s stockholders within 12 months after the effective date of this Amendment, Section 3.1(a) of the Plan is hereby deleted and replaced in its entirety by following:</w:t>
            </w:r>
          </w:p>
        </w:tc>
      </w:tr>
    </w:tbl>
    <w:p>
      <w:pPr>
        <w:pStyle w:val="TextBody"/>
        <w:bidi w:val="0"/>
        <w:spacing w:lineRule="auto" w:line="285" w:before="0" w:after="0"/>
        <w:ind w:left="720" w:right="0" w:hanging="0"/>
        <w:jc w:val="both"/>
        <w:rPr/>
      </w:pPr>
      <w:r>
        <w:rPr/>
        <w:t>“</w:t>
      </w:r>
      <w:r>
        <w:rPr>
          <w:rFonts w:ascii="Times New Roman;Times;serif" w:hAnsi="Times New Roman;Times;serif"/>
          <w:sz w:val="24"/>
        </w:rPr>
        <w:t xml:space="preserve">(a) Subject to Sections 13.1, 13.2 and 3.1(b) hereof, the aggregate number of Shares which may be issued or transferred pursuant to Awards under the Plan is 14,700,000 (the “Share Limit”). Notwithstanding anything in this Section 3.1 to the contrary, the number of shares of Stock that may be issued or transferred pursuant to Incentive Stock Options under the Plan shall not exceed an aggregate of 18,846,815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settlement of such Awards to the extent that insufficient Shares remain under the Share Limit in this Section 3.1 at the time that Shares would otherwise be issued in respect of such Award</w:t>
      </w:r>
      <w:r>
        <w:rPr>
          <w:rFonts w:ascii="Times New Roman;Times;serif" w:hAnsi="Times New Roman;Times;serif"/>
          <w:sz w:val="24"/>
          <w:u w:val="single"/>
        </w:rPr>
        <w:t>.</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100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Ratification and Confirmation</w:t>
            </w:r>
            <w:r>
              <w:rPr>
                <w:rFonts w:ascii="Times New Roman;Times;serif" w:hAnsi="Times New Roman;Times;serif"/>
                <w:b w:val="false"/>
                <w:i w:val="false"/>
                <w:caps w:val="false"/>
                <w:smallCaps w:val="false"/>
                <w:sz w:val="24"/>
              </w:rPr>
              <w:t>. Except as specifically amended by this Amendment, the Plan is hereby ratified and confirmed in all respects and remains valid and in full force and effect.</w:t>
            </w:r>
          </w:p>
        </w:tc>
      </w:tr>
    </w:tbl>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w:t>
            </w:r>
          </w:p>
        </w:tc>
        <w:tc>
          <w:tcPr>
            <w:tcW w:w="100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Governing Law</w:t>
            </w:r>
            <w:r>
              <w:rPr>
                <w:rFonts w:ascii="Times New Roman;Times;serif" w:hAnsi="Times New Roman;Times;serif"/>
                <w:b w:val="false"/>
                <w:i w:val="false"/>
                <w:caps w:val="false"/>
                <w:smallCaps w:val="false"/>
                <w:sz w:val="24"/>
              </w:rPr>
              <w:t>. To the extent not preempted by federal law, this Amendment shall be construed in accordance with and governed by the laws of the State of Delaware, without giving effect to conflicts or choice of law principles.</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9" w:name="chrs-20260804xexfees.htm"/>
      <w:bookmarkStart w:id="10" w:name="kschrs20260804xexfees"/>
      <w:bookmarkStart w:id="11" w:name="chrs-20260804xexfees.htm"/>
      <w:bookmarkStart w:id="12" w:name="kschrs20260804xexfees"/>
      <w:bookmarkEnd w:id="11"/>
      <w:bookmarkEnd w:id="12"/>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Coherus Oncology,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6"/>
        <w:gridCol w:w="1292"/>
        <w:gridCol w:w="1201"/>
        <w:gridCol w:w="1213"/>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par value $0.0001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7,700,000 </w:t>
            </w:r>
          </w:p>
        </w:tc>
        <w:tc>
          <w:tcPr>
            <w:tcW w:w="1213" w:type="dxa"/>
            <w:tcBorders/>
            <w:shd w:fill="E7E7E2" w:val="clear"/>
            <w:vAlign w:val="center"/>
          </w:tcPr>
          <w:p>
            <w:pPr>
              <w:pStyle w:val="TableContents"/>
              <w:bidi w:val="0"/>
              <w:spacing w:before="0" w:after="283"/>
              <w:jc w:val="right"/>
              <w:rPr/>
            </w:pPr>
            <w:r>
              <w:rPr/>
              <w:t xml:space="preserve">$ 1.44 </w:t>
            </w:r>
          </w:p>
        </w:tc>
        <w:tc>
          <w:tcPr>
            <w:tcW w:w="1701" w:type="dxa"/>
            <w:tcBorders/>
            <w:shd w:fill="E7E7E2" w:val="clear"/>
            <w:vAlign w:val="center"/>
          </w:tcPr>
          <w:p>
            <w:pPr>
              <w:pStyle w:val="TableContents"/>
              <w:bidi w:val="0"/>
              <w:spacing w:before="0" w:after="283"/>
              <w:jc w:val="right"/>
              <w:rPr/>
            </w:pPr>
            <w:r>
              <w:rPr/>
              <w:t xml:space="preserve">$ 11,088,000.00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$ 1,531.25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3" w:name="MaxAggtOfferingPrice"/>
            <w:bookmarkEnd w:id="13"/>
            <w:r>
              <w:rPr/>
              <w:t xml:space="preserve">$ 11,088,000.00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$ 1,531.25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6" w:name="NetFeeAmt"/>
            <w:bookmarkEnd w:id="16"/>
            <w:r>
              <w:rPr/>
              <w:t xml:space="preserve">$ 1,531.25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1(a)Pursuant to Rule 416(a) under the Securities Act of 1933, as amended (the "Securities Act"), this registration statement ("Registration Statement") shall also cover any additional shares of common stock that become issuable under the Coherus Oncology, Inc. Amended and Restated Equity Incentive Award Plan (the "2014 Plan") by reason of any stock dividend, stock split, recapitalization, or other similar transaction effected without receipt of consideration that results in an increase to the number of outstanding shares of common stock. 1(b)Represents the additional shares of common stock reserved for issuance under the 2014 Plan pursuant to the amendment approved by the Registrant's stockholders on May 27, 2026. 1(c)Estimated solely for the purpose of calculating the registration fee in accordance with Rule 457(c) and Rule 457(h) under the Securities Act. The proposed maximum offering price per share and the proposed maximum aggregate offering price are based on the average of the high and low prices of the Registrant's Common Stock as reported on the Nasdaq Global Market on July 31, 2026, which date is within five business days prior to the filing of the Registration Statement to which this exhibit is attached.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2762/000119312514425409/d827323ds8.htm" TargetMode="External"/><Relationship Id="rId3" Type="http://schemas.openxmlformats.org/officeDocument/2006/relationships/hyperlink" Target="https://www.sec.gov/Archives/edgar/data/1512762/000119312515126193/d906658ds8.htm" TargetMode="External"/><Relationship Id="rId4" Type="http://schemas.openxmlformats.org/officeDocument/2006/relationships/hyperlink" Target="https://www.sec.gov/Archives/edgar/data/1512762/000119312516493367/d154097ds8.htm" TargetMode="External"/><Relationship Id="rId5" Type="http://schemas.openxmlformats.org/officeDocument/2006/relationships/hyperlink" Target="https://www.sec.gov/Archives/edgar/data/1512762/000119312517082016/d360750ds8.htm" TargetMode="External"/><Relationship Id="rId6" Type="http://schemas.openxmlformats.org/officeDocument/2006/relationships/hyperlink" Target="https://www.sec.gov/Archives/edgar/data/1512762/000119312518019869/d526861ds8.htm" TargetMode="External"/><Relationship Id="rId7" Type="http://schemas.openxmlformats.org/officeDocument/2006/relationships/hyperlink" Target="https://www.sec.gov/Archives/edgar/data/1512762/000119312519025855/d699714ds8.htm" TargetMode="External"/><Relationship Id="rId8" Type="http://schemas.openxmlformats.org/officeDocument/2006/relationships/hyperlink" Target="https://www.sec.gov/Archives/edgar/data/1512762/000119312520014273/d840600ds8.htm" TargetMode="External"/><Relationship Id="rId9" Type="http://schemas.openxmlformats.org/officeDocument/2006/relationships/hyperlink" Target="https://www.sec.gov/Archives/edgar/data/1512762/000155837021000014/tmb-20210104xs8.htm" TargetMode="External"/><Relationship Id="rId10" Type="http://schemas.openxmlformats.org/officeDocument/2006/relationships/hyperlink" Target="https://www.sec.gov/Archives/edgar/data/1512762/000119312522008079/d238153ds8.htm" TargetMode="External"/><Relationship Id="rId11" Type="http://schemas.openxmlformats.org/officeDocument/2006/relationships/hyperlink" Target="https://www.sec.gov/Archives/edgar/data/1512762/000110465923004632/tm233701d1_s8.htm" TargetMode="External"/><Relationship Id="rId12" Type="http://schemas.openxmlformats.org/officeDocument/2006/relationships/hyperlink" Target="https://www.sec.gov/Archives/edgar/data/1512762/000119312524080568/d759714ds8.htm" TargetMode="External"/><Relationship Id="rId13" Type="http://schemas.openxmlformats.org/officeDocument/2006/relationships/hyperlink" Target="https://www.sec.gov/Archives/edgar/data/1512762/000119312524197039/d881724ds8.htm" TargetMode="External"/><Relationship Id="rId14" Type="http://schemas.openxmlformats.org/officeDocument/2006/relationships/hyperlink" Target="https://www.sec.gov/Archives/edgar/data/1512762/000119312514409798/d820280dex31.htm" TargetMode="External"/><Relationship Id="rId15" Type="http://schemas.openxmlformats.org/officeDocument/2006/relationships/hyperlink" Target="https://www.sec.gov/Archives/edgar/data/1512762/000155837025008294/chrs-20250529xex3d1.htm" TargetMode="External"/><Relationship Id="rId16" Type="http://schemas.openxmlformats.org/officeDocument/2006/relationships/hyperlink" Target="https://www.sec.gov/Archives/edgar/data/1512762/000155837020013970/chrs-20201112xex3d1.htm" TargetMode="External"/><Relationship Id="rId17" Type="http://schemas.openxmlformats.org/officeDocument/2006/relationships/hyperlink" Target="https://www.sec.gov/Archives/edgar/data/1512762/000119312514380821/d744283dex42.htm" TargetMode="External"/><Relationship Id="rId18" Type="http://schemas.openxmlformats.org/officeDocument/2006/relationships/hyperlink" Target="https://www.sec.gov/Archives/edgar/data/1512762/000155837025010803/chrs-20250630xex10d2.htm" TargetMode="External"/><Relationship Id="rId19" Type="http://schemas.openxmlformats.org/officeDocument/2006/relationships/hyperlink" Target="https://www.sec.gov/Archives/edgar/data/1512762/000119312514396092/d744283dex1011b.htm" TargetMode="External"/><Relationship Id="rId20" Type="http://schemas.openxmlformats.org/officeDocument/2006/relationships/hyperlink" Target="https://www.sec.gov/Archives/edgar/data/1512762/000119312514396092/d744283dex1011c.htm" TargetMode="External"/><Relationship Id="rId21" Type="http://schemas.openxmlformats.org/officeDocument/2006/relationships/hyperlink" Target="https://www.sec.gov/Archives/edgar/data/1512762/000119312514396092/d744283dex1011d.htm" TargetMode="External"/><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2705</Words>
  <Characters>14481</Characters>
  <CharactersWithSpaces>17231</CharactersWithSpaces>
  <Paragraphs>570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