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443156d8k.htm"/>
      <w:bookmarkStart w:id="1" w:name="ksd443156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May 15,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COHERUS BIOSCIENCES,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6600" w:type="dxa"/>
        <w:jc w:val="left"/>
        <w:tblInd w:w="0" w:type="dxa"/>
        <w:tblLayout w:type="fixed"/>
        <w:tblCellMar>
          <w:top w:w="0" w:type="dxa"/>
          <w:left w:w="0" w:type="dxa"/>
          <w:bottom w:w="0" w:type="dxa"/>
          <w:right w:w="0" w:type="dxa"/>
        </w:tblCellMar>
      </w:tblPr>
      <w:tblGrid>
        <w:gridCol w:w="2720"/>
        <w:gridCol w:w="60"/>
        <w:gridCol w:w="1385"/>
        <w:gridCol w:w="60"/>
        <w:gridCol w:w="2375"/>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001-36721</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27-3615821</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(IRS Employer</w:t>
              <w:br/>
              <w:t>Identification Number)</w:t>
            </w:r>
          </w:p>
        </w:tc>
      </w:tr>
    </w:tbl>
    <w:p>
      <w:pPr>
        <w:pStyle w:val="TextBody"/>
        <w:bidi w:val="0"/>
        <w:spacing w:before="160" w:after="0"/>
        <w:jc w:val="center"/>
        <w:rPr>
          <w:rFonts w:ascii="Times New Roman" w:hAnsi="Times New Roman"/>
          <w:b/>
          <w:sz w:val="20"/>
        </w:rPr>
      </w:pPr>
      <w:r>
        <w:rPr>
          <w:rFonts w:ascii="Times New Roman" w:hAnsi="Times New Roman"/>
          <w:b/>
          <w:sz w:val="20"/>
        </w:rPr>
        <w:t>333 Twin Dolphin Drive, Suite 600</w:t>
      </w:r>
    </w:p>
    <w:p>
      <w:pPr>
        <w:pStyle w:val="TextBody"/>
        <w:bidi w:val="0"/>
        <w:spacing w:before="0" w:after="0"/>
        <w:jc w:val="center"/>
        <w:rPr>
          <w:rFonts w:ascii="Times New Roman" w:hAnsi="Times New Roman"/>
          <w:b/>
          <w:sz w:val="20"/>
        </w:rPr>
      </w:pPr>
      <w:r>
        <w:rPr>
          <w:rFonts w:ascii="Times New Roman" w:hAnsi="Times New Roman"/>
          <w:b/>
          <w:sz w:val="20"/>
        </w:rPr>
        <w:t>Redwood City, CA 94065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(650) 649-3530</w:t>
      </w:r>
    </w:p>
    <w:p>
      <w:pPr>
        <w:pStyle w:val="TextBody"/>
        <w:bidi w:val="0"/>
        <w:spacing w:before="16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755" w:type="dxa"/>
        <w:jc w:val="left"/>
        <w:tblInd w:w="0" w:type="dxa"/>
        <w:tblLayout w:type="fixed"/>
        <w:tblCellMar>
          <w:top w:w="0" w:type="dxa"/>
          <w:left w:w="0" w:type="dxa"/>
          <w:bottom w:w="0" w:type="dxa"/>
          <w:right w:w="0" w:type="dxa"/>
        </w:tblCellMar>
      </w:tblPr>
      <w:tblGrid>
        <w:gridCol w:w="4265"/>
        <w:gridCol w:w="60"/>
        <w:gridCol w:w="740"/>
        <w:gridCol w:w="60"/>
        <w:gridCol w:w="263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CHRS</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4720" w:type="dxa"/>
        <w:jc w:val="left"/>
        <w:tblInd w:w="0" w:type="dxa"/>
        <w:tblLayout w:type="fixed"/>
        <w:tblCellMar>
          <w:top w:w="0" w:type="dxa"/>
          <w:left w:w="0" w:type="dxa"/>
          <w:bottom w:w="0" w:type="dxa"/>
          <w:right w:w="0" w:type="dxa"/>
        </w:tblCellMar>
      </w:tblPr>
      <w:tblGrid>
        <w:gridCol w:w="980"/>
        <w:gridCol w:w="3740"/>
      </w:tblGrid>
      <w:tr>
        <w:trPr/>
        <w:tc>
          <w:tcPr>
            <w:tcW w:w="980" w:type="dxa"/>
            <w:tcBorders/>
            <w:vAlign w:val="center"/>
          </w:tcPr>
          <w:p>
            <w:pPr>
              <w:pStyle w:val="TableContents"/>
              <w:bidi w:val="0"/>
              <w:spacing w:before="0" w:after="283"/>
              <w:jc w:val="left"/>
              <w:rPr>
                <w:b/>
              </w:rPr>
            </w:pPr>
            <w:r>
              <w:rPr>
                <w:b/>
              </w:rPr>
              <w:t>Item 1.01</w:t>
            </w:r>
          </w:p>
        </w:tc>
        <w:tc>
          <w:tcPr>
            <w:tcW w:w="3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15, 2023, Coherus BioSciences, Inc. (the “Company”) reduced the amount of shares that could be issued and sold pursuant to its “at-the-market” program (“ATM”) with Cowen and Company, LLC (“Cowen”) in an amount equal to $86.25 million. The reduction in the amount of shares that can be issued and sold under the ATM was effected pursuant to the Amendment No. 1 to Sales Agreement (“Amendment No. 1”), which amended the Company’s Sales Agreement with Cowen, dated November 8, 2022 (the “Agreement”), to reduce the aggregate offering price under the Agreement from $150.0 million to $63.75 million.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Amendment No. 1 is not a complete description thereof, and is qualified in its entirety by reference to the full text of the Amendment No. 1, which will be filed with the Securities and Exchange Commission as an exhibit to the Company’s Quarterly Report on Form 10-Q for the quarter ending June 30, 2023.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423" w:type="dxa"/>
        <w:jc w:val="left"/>
        <w:tblInd w:w="0" w:type="dxa"/>
        <w:tblLayout w:type="fixed"/>
        <w:tblCellMar>
          <w:top w:w="0" w:type="dxa"/>
          <w:left w:w="0" w:type="dxa"/>
          <w:bottom w:w="0" w:type="dxa"/>
          <w:right w:w="0" w:type="dxa"/>
        </w:tblCellMar>
      </w:tblPr>
      <w:tblGrid>
        <w:gridCol w:w="608"/>
        <w:gridCol w:w="961"/>
        <w:gridCol w:w="370"/>
        <w:gridCol w:w="60"/>
        <w:gridCol w:w="758"/>
        <w:gridCol w:w="70"/>
        <w:gridCol w:w="2596"/>
      </w:tblGrid>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pPr>
            <w:r>
              <w:rPr/>
              <w:t>Date: May 15, 2023</w:t>
            </w:r>
          </w:p>
        </w:tc>
        <w:tc>
          <w:tcPr>
            <w:tcW w:w="60" w:type="dxa"/>
            <w:tcBorders/>
            <w:vAlign w:val="center"/>
          </w:tcPr>
          <w:p>
            <w:pPr>
              <w:pStyle w:val="TableContents"/>
              <w:bidi w:val="0"/>
              <w:spacing w:before="0" w:after="283"/>
              <w:jc w:val="left"/>
              <w:rPr/>
            </w:pPr>
            <w:r>
              <w:rPr/>
              <w:t> </w:t>
            </w:r>
          </w:p>
        </w:tc>
        <w:tc>
          <w:tcPr>
            <w:tcW w:w="3424" w:type="dxa"/>
            <w:gridSpan w:val="3"/>
            <w:tcBorders/>
            <w:vAlign w:val="center"/>
          </w:tcPr>
          <w:p>
            <w:pPr>
              <w:pStyle w:val="TableContents"/>
              <w:bidi w:val="0"/>
              <w:spacing w:before="0" w:after="283"/>
              <w:jc w:val="left"/>
              <w:rPr/>
            </w:pPr>
            <w:r>
              <w:rPr/>
              <w:t>COHERUS BIOSCIENCES, INC.</w:t>
            </w:r>
          </w:p>
        </w:tc>
      </w:tr>
      <w:tr>
        <w:trPr/>
        <w:tc>
          <w:tcPr>
            <w:tcW w:w="608" w:type="dxa"/>
            <w:tcBorders/>
            <w:vAlign w:val="center"/>
          </w:tcPr>
          <w:p>
            <w:pPr>
              <w:pStyle w:val="TableContents"/>
              <w:bidi w:val="0"/>
              <w:spacing w:before="0" w:after="283"/>
              <w:jc w:val="left"/>
              <w:rPr>
                <w:sz w:val="4"/>
                <w:szCs w:val="4"/>
              </w:rPr>
            </w:pPr>
            <w:r>
              <w:rPr>
                <w:sz w:val="4"/>
                <w:szCs w:val="4"/>
              </w:rPr>
            </w:r>
          </w:p>
        </w:tc>
        <w:tc>
          <w:tcPr>
            <w:tcW w:w="1331" w:type="dxa"/>
            <w:gridSpan w:val="2"/>
            <w:tcBorders/>
            <w:vAlign w:val="center"/>
          </w:tcPr>
          <w:p>
            <w:pPr>
              <w:pStyle w:val="TableContents"/>
              <w:bidi w:val="0"/>
              <w:spacing w:before="0" w:after="283"/>
              <w:jc w:val="left"/>
              <w:rPr>
                <w:sz w:val="4"/>
                <w:szCs w:val="4"/>
              </w:rPr>
            </w:pPr>
            <w:r>
              <w:rPr>
                <w:sz w:val="4"/>
                <w:szCs w:val="4"/>
              </w:rPr>
            </w:r>
          </w:p>
        </w:tc>
        <w:tc>
          <w:tcPr>
            <w:tcW w:w="818" w:type="dxa"/>
            <w:gridSpan w:val="2"/>
            <w:tcBorders/>
            <w:vAlign w:val="center"/>
          </w:tcPr>
          <w:p>
            <w:pPr>
              <w:pStyle w:val="TableContents"/>
              <w:bidi w:val="0"/>
              <w:spacing w:before="0" w:after="283"/>
              <w:jc w:val="left"/>
              <w:rPr>
                <w:sz w:val="4"/>
                <w:szCs w:val="4"/>
              </w:rPr>
            </w:pPr>
            <w:r>
              <w:rPr>
                <w:sz w:val="4"/>
                <w:szCs w:val="4"/>
              </w:rPr>
            </w:r>
          </w:p>
        </w:tc>
        <w:tc>
          <w:tcPr>
            <w:tcW w:w="2666"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pPr>
            <w:r>
              <w:rPr/>
              <w:t>By:</w:t>
            </w:r>
          </w:p>
        </w:tc>
        <w:tc>
          <w:tcPr>
            <w:tcW w:w="70" w:type="dxa"/>
            <w:tcBorders/>
            <w:vAlign w:val="center"/>
          </w:tcPr>
          <w:p>
            <w:pPr>
              <w:pStyle w:val="TableContents"/>
              <w:bidi w:val="0"/>
              <w:spacing w:before="0" w:after="283"/>
              <w:jc w:val="left"/>
              <w:rPr/>
            </w:pPr>
            <w:r>
              <w:rPr/>
              <w:t> </w:t>
            </w:r>
          </w:p>
        </w:tc>
        <w:tc>
          <w:tcPr>
            <w:tcW w:w="2596"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McDavid Stilwell</w:t>
            </w:r>
          </w:p>
        </w:tc>
      </w:tr>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pPr>
            <w:r>
              <w:rPr/>
              <w:t>Name:</w:t>
            </w:r>
          </w:p>
        </w:tc>
        <w:tc>
          <w:tcPr>
            <w:tcW w:w="70" w:type="dxa"/>
            <w:tcBorders/>
            <w:vAlign w:val="center"/>
          </w:tcPr>
          <w:p>
            <w:pPr>
              <w:pStyle w:val="TableContents"/>
              <w:bidi w:val="0"/>
              <w:spacing w:before="0" w:after="283"/>
              <w:jc w:val="left"/>
              <w:rPr/>
            </w:pPr>
            <w:r>
              <w:rPr/>
              <w:t> </w:t>
            </w:r>
          </w:p>
        </w:tc>
        <w:tc>
          <w:tcPr>
            <w:tcW w:w="2596" w:type="dxa"/>
            <w:tcBorders/>
            <w:vAlign w:val="center"/>
          </w:tcPr>
          <w:p>
            <w:pPr>
              <w:pStyle w:val="TableContents"/>
              <w:bidi w:val="0"/>
              <w:spacing w:before="0" w:after="283"/>
              <w:jc w:val="left"/>
              <w:rPr/>
            </w:pPr>
            <w:r>
              <w:rPr/>
              <w:t>McDavid Stilwell</w:t>
            </w:r>
          </w:p>
        </w:tc>
      </w:tr>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pPr>
            <w:r>
              <w:rPr/>
              <w:t>Title:</w:t>
            </w:r>
          </w:p>
        </w:tc>
        <w:tc>
          <w:tcPr>
            <w:tcW w:w="70" w:type="dxa"/>
            <w:tcBorders/>
            <w:vAlign w:val="center"/>
          </w:tcPr>
          <w:p>
            <w:pPr>
              <w:pStyle w:val="TableContents"/>
              <w:bidi w:val="0"/>
              <w:spacing w:before="0" w:after="283"/>
              <w:jc w:val="left"/>
              <w:rPr/>
            </w:pPr>
            <w:r>
              <w:rPr/>
              <w:t> </w:t>
            </w:r>
          </w:p>
        </w:tc>
        <w:tc>
          <w:tcPr>
            <w:tcW w:w="2596"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520</Words>
  <Characters>2791</Characters>
  <CharactersWithSpaces>3304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