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November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COHERUS BIOSCIENCES, INC.</w:t>
      </w:r>
    </w:p>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1" w:lineRule="exact"/>
        <w:rPr>
          <w:sz w:val="24"/>
          <w:szCs w:val="24"/>
          <w:color w:val="auto"/>
        </w:rPr>
      </w:pPr>
    </w:p>
    <w:tbl>
      <w:tblPr>
        <w:tblLayout w:type="fixed"/>
        <w:tblInd w:w="900" w:type="dxa"/>
        <w:tblCellMar>
          <w:top w:w="0" w:type="dxa"/>
          <w:left w:w="0" w:type="dxa"/>
          <w:bottom w:w="0" w:type="dxa"/>
          <w:right w:w="0" w:type="dxa"/>
        </w:tblCellMar>
      </w:tblPr>
      <w:tr>
        <w:trPr>
          <w:trHeight w:val="195"/>
        </w:trPr>
        <w:tc>
          <w:tcPr>
            <w:tcW w:w="2680" w:type="dxa"/>
            <w:vAlign w:val="bottom"/>
          </w:tcPr>
          <w:p>
            <w:pPr>
              <w:jc w:val="center"/>
              <w:ind w:right="1025"/>
              <w:spacing w:after="0"/>
              <w:rPr>
                <w:sz w:val="20"/>
                <w:szCs w:val="20"/>
                <w:color w:val="auto"/>
              </w:rPr>
            </w:pPr>
            <w:r>
              <w:rPr>
                <w:rFonts w:ascii="Calibri" w:cs="Calibri" w:eastAsia="Calibri" w:hAnsi="Calibri"/>
                <w:sz w:val="16"/>
                <w:szCs w:val="16"/>
                <w:b w:val="1"/>
                <w:bCs w:val="1"/>
                <w:color w:val="auto"/>
                <w:w w:val="97"/>
              </w:rPr>
              <w:t>Delaware</w:t>
            </w:r>
          </w:p>
        </w:tc>
        <w:tc>
          <w:tcPr>
            <w:tcW w:w="2960" w:type="dxa"/>
            <w:vAlign w:val="bottom"/>
          </w:tcPr>
          <w:p>
            <w:pPr>
              <w:jc w:val="center"/>
              <w:spacing w:after="0"/>
              <w:rPr>
                <w:sz w:val="20"/>
                <w:szCs w:val="20"/>
                <w:color w:val="auto"/>
              </w:rPr>
            </w:pPr>
            <w:r>
              <w:rPr>
                <w:rFonts w:ascii="Calibri" w:cs="Calibri" w:eastAsia="Calibri" w:hAnsi="Calibri"/>
                <w:sz w:val="16"/>
                <w:szCs w:val="16"/>
                <w:b w:val="1"/>
                <w:bCs w:val="1"/>
                <w:color w:val="auto"/>
              </w:rPr>
              <w:t>001-36721</w:t>
            </w:r>
          </w:p>
        </w:tc>
        <w:tc>
          <w:tcPr>
            <w:tcW w:w="2480" w:type="dxa"/>
            <w:vAlign w:val="bottom"/>
          </w:tcPr>
          <w:p>
            <w:pPr>
              <w:jc w:val="center"/>
              <w:ind w:left="1025"/>
              <w:spacing w:after="0"/>
              <w:rPr>
                <w:sz w:val="20"/>
                <w:szCs w:val="20"/>
                <w:color w:val="auto"/>
              </w:rPr>
            </w:pPr>
            <w:r>
              <w:rPr>
                <w:rFonts w:ascii="Calibri" w:cs="Calibri" w:eastAsia="Calibri" w:hAnsi="Calibri"/>
                <w:sz w:val="16"/>
                <w:szCs w:val="16"/>
                <w:b w:val="1"/>
                <w:bCs w:val="1"/>
                <w:color w:val="auto"/>
              </w:rPr>
              <w:t>27-3615821</w:t>
            </w:r>
          </w:p>
        </w:tc>
      </w:tr>
      <w:tr>
        <w:trPr>
          <w:trHeight w:val="183"/>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(State or other jurisdicton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(Commission</w:t>
            </w:r>
          </w:p>
        </w:tc>
        <w:tc>
          <w:tcPr>
            <w:tcW w:w="2480" w:type="dxa"/>
            <w:vAlign w:val="bottom"/>
          </w:tcPr>
          <w:p>
            <w:pPr>
              <w:jc w:val="center"/>
              <w:ind w:left="1025"/>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of incorporaton)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File Number)</w:t>
            </w:r>
          </w:p>
        </w:tc>
        <w:tc>
          <w:tcPr>
            <w:tcW w:w="2480" w:type="dxa"/>
            <w:vAlign w:val="bottom"/>
          </w:tcPr>
          <w:p>
            <w:pPr>
              <w:jc w:val="center"/>
              <w:ind w:left="1045"/>
              <w:spacing w:after="0"/>
              <w:rPr>
                <w:sz w:val="20"/>
                <w:szCs w:val="20"/>
                <w:color w:val="auto"/>
              </w:rPr>
            </w:pPr>
            <w:r>
              <w:rPr>
                <w:rFonts w:ascii="Calibri" w:cs="Calibri" w:eastAsia="Calibri" w:hAnsi="Calibri"/>
                <w:sz w:val="14"/>
                <w:szCs w:val="14"/>
                <w:b w:val="1"/>
                <w:bCs w:val="1"/>
                <w:color w:val="auto"/>
              </w:rPr>
              <w:t>Identfcaton Number)</w:t>
            </w:r>
          </w:p>
        </w:tc>
      </w:tr>
    </w:tbl>
    <w:p>
      <w:pPr>
        <w:spacing w:after="0" w:line="128" w:lineRule="exact"/>
        <w:rPr>
          <w:sz w:val="24"/>
          <w:szCs w:val="24"/>
          <w:color w:val="auto"/>
        </w:rPr>
      </w:pPr>
    </w:p>
    <w:p>
      <w:pPr>
        <w:ind w:left="3740"/>
        <w:spacing w:after="0"/>
        <w:rPr>
          <w:sz w:val="20"/>
          <w:szCs w:val="20"/>
          <w:color w:val="auto"/>
        </w:rPr>
      </w:pPr>
      <w:r>
        <w:rPr>
          <w:rFonts w:ascii="Calibri" w:cs="Calibri" w:eastAsia="Calibri" w:hAnsi="Calibri"/>
          <w:sz w:val="18"/>
          <w:szCs w:val="18"/>
          <w:b w:val="1"/>
          <w:bCs w:val="1"/>
          <w:color w:val="auto"/>
        </w:rPr>
        <w:t>333 Twin Dolphin Drive, Suite 600</w:t>
      </w:r>
    </w:p>
    <w:p>
      <w:pPr>
        <w:ind w:left="4080"/>
        <w:spacing w:after="0" w:line="235" w:lineRule="auto"/>
        <w:rPr>
          <w:sz w:val="20"/>
          <w:szCs w:val="20"/>
          <w:color w:val="auto"/>
        </w:rPr>
      </w:pPr>
      <w:r>
        <w:rPr>
          <w:rFonts w:ascii="Calibri" w:cs="Calibri" w:eastAsia="Calibri" w:hAnsi="Calibri"/>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(Address of principal executve ofces, including Zip Code)</w:t>
      </w:r>
    </w:p>
    <w:p>
      <w:pPr>
        <w:spacing w:after="0" w:line="12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(650) 649-3530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57" w:lineRule="exact"/>
        <w:rPr>
          <w:sz w:val="24"/>
          <w:szCs w:val="24"/>
          <w:color w:val="auto"/>
        </w:rPr>
      </w:pPr>
    </w:p>
    <w:p>
      <w:pPr>
        <w:ind w:right="8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3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36" w:lineRule="exact"/>
        <w:rPr>
          <w:rFonts w:ascii="MS PGothic" w:cs="MS PGothic" w:eastAsia="MS PGothic" w:hAnsi="MS PGothic"/>
          <w:sz w:val="18"/>
          <w:szCs w:val="18"/>
          <w:color w:val="auto"/>
        </w:rPr>
      </w:pPr>
    </w:p>
    <w:p>
      <w:pPr>
        <w:ind w:right="1600" w:firstLine="9"/>
        <w:spacing w:after="0" w:line="378" w:lineRule="auto"/>
        <w:tabs>
          <w:tab w:leader="none" w:pos="5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Trading</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r>
      <w:tr>
        <w:trPr>
          <w:trHeight w:val="189"/>
        </w:trPr>
        <w:tc>
          <w:tcPr>
            <w:tcW w:w="36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Title of each class</w:t>
            </w:r>
          </w:p>
        </w:tc>
        <w:tc>
          <w:tcPr>
            <w:tcW w:w="32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Symbol(s)</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r>
      <w:tr>
        <w:trPr>
          <w:trHeight w:val="215"/>
        </w:trPr>
        <w:tc>
          <w:tcPr>
            <w:tcW w:w="348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Common Stock, $0.0001 par value per share</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CHRS</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The Nasdaq Global Market</w:t>
            </w:r>
          </w:p>
        </w:tc>
      </w:tr>
    </w:tbl>
    <w:p>
      <w:pPr>
        <w:spacing w:after="0" w:line="114" w:lineRule="exact"/>
        <w:rPr>
          <w:sz w:val="24"/>
          <w:szCs w:val="24"/>
          <w:color w:val="auto"/>
        </w:rPr>
      </w:pPr>
    </w:p>
    <w:p>
      <w:pPr>
        <w:ind w:right="6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00"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right="740"/>
        <w:spacing w:after="0" w:line="24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 w:name="page2"/>
    <w:bookmarkEnd w:id="1"/>
    <w:p>
      <w:pPr>
        <w:ind w:left="380"/>
        <w:spacing w:after="0"/>
        <w:rPr>
          <w:sz w:val="20"/>
          <w:szCs w:val="20"/>
          <w:color w:val="auto"/>
        </w:rPr>
      </w:pPr>
      <w:r>
        <w:rPr>
          <w:rFonts w:ascii="Calibri" w:cs="Calibri" w:eastAsia="Calibri" w:hAnsi="Calibri"/>
          <w:sz w:val="18"/>
          <w:szCs w:val="18"/>
          <w:b w:val="1"/>
          <w:bCs w:val="1"/>
          <w:color w:val="auto"/>
        </w:rPr>
        <w:t>Item 7.01 Regulaton FD Disclosure</w:t>
      </w:r>
    </w:p>
    <w:p>
      <w:pPr>
        <w:spacing w:after="0" w:line="217" w:lineRule="exact"/>
        <w:rPr>
          <w:sz w:val="20"/>
          <w:szCs w:val="20"/>
          <w:color w:val="auto"/>
        </w:rPr>
      </w:pPr>
    </w:p>
    <w:p>
      <w:pPr>
        <w:jc w:val="both"/>
        <w:ind w:left="60" w:right="59" w:firstLine="324"/>
        <w:spacing w:after="0" w:line="235" w:lineRule="auto"/>
        <w:rPr>
          <w:sz w:val="20"/>
          <w:szCs w:val="20"/>
          <w:color w:val="auto"/>
        </w:rPr>
      </w:pPr>
      <w:r>
        <w:rPr>
          <w:rFonts w:ascii="Calibri" w:cs="Calibri" w:eastAsia="Calibri" w:hAnsi="Calibri"/>
          <w:sz w:val="18"/>
          <w:szCs w:val="18"/>
          <w:color w:val="auto"/>
        </w:rPr>
        <w:t>On October 27, 2023, Coherus BioSciences, Inc. (the “Company”) announced that the U.S. Food and Drug Administraton approved LOQTORZI™ (toripalimab-tpzi) in combinaton with cisplatn and gemcitabine for the frst-line treatment of adults with metastatc or recurrent locally advanced nasopharyngeal carcinoma (“NPC”), and as monotherapy for the treatment of adults with recurrent, unresectable, or metastatc NPC with disease progression on or afer platnum-containing chemotherapy.</w:t>
      </w:r>
    </w:p>
    <w:p>
      <w:pPr>
        <w:spacing w:after="0" w:line="220" w:lineRule="exact"/>
        <w:rPr>
          <w:sz w:val="20"/>
          <w:szCs w:val="20"/>
          <w:color w:val="auto"/>
        </w:rPr>
      </w:pPr>
    </w:p>
    <w:p>
      <w:pPr>
        <w:jc w:val="both"/>
        <w:ind w:left="60" w:right="59" w:firstLine="324"/>
        <w:spacing w:after="0" w:line="235" w:lineRule="auto"/>
        <w:rPr>
          <w:sz w:val="20"/>
          <w:szCs w:val="20"/>
          <w:color w:val="auto"/>
        </w:rPr>
      </w:pPr>
      <w:r>
        <w:rPr>
          <w:rFonts w:ascii="Calibri" w:cs="Calibri" w:eastAsia="Calibri" w:hAnsi="Calibri"/>
          <w:sz w:val="18"/>
          <w:szCs w:val="18"/>
          <w:color w:val="auto"/>
        </w:rPr>
        <w:t>On November 27, 2023, the Company announced that it has established a wholesale acquisiton cost of LOQTORZI™ (toripalimab-tpzi) of $8892.03 per single-use vial.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1043940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left="60" w:right="199" w:firstLine="4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the registrant has duly caused this report to be signed on its behalf by the undersigned hereunto duly authorized.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40" w:type="dxa"/>
            <w:vAlign w:val="bottom"/>
          </w:tcPr>
          <w:p>
            <w:pPr>
              <w:ind w:left="20"/>
              <w:spacing w:after="0"/>
              <w:rPr>
                <w:sz w:val="20"/>
                <w:szCs w:val="20"/>
                <w:color w:val="auto"/>
              </w:rPr>
            </w:pPr>
            <w:r>
              <w:rPr>
                <w:rFonts w:ascii="Calibri" w:cs="Calibri" w:eastAsia="Calibri" w:hAnsi="Calibri"/>
                <w:sz w:val="18"/>
                <w:szCs w:val="18"/>
                <w:color w:val="auto"/>
              </w:rPr>
              <w:t>Date: November 27, 2023</w:t>
            </w:r>
          </w:p>
        </w:tc>
        <w:tc>
          <w:tcPr>
            <w:tcW w:w="5680" w:type="dxa"/>
            <w:vAlign w:val="bottom"/>
            <w:gridSpan w:val="2"/>
          </w:tcPr>
          <w:p>
            <w:pPr>
              <w:ind w:left="1400"/>
              <w:spacing w:after="0"/>
              <w:rPr>
                <w:sz w:val="20"/>
                <w:szCs w:val="20"/>
                <w:color w:val="auto"/>
              </w:rPr>
            </w:pPr>
            <w:r>
              <w:rPr>
                <w:rFonts w:ascii="Calibri" w:cs="Calibri" w:eastAsia="Calibri" w:hAnsi="Calibri"/>
                <w:sz w:val="18"/>
                <w:szCs w:val="18"/>
                <w:color w:val="auto"/>
              </w:rPr>
              <w:t>COHERUS BIOSCIENCES, INC.</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060" w:type="dxa"/>
            <w:vAlign w:val="bottom"/>
          </w:tcPr>
          <w:p>
            <w:pPr>
              <w:ind w:left="1400"/>
              <w:spacing w:after="0"/>
              <w:rPr>
                <w:sz w:val="20"/>
                <w:szCs w:val="20"/>
                <w:color w:val="auto"/>
              </w:rPr>
            </w:pPr>
            <w:r>
              <w:rPr>
                <w:rFonts w:ascii="Calibri" w:cs="Calibri" w:eastAsia="Calibri" w:hAnsi="Calibri"/>
                <w:sz w:val="18"/>
                <w:szCs w:val="18"/>
                <w:color w:val="auto"/>
              </w:rPr>
              <w:t>By:</w:t>
            </w:r>
          </w:p>
        </w:tc>
        <w:tc>
          <w:tcPr>
            <w:tcW w:w="3620" w:type="dxa"/>
            <w:vAlign w:val="bottom"/>
          </w:tcPr>
          <w:p>
            <w:pPr>
              <w:spacing w:after="0"/>
              <w:rPr>
                <w:sz w:val="20"/>
                <w:szCs w:val="20"/>
                <w:color w:val="auto"/>
              </w:rPr>
            </w:pPr>
            <w:r>
              <w:rPr>
                <w:rFonts w:ascii="Calibri" w:cs="Calibri" w:eastAsia="Calibri" w:hAnsi="Calibri"/>
                <w:sz w:val="18"/>
                <w:szCs w:val="18"/>
                <w:color w:val="auto"/>
              </w:rPr>
              <w:t>/s/ McDavid Stlwell</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2060" w:type="dxa"/>
            <w:vAlign w:val="bottom"/>
            <w:vMerge w:val="restart"/>
          </w:tcPr>
          <w:p>
            <w:pPr>
              <w:ind w:left="1400"/>
              <w:spacing w:after="0"/>
              <w:rPr>
                <w:sz w:val="20"/>
                <w:szCs w:val="20"/>
                <w:color w:val="auto"/>
              </w:rPr>
            </w:pPr>
            <w:r>
              <w:rPr>
                <w:rFonts w:ascii="Calibri" w:cs="Calibri" w:eastAsia="Calibri" w:hAnsi="Calibri"/>
                <w:sz w:val="18"/>
                <w:szCs w:val="18"/>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3620" w:type="dxa"/>
            <w:vAlign w:val="bottom"/>
          </w:tcPr>
          <w:p>
            <w:pPr>
              <w:spacing w:after="0" w:line="187" w:lineRule="exact"/>
              <w:rPr>
                <w:sz w:val="20"/>
                <w:szCs w:val="20"/>
                <w:color w:val="auto"/>
              </w:rPr>
            </w:pPr>
            <w:r>
              <w:rPr>
                <w:rFonts w:ascii="Calibri" w:cs="Calibri" w:eastAsia="Calibri" w:hAnsi="Calibri"/>
                <w:sz w:val="18"/>
                <w:szCs w:val="18"/>
                <w:color w:val="auto"/>
              </w:rPr>
              <w:t>McDavid Stlwell</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2060" w:type="dxa"/>
            <w:vAlign w:val="bottom"/>
          </w:tcPr>
          <w:p>
            <w:pPr>
              <w:ind w:left="1400"/>
              <w:spacing w:after="0" w:line="215" w:lineRule="exact"/>
              <w:rPr>
                <w:sz w:val="20"/>
                <w:szCs w:val="20"/>
                <w:color w:val="auto"/>
              </w:rPr>
            </w:pPr>
            <w:r>
              <w:rPr>
                <w:rFonts w:ascii="Calibri" w:cs="Calibri" w:eastAsia="Calibri" w:hAnsi="Calibri"/>
                <w:sz w:val="18"/>
                <w:szCs w:val="18"/>
                <w:color w:val="auto"/>
              </w:rPr>
              <w:t>Title:</w:t>
            </w: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Chief Financial Ofcer</w:t>
            </w:r>
          </w:p>
        </w:tc>
        <w:tc>
          <w:tcPr>
            <w:tcW w:w="0" w:type="dxa"/>
            <w:vAlign w:val="bottom"/>
          </w:tcPr>
          <w:p>
            <w:pPr>
              <w:spacing w:after="0"/>
              <w:rPr>
                <w:sz w:val="1"/>
                <w:szCs w:val="1"/>
                <w:color w:val="auto"/>
              </w:rPr>
            </w:pPr>
          </w:p>
        </w:tc>
      </w:tr>
      <w:tr>
        <w:trPr>
          <w:trHeight w:val="1245"/>
        </w:trPr>
        <w:tc>
          <w:tcPr>
            <w:tcW w:w="3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2023-11-27T15:30:21Z</dcterms:created>
  <dcterms:modified xsi:type="dcterms:W3CDTF">2023-11-27T15:30:21Z</dcterms:modified>
</cp:coreProperties>
</file>