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0"/>
        <w:ind w:left="0" w:right="0" w:hanging="0"/>
        <w:jc w:val="center"/>
        <w:rPr/>
      </w:pPr>
      <w:bookmarkStart w:id="0" w:name="chrs-20260828x8k.htm"/>
      <w:bookmarkStart w:id="1" w:name="kschrs20260828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36"/>
        </w:rPr>
      </w:pPr>
      <w:bookmarkStart w:id="2" w:name="_48516ea9_0624_41dc_98bc_bd6c9bfb84e1"/>
      <w:bookmarkEnd w:id="2"/>
      <w:r>
        <w:rPr>
          <w:rFonts w:ascii="Helvetica;sans-serif" w:hAnsi="Helvetica;sans-serif"/>
          <w:b/>
          <w:sz w:val="36"/>
        </w:rPr>
        <w:t>UNITED STATES</w:t>
      </w:r>
    </w:p>
    <w:p>
      <w:pPr>
        <w:pStyle w:val="TextBody"/>
        <w:bidi w:val="0"/>
        <w:spacing w:before="0" w:after="0"/>
        <w:ind w:left="0" w:right="0" w:hanging="0"/>
        <w:jc w:val="center"/>
        <w:rPr>
          <w:rFonts w:ascii="Helvetica;sans-serif" w:hAnsi="Helvetica;sans-serif"/>
          <w:b/>
          <w:sz w:val="36"/>
        </w:rPr>
      </w:pPr>
      <w:r>
        <w:rPr>
          <w:rFonts w:ascii="Helvetica;sans-serif" w:hAnsi="Helvetica;sans-serif"/>
          <w:b/>
          <w:sz w:val="36"/>
        </w:rPr>
        <w:t>SECURITIES AND EXCHANGE COMMISSION</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36"/>
        </w:rPr>
      </w:pPr>
      <w:r>
        <w:rPr>
          <w:rFonts w:ascii="Helvetica;sans-serif" w:hAnsi="Helvetica;sans-serif"/>
          <w:b/>
          <w:sz w:val="3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CURRENT REPORT</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Pursuant to Section 13 or 15(d)</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Date of Report (Date of earliest event reported): August 28, 2026</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48"/>
        </w:rPr>
      </w:pPr>
      <w:r>
        <w:rPr>
          <w:rFonts w:ascii="Helvetica;sans-serif" w:hAnsi="Helvetica;sans-serif"/>
          <w:b/>
          <w:sz w:val="48"/>
        </w:rPr>
        <w:t>COHERUS ONCOLOGY, INC.</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7xdoOJMkmEaKjJ2HUu28DQ_1_4"/>
      <w:bookmarkStart w:id="4" w:name="Tc_epr_mLWEHE6lDZQ848vmpA_1_2"/>
      <w:bookmarkStart w:id="5" w:name="Tc_-UM4rKbNEkGplihzwL2cAg_1_0"/>
      <w:bookmarkStart w:id="6" w:name="_4fef730f_4ab3_41d5_9b95_011d505ca620"/>
      <w:bookmarkStart w:id="7" w:name="Tc_7xdoOJMkmEaKjJ2HUu28DQ_1_4"/>
      <w:bookmarkStart w:id="8" w:name="Tc_epr_mLWEHE6lDZQ848vmpA_1_2"/>
      <w:bookmarkStart w:id="9" w:name="Tc_-UM4rKbNEkGplihzwL2cAg_1_0"/>
      <w:bookmarkStart w:id="10" w:name="_4fef730f_4ab3_41d5_9b95_011d505ca620"/>
      <w:bookmarkEnd w:id="7"/>
      <w:bookmarkEnd w:id="8"/>
      <w:bookmarkEnd w:id="9"/>
      <w:bookmarkEnd w:id="10"/>
    </w:p>
    <w:tbl>
      <w:tblPr>
        <w:tblW w:w="5605" w:type="dxa"/>
        <w:jc w:val="left"/>
        <w:tblInd w:w="0" w:type="dxa"/>
        <w:tblLayout w:type="fixed"/>
        <w:tblCellMar>
          <w:top w:w="0" w:type="dxa"/>
          <w:left w:w="0" w:type="dxa"/>
          <w:bottom w:w="0" w:type="dxa"/>
          <w:right w:w="0" w:type="dxa"/>
        </w:tblCellMar>
      </w:tblPr>
      <w:tblGrid>
        <w:gridCol w:w="2206"/>
        <w:gridCol w:w="146"/>
        <w:gridCol w:w="1171"/>
        <w:gridCol w:w="146"/>
        <w:gridCol w:w="1936"/>
      </w:tblGrid>
      <w:tr>
        <w:trPr/>
        <w:tc>
          <w:tcPr>
            <w:tcW w:w="2206"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Delaware</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001-36721</w:t>
            </w:r>
          </w:p>
        </w:tc>
        <w:tc>
          <w:tcPr>
            <w:tcW w:w="146" w:type="dxa"/>
            <w:tcBorders/>
            <w:vAlign w:val="center"/>
          </w:tcPr>
          <w:p>
            <w:pPr>
              <w:pStyle w:val="TableContents"/>
              <w:bidi w:val="0"/>
              <w:spacing w:before="0" w:after="0"/>
              <w:ind w:left="0" w:right="0" w:hanging="0"/>
              <w:jc w:val="left"/>
              <w:rPr/>
            </w:pPr>
            <w:r>
              <w:rPr/>
              <w:t> </w:t>
            </w:r>
          </w:p>
        </w:tc>
        <w:tc>
          <w:tcPr>
            <w:tcW w:w="1936"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27-3615821</w:t>
            </w:r>
          </w:p>
        </w:tc>
      </w:tr>
      <w:tr>
        <w:trPr/>
        <w:tc>
          <w:tcPr>
            <w:tcW w:w="2206" w:type="dxa"/>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(State or other jurisdiction</w:t>
            </w:r>
            <w:r>
              <w:rPr>
                <w:rFonts w:ascii="Helvetica;sans-serif" w:hAnsi="Helvetica;sans-serif"/>
                <w:sz w:val="16"/>
              </w:rPr>
              <w:br/>
            </w:r>
            <w:r>
              <w:rPr>
                <w:rFonts w:ascii="Helvetica;sans-serif" w:hAnsi="Helvetica;sans-serif"/>
                <w:b/>
                <w:sz w:val="16"/>
              </w:rPr>
              <w:t>of incorporation)</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(Commission</w:t>
            </w:r>
            <w:r>
              <w:rPr>
                <w:rFonts w:ascii="Helvetica;sans-serif" w:hAnsi="Helvetica;sans-serif"/>
                <w:sz w:val="16"/>
              </w:rPr>
              <w:br/>
            </w:r>
            <w:r>
              <w:rPr>
                <w:rFonts w:ascii="Helvetica;sans-serif" w:hAnsi="Helvetica;sans-serif"/>
                <w:b/>
                <w:sz w:val="16"/>
              </w:rPr>
              <w:t>File Number)</w:t>
            </w:r>
          </w:p>
        </w:tc>
        <w:tc>
          <w:tcPr>
            <w:tcW w:w="146" w:type="dxa"/>
            <w:tcBorders/>
            <w:vAlign w:val="center"/>
          </w:tcPr>
          <w:p>
            <w:pPr>
              <w:pStyle w:val="TableContents"/>
              <w:bidi w:val="0"/>
              <w:spacing w:before="0" w:after="0"/>
              <w:ind w:left="0" w:right="0" w:hanging="0"/>
              <w:jc w:val="left"/>
              <w:rPr/>
            </w:pPr>
            <w:r>
              <w:rPr/>
              <w:t> </w:t>
            </w:r>
          </w:p>
        </w:tc>
        <w:tc>
          <w:tcPr>
            <w:tcW w:w="1936" w:type="dxa"/>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(IRS Employer</w:t>
            </w:r>
            <w:r>
              <w:rPr>
                <w:rFonts w:ascii="Helvetica;sans-serif" w:hAnsi="Helvetica;sans-serif"/>
                <w:sz w:val="16"/>
              </w:rPr>
              <w:br/>
            </w:r>
            <w:r>
              <w:rPr>
                <w:rFonts w:ascii="Helvetica;sans-serif" w:hAnsi="Helvetica;sans-serif"/>
                <w:b/>
                <w:sz w:val="16"/>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333 Twin Dolphin Drive, Suite 600</w:t>
      </w:r>
    </w:p>
    <w:p>
      <w:pPr>
        <w:pStyle w:val="TextBody"/>
        <w:bidi w:val="0"/>
        <w:spacing w:before="0" w:after="0"/>
        <w:ind w:left="0" w:right="0" w:hanging="0"/>
        <w:jc w:val="center"/>
        <w:rPr>
          <w:rFonts w:ascii="Helvetica;sans-serif" w:hAnsi="Helvetica;sans-serif"/>
          <w:sz w:val="20"/>
        </w:rPr>
      </w:pPr>
      <w:r>
        <w:rPr>
          <w:rFonts w:ascii="Helvetica;sans-serif" w:hAnsi="Helvetica;sans-serif"/>
          <w:b/>
          <w:sz w:val="20"/>
        </w:rPr>
        <w:t>Redwood City, CA</w:t>
      </w:r>
      <w:r>
        <w:rPr>
          <w:rFonts w:ascii="Helvetica;sans-serif" w:hAnsi="Helvetica;sans-serif"/>
          <w:sz w:val="20"/>
        </w:rPr>
        <w:t xml:space="preserve"> </w:t>
      </w:r>
      <w:r>
        <w:rPr>
          <w:rFonts w:ascii="Helvetica;sans-serif" w:hAnsi="Helvetica;sans-serif"/>
          <w:b/>
          <w:sz w:val="20"/>
        </w:rPr>
        <w:t>94065</w:t>
      </w:r>
    </w:p>
    <w:p>
      <w:pPr>
        <w:pStyle w:val="TextBody"/>
        <w:bidi w:val="0"/>
        <w:spacing w:before="0" w:after="0"/>
        <w:ind w:left="0" w:right="0" w:hanging="0"/>
        <w:jc w:val="center"/>
        <w:rPr>
          <w:rFonts w:ascii="Helvetica;sans-serif" w:hAnsi="Helvetica;sans-serif"/>
          <w:b/>
          <w:sz w:val="16"/>
        </w:rPr>
      </w:pPr>
      <w:r>
        <w:rPr>
          <w:rFonts w:ascii="Helvetica;sans-serif" w:hAnsi="Helvetica;sans-serif"/>
          <w:b/>
          <w:sz w:val="16"/>
        </w:rPr>
        <w:t>(Address of principal executive offices, including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Registrant’s telephone number, including area code: (650) 649-3530</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N/A</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(Former name or former address, if changed since last report)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lMQQrE2ns0uRZyICY2LznA_6_1"/>
      <w:bookmarkStart w:id="12" w:name="Tc_TsgeOpHTxEqYz6-FQCh-FQ_4_1"/>
      <w:bookmarkStart w:id="13" w:name="Tc_XIe13I3ui0-KhZa00j0R1g_2_1"/>
      <w:bookmarkStart w:id="14" w:name="Tc_JW0agwo9hkW26W_VoAFyaA_0_1"/>
      <w:bookmarkStart w:id="15" w:name="_1df92469_f3ff_4402_ae86_b7c37a7d26ea"/>
      <w:bookmarkStart w:id="16" w:name="Tc_lMQQrE2ns0uRZyICY2LznA_6_1"/>
      <w:bookmarkStart w:id="17" w:name="Tc_TsgeOpHTxEqYz6-FQCh-FQ_4_1"/>
      <w:bookmarkStart w:id="18" w:name="Tc_XIe13I3ui0-KhZa00j0R1g_2_1"/>
      <w:bookmarkStart w:id="19" w:name="Tc_JW0agwo9hkW26W_VoAFyaA_0_1"/>
      <w:bookmarkStart w:id="20" w:name="_1df92469_f3ff_4402_ae86_b7c37a7d26ea"/>
      <w:bookmarkEnd w:id="16"/>
      <w:bookmarkEnd w:id="17"/>
      <w:bookmarkEnd w:id="18"/>
      <w:bookmarkEnd w:id="19"/>
      <w:bookmarkEnd w:id="20"/>
    </w:p>
    <w:tbl>
      <w:tblPr>
        <w:tblW w:w="10112" w:type="dxa"/>
        <w:jc w:val="left"/>
        <w:tblInd w:w="0" w:type="dxa"/>
        <w:tblLayout w:type="fixed"/>
        <w:tblCellMar>
          <w:top w:w="0" w:type="dxa"/>
          <w:left w:w="0" w:type="dxa"/>
          <w:bottom w:w="0" w:type="dxa"/>
          <w:right w:w="0" w:type="dxa"/>
        </w:tblCellMar>
      </w:tblPr>
      <w:tblGrid>
        <w:gridCol w:w="331"/>
        <w:gridCol w:w="9781"/>
      </w:tblGrid>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zUi_LCN4Wkqxg-vPxbj6bw_0_4"/>
      <w:bookmarkStart w:id="22" w:name="Tc_ZA1J_GgtDEuHt_mB70jrVw_0_2"/>
      <w:bookmarkStart w:id="23" w:name="Tc_duea-zYLqkazrh4BHKqWuA_0_0"/>
      <w:bookmarkStart w:id="24" w:name="_132bb9e4_a733_46a7_a748_975eae4dea5f"/>
      <w:bookmarkStart w:id="25" w:name="Tc_zUi_LCN4Wkqxg-vPxbj6bw_0_4"/>
      <w:bookmarkStart w:id="26" w:name="Tc_ZA1J_GgtDEuHt_mB70jrVw_0_2"/>
      <w:bookmarkStart w:id="27" w:name="Tc_duea-zYLqkazrh4BHKqWuA_0_0"/>
      <w:bookmarkStart w:id="28" w:name="_132bb9e4_a733_46a7_a748_975eae4dea5f"/>
      <w:bookmarkEnd w:id="25"/>
      <w:bookmarkEnd w:id="26"/>
      <w:bookmarkEnd w:id="27"/>
      <w:bookmarkEnd w:id="28"/>
    </w:p>
    <w:tbl>
      <w:tblPr>
        <w:tblW w:w="8420" w:type="dxa"/>
        <w:jc w:val="left"/>
        <w:tblInd w:w="0" w:type="dxa"/>
        <w:tblLayout w:type="fixed"/>
        <w:tblCellMar>
          <w:top w:w="0" w:type="dxa"/>
          <w:left w:w="0" w:type="dxa"/>
          <w:bottom w:w="28" w:type="dxa"/>
          <w:right w:w="0" w:type="dxa"/>
        </w:tblCellMar>
      </w:tblPr>
      <w:tblGrid>
        <w:gridCol w:w="4216"/>
        <w:gridCol w:w="346"/>
        <w:gridCol w:w="916"/>
        <w:gridCol w:w="346"/>
        <w:gridCol w:w="2596"/>
      </w:tblGrid>
      <w:tr>
        <w:trPr/>
        <w:tc>
          <w:tcPr>
            <w:tcW w:w="4216" w:type="dxa"/>
            <w:tcBorders>
              <w:bottom w:val="single" w:sz="2" w:space="0" w:color="000000"/>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Title of each class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916" w:type="dxa"/>
            <w:tcBorders>
              <w:bottom w:val="single" w:sz="2" w:space="0" w:color="000000"/>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Trading</w:t>
            </w:r>
            <w:r>
              <w:rPr>
                <w:rFonts w:ascii="Helvetica;sans-serif" w:hAnsi="Helvetica;sans-serif"/>
                <w:sz w:val="16"/>
              </w:rPr>
              <w:br/>
            </w:r>
            <w:r>
              <w:rPr>
                <w:rFonts w:ascii="Helvetica;sans-serif" w:hAnsi="Helvetica;sans-serif"/>
                <w:b/>
                <w:sz w:val="16"/>
              </w:rPr>
              <w:t>Symbol(s)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2596" w:type="dxa"/>
            <w:tcBorders>
              <w:bottom w:val="single" w:sz="2" w:space="0" w:color="000000"/>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Name of each exchange</w:t>
            </w:r>
            <w:r>
              <w:rPr>
                <w:rFonts w:ascii="Helvetica;sans-serif" w:hAnsi="Helvetica;sans-serif"/>
                <w:sz w:val="16"/>
              </w:rPr>
              <w:br/>
            </w:r>
            <w:r>
              <w:rPr>
                <w:rFonts w:ascii="Helvetica;sans-serif" w:hAnsi="Helvetica;sans-serif"/>
                <w:b/>
                <w:sz w:val="16"/>
              </w:rPr>
              <w:t>on which registered</w:t>
            </w:r>
          </w:p>
        </w:tc>
      </w:tr>
      <w:tr>
        <w:trPr/>
        <w:tc>
          <w:tcPr>
            <w:tcW w:w="4216" w:type="dxa"/>
            <w:tcBorders/>
            <w:tcMar>
              <w:bottom w:w="0" w:type="dxa"/>
            </w:tcMar>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Common Stock, $0.0001 par value per share</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16" w:type="dxa"/>
            <w:tcBorders/>
            <w:tcMar>
              <w:bottom w:w="0" w:type="dxa"/>
            </w:tcMar>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CHRS</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2596" w:type="dxa"/>
            <w:tcBorders/>
            <w:tcMar>
              <w:bottom w:w="0" w:type="dxa"/>
            </w:tcMar>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The Nasdaq Global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20"/>
        </w:rPr>
      </w:pPr>
      <w:bookmarkStart w:id="29" w:name="_b81bd58a_834b_424d_bcb1_ca45f7656326"/>
      <w:bookmarkEnd w:id="29"/>
      <w:r>
        <w:rPr>
          <w:rFonts w:ascii="Helvetica;sans-serif" w:hAnsi="Helvetica;sans-serif"/>
          <w:b/>
          <w:sz w:val="20"/>
        </w:rPr>
        <w:t>Item 8.01 Other Events.</w:t>
      </w:r>
    </w:p>
    <w:p>
      <w:pPr>
        <w:pStyle w:val="TextBody"/>
        <w:bidi w:val="0"/>
        <w:spacing w:before="0" w:after="0"/>
        <w:ind w:left="0" w:right="0" w:hanging="0"/>
        <w:jc w:val="left"/>
        <w:rPr/>
      </w:pPr>
      <w:r>
        <w:rPr/>
        <w:t> </w:t>
      </w:r>
    </w:p>
    <w:p>
      <w:pPr>
        <w:pStyle w:val="TextBody"/>
        <w:bidi w:val="0"/>
        <w:spacing w:before="120" w:after="0"/>
        <w:ind w:left="0" w:right="0" w:hanging="0"/>
        <w:jc w:val="left"/>
        <w:rPr>
          <w:rFonts w:ascii="Helvetica;sans-serif" w:hAnsi="Helvetica;sans-serif"/>
          <w:sz w:val="20"/>
        </w:rPr>
      </w:pPr>
      <w:r>
        <w:rPr>
          <w:rFonts w:ascii="Helvetica;sans-serif" w:hAnsi="Helvetica;sans-serif"/>
          <w:sz w:val="20"/>
        </w:rPr>
        <w:t xml:space="preserve">On August 28, 2026, Coherus Oncology, Inc. (the “Company”) entered into a sales agreement (the “Sales Agreement”) with Leerink Partners LLC (the “Agent”), pursuant to which the Company may offer and sell, from time to time, through or to the Agent, acting as agent or principal, shares of the Company’s common stock, par value $0.0001 per share, having an aggregate offering price of up to $50.0 million (the “Shares”). </w:t>
      </w:r>
    </w:p>
    <w:p>
      <w:pPr>
        <w:pStyle w:val="TextBody"/>
        <w:bidi w:val="0"/>
        <w:spacing w:before="240" w:after="0"/>
        <w:ind w:left="0" w:right="0" w:hanging="0"/>
        <w:jc w:val="left"/>
        <w:rPr>
          <w:rFonts w:ascii="Helvetica;sans-serif" w:hAnsi="Helvetica;sans-serif"/>
          <w:sz w:val="20"/>
        </w:rPr>
      </w:pPr>
      <w:r>
        <w:rPr>
          <w:rFonts w:ascii="Helvetica;sans-serif" w:hAnsi="Helvetica;sans-serif"/>
          <w:sz w:val="20"/>
        </w:rPr>
        <w:t>The Company is not obligated to sell any Shares under the Sales Agreement. Subject to the terms and conditions of the Sales Agreement, the Agent will use commercially reasonable efforts, consistent with their normal trading and sales practices and applicable state and federal laws, rules and regulations and the rules of the Nasdaq Global Market, to sell Shares from time to time based upon the Company’s instructions, including any price, time or size limits or other customary parameters or conditions specified by the Company. Under the Sales Agreement, the Agent may sell Shares by any method permitted by law deemed to be an “at the market offering” under Rule 415(a)(4) under the Securities Act of 1933, as amended (the “Securities Act”). The Company will pay the Agent a commission up to 3.0% of the gross proceeds from each sale of Shares and provide the Agent with customary indemnification and contribution rights. The Sales Agreement may be terminated by the Agent or the Company at any time upon ten days’ notice to the other party.</w:t>
      </w:r>
    </w:p>
    <w:p>
      <w:pPr>
        <w:pStyle w:val="TextBody"/>
        <w:bidi w:val="0"/>
        <w:spacing w:before="240" w:after="0"/>
        <w:ind w:left="0" w:right="0" w:hanging="0"/>
        <w:jc w:val="left"/>
        <w:rPr>
          <w:rFonts w:ascii="Helvetica;sans-serif" w:hAnsi="Helvetica;sans-serif"/>
          <w:sz w:val="20"/>
        </w:rPr>
      </w:pPr>
      <w:r>
        <w:rPr>
          <w:rFonts w:ascii="Helvetica;sans-serif" w:hAnsi="Helvetica;sans-serif"/>
          <w:sz w:val="20"/>
        </w:rPr>
        <w:t>The Shares will be offered pursuant to a shelf registration statement on Form S-3 (File No. 333-291520), which was declared effective by the U.S. Securities and Exchange Commission (the “Commission”) on December 8, 2025, and a prospectus supplement filed with the Commission on August 28, 2026 in connection with the offer and sale of the Shares pursuant to the Sales Agreement.</w:t>
      </w:r>
    </w:p>
    <w:p>
      <w:pPr>
        <w:pStyle w:val="TextBody"/>
        <w:bidi w:val="0"/>
        <w:spacing w:before="240" w:after="0"/>
        <w:ind w:left="0" w:right="0" w:hanging="0"/>
        <w:jc w:val="left"/>
        <w:rPr>
          <w:rFonts w:ascii="Helvetica;sans-serif" w:hAnsi="Helvetica;sans-serif"/>
          <w:sz w:val="20"/>
        </w:rPr>
      </w:pPr>
      <w:r>
        <w:rPr>
          <w:rFonts w:ascii="Helvetica;sans-serif" w:hAnsi="Helvetica;sans-serif"/>
          <w:sz w:val="20"/>
        </w:rPr>
        <w:t>The Sales Agreement contains customary representations, warranties, covenants, indemnification obligations of the Company and the Agent, including for liabilities under the Securities Act, and other obligations of the parties. The representations, warranties and covenants contained in the Sales Agreement were made only for purposes of such agreement, were solely for the benefit of the parties to such agreement, and may be subject to limitations agreed upon by the contracting parties. The foregoing description of the Sales Agreement does not purport to be complete and is qualified in its entirety by reference to the full text of the Sales Agreement, a copy of which is filed as Exhibit 1.1 to this Current Report on Form 8-K and is incorporated herein by reference.</w:t>
      </w:r>
    </w:p>
    <w:p>
      <w:pPr>
        <w:pStyle w:val="TextBody"/>
        <w:bidi w:val="0"/>
        <w:spacing w:before="240" w:after="0"/>
        <w:ind w:left="0" w:right="0" w:hanging="0"/>
        <w:jc w:val="left"/>
        <w:rPr>
          <w:rFonts w:ascii="Helvetica;sans-serif" w:hAnsi="Helvetica;sans-serif"/>
          <w:sz w:val="20"/>
        </w:rPr>
      </w:pPr>
      <w:r>
        <w:rPr>
          <w:rFonts w:ascii="Helvetica;sans-serif" w:hAnsi="Helvetica;sans-serif"/>
          <w:sz w:val="20"/>
        </w:rPr>
        <w:t>The legal opinion of Latham &amp; Watkins LLP relating to the Shares that may be sold pursuant to the Sales Agreement is filed as Exhibit 5.1 to this Current Report on Form 8-K.</w:t>
      </w:r>
    </w:p>
    <w:p>
      <w:pPr>
        <w:pStyle w:val="TextBody"/>
        <w:bidi w:val="0"/>
        <w:spacing w:before="240" w:after="0"/>
        <w:ind w:left="0" w:right="0" w:hanging="0"/>
        <w:jc w:val="left"/>
        <w:rPr>
          <w:rFonts w:ascii="Helvetica;sans-serif" w:hAnsi="Helvetica;sans-serif"/>
          <w:sz w:val="20"/>
        </w:rPr>
      </w:pPr>
      <w:r>
        <w:rPr>
          <w:rFonts w:ascii="Helvetica;sans-serif" w:hAnsi="Helvetica;sans-serif"/>
          <w:sz w:val="20"/>
        </w:rPr>
        <w:t>The Company intends to use any net cash proceeds it receives from the issuance and sale of any shares of the Company’s common stock to or through the Agent for general corporate purposes, including working capital.</w:t>
      </w:r>
    </w:p>
    <w:p>
      <w:pPr>
        <w:pStyle w:val="TextBody"/>
        <w:bidi w:val="0"/>
        <w:spacing w:before="240" w:after="0"/>
        <w:ind w:left="0" w:right="0" w:hanging="0"/>
        <w:jc w:val="left"/>
        <w:rPr>
          <w:rFonts w:ascii="Helvetica;sans-serif" w:hAnsi="Helvetica;sans-serif"/>
          <w:sz w:val="20"/>
        </w:rPr>
      </w:pPr>
      <w:r>
        <w:rPr>
          <w:rFonts w:ascii="Helvetica;sans-serif" w:hAnsi="Helvetica;sans-serif"/>
          <w:sz w:val="20"/>
        </w:rPr>
        <w:t>This Current Report on Form 8-K shall not constitute an offer to sell or the solicitation of an offer to buy any Shares under the Sales Agreement nor shall there be any offer, solicitation or sale of such Shares in any state in which such offer, solicitation or sale would be unlawful prior to registration or qualification under the securities laws of any such state.</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bookmarkStart w:id="30" w:name="_798e7f68_ccfb_48b0_8e89_c443030c3ecf"/>
      <w:bookmarkEnd w:id="30"/>
      <w:r>
        <w:rPr>
          <w:rFonts w:ascii="Helvetica;sans-serif" w:hAnsi="Helvetica;sans-serif"/>
          <w:b/>
          <w:i w:val="false"/>
          <w:caps w:val="false"/>
          <w:smallCaps w:val="false"/>
          <w:sz w:val="20"/>
        </w:rPr>
        <w:t xml:space="preserve">Item 9.01 </w:t>
      </w:r>
      <w:r>
        <w:rPr>
          <w:rFonts w:ascii="Helvetica;sans-serif" w:hAnsi="Helvetica;sans-serif"/>
          <w:b/>
          <w:sz w:val="20"/>
        </w:rPr>
        <w:t>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(d) Exhibits</w:t>
      </w:r>
    </w:p>
    <w:tbl>
      <w:tblPr>
        <w:tblW w:w="9928" w:type="dxa"/>
        <w:jc w:val="left"/>
        <w:tblInd w:w="0" w:type="dxa"/>
        <w:tblLayout w:type="fixed"/>
        <w:tblCellMar>
          <w:top w:w="0" w:type="dxa"/>
          <w:left w:w="0" w:type="dxa"/>
          <w:bottom w:w="0" w:type="dxa"/>
          <w:right w:w="0" w:type="dxa"/>
        </w:tblCellMar>
      </w:tblPr>
      <w:tblGrid>
        <w:gridCol w:w="124"/>
        <w:gridCol w:w="109"/>
        <w:gridCol w:w="109"/>
        <w:gridCol w:w="109"/>
        <w:gridCol w:w="109"/>
        <w:gridCol w:w="54"/>
        <w:gridCol w:w="1192"/>
        <w:gridCol w:w="2377"/>
        <w:gridCol w:w="2377"/>
        <w:gridCol w:w="3368"/>
      </w:tblGrid>
      <w:tr>
        <w:trPr/>
        <w:tc>
          <w:tcPr>
            <w:tcW w:w="124"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246" w:type="dxa"/>
            <w:gridSpan w:val="2"/>
            <w:tcBorders/>
            <w:vAlign w:val="center"/>
          </w:tcPr>
          <w:p>
            <w:pPr>
              <w:pStyle w:val="TableContents"/>
              <w:bidi w:val="0"/>
              <w:spacing w:before="0" w:after="283"/>
              <w:ind w:left="0" w:right="0" w:hanging="0"/>
              <w:jc w:val="left"/>
              <w:rPr>
                <w:sz w:val="4"/>
                <w:szCs w:val="4"/>
              </w:rPr>
            </w:pPr>
            <w:r>
              <w:rPr>
                <w:sz w:val="4"/>
                <w:szCs w:val="4"/>
              </w:rPr>
            </w:r>
          </w:p>
        </w:tc>
        <w:tc>
          <w:tcPr>
            <w:tcW w:w="2377" w:type="dxa"/>
            <w:tcBorders/>
            <w:vAlign w:val="center"/>
          </w:tcPr>
          <w:p>
            <w:pPr>
              <w:pStyle w:val="TableContents"/>
              <w:bidi w:val="0"/>
              <w:spacing w:before="0" w:after="283"/>
              <w:ind w:left="0" w:right="0" w:hanging="0"/>
              <w:jc w:val="left"/>
              <w:rPr>
                <w:sz w:val="4"/>
                <w:szCs w:val="4"/>
              </w:rPr>
            </w:pPr>
            <w:r>
              <w:rPr>
                <w:sz w:val="4"/>
                <w:szCs w:val="4"/>
              </w:rPr>
            </w:r>
          </w:p>
        </w:tc>
        <w:tc>
          <w:tcPr>
            <w:tcW w:w="2377" w:type="dxa"/>
            <w:tcBorders/>
            <w:vAlign w:val="center"/>
          </w:tcPr>
          <w:p>
            <w:pPr>
              <w:pStyle w:val="TableContents"/>
              <w:bidi w:val="0"/>
              <w:spacing w:before="0" w:after="283"/>
              <w:ind w:left="0" w:right="0" w:hanging="0"/>
              <w:jc w:val="left"/>
              <w:rPr>
                <w:sz w:val="4"/>
                <w:szCs w:val="4"/>
              </w:rPr>
            </w:pPr>
            <w:r>
              <w:rPr>
                <w:sz w:val="4"/>
                <w:szCs w:val="4"/>
              </w:rPr>
            </w:r>
          </w:p>
        </w:tc>
        <w:tc>
          <w:tcPr>
            <w:tcW w:w="3368" w:type="dxa"/>
            <w:tcBorders/>
            <w:vAlign w:val="center"/>
          </w:tcPr>
          <w:p>
            <w:pPr>
              <w:pStyle w:val="TableContents"/>
              <w:bidi w:val="0"/>
              <w:spacing w:before="0" w:after="283"/>
              <w:ind w:left="0" w:right="0" w:hanging="0"/>
              <w:jc w:val="left"/>
              <w:rPr>
                <w:sz w:val="4"/>
                <w:szCs w:val="4"/>
              </w:rPr>
            </w:pPr>
            <w:r>
              <w:rPr>
                <w:sz w:val="4"/>
                <w:szCs w:val="4"/>
              </w:rPr>
            </w:r>
          </w:p>
        </w:tc>
      </w:tr>
      <w:tr>
        <w:trPr/>
        <w:tc>
          <w:tcPr>
            <w:tcW w:w="342" w:type="dxa"/>
            <w:gridSpan w:val="3"/>
            <w:tcBorders>
              <w:top w:val="single" w:sz="2"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81610" cy="596900"/>
                      <wp:effectExtent l="0" t="0" r="0" b="0"/>
                      <wp:wrapNone/>
                      <wp:docPr id="1" name="Frame1"/>
                      <a:graphic xmlns:a="http://schemas.openxmlformats.org/drawingml/2006/main">
                        <a:graphicData uri="http://schemas.microsoft.com/office/word/2010/wordprocessingShape">
                          <wps:wsp>
                            <wps:cNvSpPr txBox="1"/>
                            <wps:spPr>
                              <a:xfrm>
                                <a:off x="0" y="0"/>
                                <a:ext cx="181610" cy="596900"/>
                              </a:xfrm>
                              <a:prstGeom prst="rect"/>
                              <a:solidFill>
                                <a:srgbClr val="FFFFFF"/>
                              </a:solidFill>
                            </wps:spPr>
                            <wps:txbx>
                              <w:txbxContent>
                                <w:p>
                                  <w:pPr>
                                    <w:pStyle w:val="TableContents"/>
                                    <w:bidi w:val="0"/>
                                    <w:spacing w:lineRule="auto" w:line="328" w:before="0" w:after="100"/>
                                    <w:ind w:left="0" w:right="0" w:hanging="0"/>
                                    <w:jc w:val="left"/>
                                    <w:rPr>
                                      <w:rFonts w:ascii="Helvetica;sans-serif" w:hAnsi="Helvetica;sans-serif"/>
                                      <w:b/>
                                      <w:sz w:val="16"/>
                                    </w:rPr>
                                  </w:pPr>
                                  <w:r>
                                    <w:rPr>
                                      <w:rFonts w:ascii="Helvetica;sans-serif" w:hAnsi="Helvetica;sans-serif"/>
                                      <w:b/>
                                      <w:sz w:val="16"/>
                                    </w:rPr>
                                    <w:t>Exhibit 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4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100"/>
                              <w:ind w:left="0" w:right="0" w:hanging="0"/>
                              <w:jc w:val="left"/>
                              <w:rPr>
                                <w:rFonts w:ascii="Helvetica;sans-serif" w:hAnsi="Helvetica;sans-serif"/>
                                <w:b/>
                                <w:sz w:val="16"/>
                              </w:rPr>
                            </w:pPr>
                            <w:r>
                              <w:rPr>
                                <w:rFonts w:ascii="Helvetica;sans-serif" w:hAnsi="Helvetica;sans-serif"/>
                                <w:b/>
                                <w:sz w:val="16"/>
                              </w:rPr>
                              <w:t>Exhibit No.</w:t>
                            </w:r>
                          </w:p>
                        </w:txbxContent>
                      </v:textbox>
                      <w10:wrap type="none"/>
                    </v:rect>
                  </w:pict>
                </mc:Fallback>
              </mc:AlternateContent>
            </w:r>
          </w:p>
        </w:tc>
        <w:tc>
          <w:tcPr>
            <w:tcW w:w="272" w:type="dxa"/>
            <w:gridSpan w:val="3"/>
            <w:tcBorders>
              <w:top w:val="single" w:sz="2"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before="0" w:after="283"/>
              <w:ind w:left="0" w:right="0" w:hanging="0"/>
              <w:jc w:val="left"/>
              <w:rPr>
                <w:sz w:val="4"/>
                <w:szCs w:val="4"/>
              </w:rPr>
            </w:pPr>
            <w:r>
              <w:rPr>
                <w:sz w:val="4"/>
                <w:szCs w:val="4"/>
              </w:rPr>
            </w:r>
          </w:p>
        </w:tc>
        <w:tc>
          <w:tcPr>
            <w:tcW w:w="9314" w:type="dxa"/>
            <w:gridSpan w:val="4"/>
            <w:tcBorders>
              <w:top w:val="single" w:sz="2"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878830" cy="116840"/>
                      <wp:effectExtent l="0" t="0" r="0" b="0"/>
                      <wp:wrapNone/>
                      <wp:docPr id="2" name="Frame2"/>
                      <a:graphic xmlns:a="http://schemas.openxmlformats.org/drawingml/2006/main">
                        <a:graphicData uri="http://schemas.microsoft.com/office/word/2010/wordprocessingShape">
                          <wps:wsp>
                            <wps:cNvSpPr txBox="1"/>
                            <wps:spPr>
                              <a:xfrm>
                                <a:off x="0" y="0"/>
                                <a:ext cx="5878830" cy="116840"/>
                              </a:xfrm>
                              <a:prstGeom prst="rect"/>
                              <a:solidFill>
                                <a:srgbClr val="FFFFFF"/>
                              </a:solidFill>
                            </wps:spPr>
                            <wps:txbx>
                              <w:txbxContent>
                                <w:p>
                                  <w:pPr>
                                    <w:pStyle w:val="TableContents"/>
                                    <w:bidi w:val="0"/>
                                    <w:spacing w:lineRule="auto" w:line="328" w:before="0" w:after="100"/>
                                    <w:ind w:left="0" w:right="0" w:hanging="0"/>
                                    <w:jc w:val="left"/>
                                    <w:rPr>
                                      <w:rFonts w:ascii="Helvetica;sans-serif" w:hAnsi="Helvetica;sans-serif"/>
                                      <w:b/>
                                      <w:sz w:val="16"/>
                                    </w:rPr>
                                  </w:pPr>
                                  <w:r>
                                    <w:rPr>
                                      <w:rFonts w:ascii="Helvetica;sans-serif" w:hAnsi="Helvetica;sans-serif"/>
                                      <w:b/>
                                      <w:sz w:val="16"/>
                                    </w:rPr>
                                    <w:t>Description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9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100"/>
                              <w:ind w:left="0" w:right="0" w:hanging="0"/>
                              <w:jc w:val="left"/>
                              <w:rPr>
                                <w:rFonts w:ascii="Helvetica;sans-serif" w:hAnsi="Helvetica;sans-serif"/>
                                <w:b/>
                                <w:sz w:val="16"/>
                              </w:rPr>
                            </w:pPr>
                            <w:r>
                              <w:rPr>
                                <w:rFonts w:ascii="Helvetica;sans-serif" w:hAnsi="Helvetica;sans-serif"/>
                                <w:b/>
                                <w:sz w:val="16"/>
                              </w:rPr>
                              <w:t>Description</w:t>
                            </w:r>
                          </w:p>
                        </w:txbxContent>
                      </v:textbox>
                      <w10:wrap type="none"/>
                    </v:rect>
                  </w:pict>
                </mc:Fallback>
              </mc:AlternateContent>
            </w:r>
          </w:p>
        </w:tc>
      </w:tr>
      <w:tr>
        <w:trPr/>
        <w:tc>
          <w:tcPr>
            <w:tcW w:w="342" w:type="dxa"/>
            <w:gridSpan w:val="3"/>
            <w:tcBorders>
              <w:top w:val="single" w:sz="8"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81610" cy="146050"/>
                      <wp:effectExtent l="0" t="0" r="0" b="0"/>
                      <wp:wrapNone/>
                      <wp:docPr id="3" name="Frame3"/>
                      <a:graphic xmlns:a="http://schemas.openxmlformats.org/drawingml/2006/main">
                        <a:graphicData uri="http://schemas.microsoft.com/office/word/2010/wordprocessingShape">
                          <wps:wsp>
                            <wps:cNvSpPr txBox="1"/>
                            <wps:spPr>
                              <a:xfrm>
                                <a:off x="0" y="0"/>
                                <a:ext cx="181610" cy="146050"/>
                              </a:xfrm>
                              <a:prstGeom prst="rect"/>
                              <a:solidFill>
                                <a:srgbClr val="FFFFFF"/>
                              </a:solidFill>
                            </wps:spPr>
                            <wps:txbx>
                              <w:txbxContent>
                                <w:p>
                                  <w:pPr>
                                    <w:pStyle w:val="TableContents"/>
                                    <w:bidi w:val="0"/>
                                    <w:spacing w:lineRule="auto" w:line="328" w:before="0" w:after="0"/>
                                    <w:ind w:left="0" w:right="0" w:hanging="0"/>
                                    <w:jc w:val="left"/>
                                    <w:rPr>
                                      <w:rFonts w:ascii="Helvetica;sans-serif" w:hAnsi="Helvetica;sans-serif"/>
                                      <w:sz w:val="20"/>
                                    </w:rPr>
                                  </w:pPr>
                                  <w:r>
                                    <w:rPr>
                                      <w:rFonts w:ascii="Helvetica;sans-serif" w:hAnsi="Helvetica;sans-serif"/>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rFonts w:ascii="Helvetica;sans-serif" w:hAnsi="Helvetica;sans-serif"/>
                                <w:sz w:val="20"/>
                              </w:rPr>
                            </w:pPr>
                            <w:r>
                              <w:rPr>
                                <w:rFonts w:ascii="Helvetica;sans-serif" w:hAnsi="Helvetica;sans-serif"/>
                                <w:sz w:val="20"/>
                              </w:rPr>
                              <w:t>1.1</w:t>
                            </w:r>
                          </w:p>
                        </w:txbxContent>
                      </v:textbox>
                      <w10:wrap type="none"/>
                    </v:rect>
                  </w:pict>
                </mc:Fallback>
              </mc:AlternateContent>
            </w:r>
          </w:p>
        </w:tc>
        <w:tc>
          <w:tcPr>
            <w:tcW w:w="272" w:type="dxa"/>
            <w:gridSpan w:val="3"/>
            <w:tcBorders>
              <w:top w:val="single" w:sz="2"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before="0" w:after="283"/>
              <w:ind w:left="0" w:right="0" w:hanging="0"/>
              <w:jc w:val="left"/>
              <w:rPr>
                <w:sz w:val="4"/>
                <w:szCs w:val="4"/>
              </w:rPr>
            </w:pPr>
            <w:r>
              <w:rPr>
                <w:sz w:val="4"/>
                <w:szCs w:val="4"/>
              </w:rPr>
            </w:r>
          </w:p>
        </w:tc>
        <w:tc>
          <w:tcPr>
            <w:tcW w:w="9314" w:type="dxa"/>
            <w:gridSpan w:val="4"/>
            <w:tcBorders>
              <w:top w:val="single" w:sz="8"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lineRule="auto" w:line="328" w:before="0" w:after="100"/>
              <w:ind w:left="0" w:right="0" w:hanging="0"/>
              <w:jc w:val="left"/>
              <w:rPr/>
            </w:pPr>
            <w:hyperlink w:anchor="chrs-20260828xex1d1.htm">
              <w:r>
                <w:rPr>
                  <w:rStyle w:val="InternetLink"/>
                  <w:rFonts w:ascii="Helvetica;sans-serif" w:hAnsi="Helvetica;sans-serif"/>
                  <w:b w:val="false"/>
                  <w:i w:val="false"/>
                  <w:caps w:val="false"/>
                  <w:smallCaps w:val="false"/>
                  <w:sz w:val="20"/>
                </w:rPr>
                <w:t>Sales Agreement, dated as of August 28, 2026, among Coherus Oncology, Inc. and Leerink Partners LLC</w:t>
              </w:r>
            </w:hyperlink>
          </w:p>
        </w:tc>
      </w:tr>
      <w:tr>
        <w:trPr/>
        <w:tc>
          <w:tcPr>
            <w:tcW w:w="342" w:type="dxa"/>
            <w:gridSpan w:val="3"/>
            <w:tcBorders>
              <w:top w:val="single" w:sz="2"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81610" cy="146050"/>
                      <wp:effectExtent l="0" t="0" r="0" b="0"/>
                      <wp:wrapNone/>
                      <wp:docPr id="4" name="Frame4"/>
                      <a:graphic xmlns:a="http://schemas.openxmlformats.org/drawingml/2006/main">
                        <a:graphicData uri="http://schemas.microsoft.com/office/word/2010/wordprocessingShape">
                          <wps:wsp>
                            <wps:cNvSpPr txBox="1"/>
                            <wps:spPr>
                              <a:xfrm>
                                <a:off x="0" y="0"/>
                                <a:ext cx="181610" cy="146050"/>
                              </a:xfrm>
                              <a:prstGeom prst="rect"/>
                              <a:solidFill>
                                <a:srgbClr val="FFFFFF"/>
                              </a:solidFill>
                            </wps:spPr>
                            <wps:txbx>
                              <w:txbxContent>
                                <w:p>
                                  <w:pPr>
                                    <w:pStyle w:val="TableContents"/>
                                    <w:bidi w:val="0"/>
                                    <w:spacing w:lineRule="auto" w:line="328" w:before="0" w:after="0"/>
                                    <w:ind w:left="0" w:right="0" w:hanging="0"/>
                                    <w:jc w:val="left"/>
                                    <w:rPr>
                                      <w:rFonts w:ascii="Helvetica;sans-serif" w:hAnsi="Helvetica;sans-serif"/>
                                      <w:sz w:val="20"/>
                                    </w:rPr>
                                  </w:pPr>
                                  <w:r>
                                    <w:rPr>
                                      <w:rFonts w:ascii="Helvetica;sans-serif" w:hAnsi="Helvetica;sans-serif"/>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rFonts w:ascii="Helvetica;sans-serif" w:hAnsi="Helvetica;sans-serif"/>
                                <w:sz w:val="20"/>
                              </w:rPr>
                            </w:pPr>
                            <w:r>
                              <w:rPr>
                                <w:rFonts w:ascii="Helvetica;sans-serif" w:hAnsi="Helvetica;sans-serif"/>
                                <w:sz w:val="20"/>
                              </w:rPr>
                              <w:t>5.1</w:t>
                            </w:r>
                          </w:p>
                        </w:txbxContent>
                      </v:textbox>
                      <w10:wrap type="none"/>
                    </v:rect>
                  </w:pict>
                </mc:Fallback>
              </mc:AlternateContent>
            </w:r>
          </w:p>
        </w:tc>
        <w:tc>
          <w:tcPr>
            <w:tcW w:w="272" w:type="dxa"/>
            <w:gridSpan w:val="3"/>
            <w:tcBorders>
              <w:top w:val="single" w:sz="2"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before="0" w:after="283"/>
              <w:ind w:left="0" w:right="0" w:hanging="0"/>
              <w:jc w:val="left"/>
              <w:rPr>
                <w:sz w:val="4"/>
                <w:szCs w:val="4"/>
              </w:rPr>
            </w:pPr>
            <w:r>
              <w:rPr>
                <w:sz w:val="4"/>
                <w:szCs w:val="4"/>
              </w:rPr>
            </w:r>
          </w:p>
        </w:tc>
        <w:tc>
          <w:tcPr>
            <w:tcW w:w="9314" w:type="dxa"/>
            <w:gridSpan w:val="4"/>
            <w:tcBorders>
              <w:top w:val="single" w:sz="2" w:space="0" w:color="000000"/>
              <w:left w:val="single" w:sz="2" w:space="0" w:color="000000"/>
              <w:bottom w:val="single" w:sz="2" w:space="0" w:color="000000"/>
              <w:right w:val="single" w:sz="2" w:space="0" w:color="000000"/>
            </w:tcBorders>
            <w:shd w:fill="FFFFFF" w:val="clear"/>
            <w:tcMar>
              <w:top w:w="30" w:type="dxa"/>
              <w:left w:w="217" w:type="dxa"/>
              <w:bottom w:w="30" w:type="dxa"/>
              <w:right w:w="28" w:type="dxa"/>
            </w:tcMar>
            <w:vAlign w:val="center"/>
          </w:tcPr>
          <w:p>
            <w:pPr>
              <w:pStyle w:val="TableContents"/>
              <w:bidi w:val="0"/>
              <w:spacing w:lineRule="auto" w:line="328" w:before="0" w:after="100"/>
              <w:ind w:left="0" w:right="0" w:hanging="0"/>
              <w:jc w:val="left"/>
              <w:rPr/>
            </w:pPr>
            <w:hyperlink w:anchor="chrs-20260828xex5d1.htm">
              <w:r>
                <w:rPr>
                  <w:rStyle w:val="InternetLink"/>
                  <w:rFonts w:ascii="Helvetica;sans-serif" w:hAnsi="Helvetica;sans-serif"/>
                  <w:b w:val="false"/>
                  <w:i w:val="false"/>
                  <w:caps w:val="false"/>
                  <w:smallCaps w:val="false"/>
                  <w:sz w:val="20"/>
                </w:rPr>
                <w:t>Opinion of Latham &amp; Watkins LLP</w:t>
              </w:r>
            </w:hyperlink>
          </w:p>
        </w:tc>
      </w:tr>
      <w:tr>
        <w:trPr/>
        <w:tc>
          <w:tcPr>
            <w:tcW w:w="342" w:type="dxa"/>
            <w:gridSpan w:val="3"/>
            <w:tcBorders>
              <w:top w:val="single" w:sz="2"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81610" cy="346075"/>
                      <wp:effectExtent l="0" t="0" r="0" b="0"/>
                      <wp:wrapNone/>
                      <wp:docPr id="5" name="Frame5"/>
                      <a:graphic xmlns:a="http://schemas.openxmlformats.org/drawingml/2006/main">
                        <a:graphicData uri="http://schemas.microsoft.com/office/word/2010/wordprocessingShape">
                          <wps:wsp>
                            <wps:cNvSpPr txBox="1"/>
                            <wps:spPr>
                              <a:xfrm>
                                <a:off x="0" y="0"/>
                                <a:ext cx="181610" cy="346075"/>
                              </a:xfrm>
                              <a:prstGeom prst="rect"/>
                              <a:solidFill>
                                <a:srgbClr val="FFFFFF"/>
                              </a:solidFill>
                            </wps:spPr>
                            <wps:txbx>
                              <w:txbxContent>
                                <w:p>
                                  <w:pPr>
                                    <w:pStyle w:val="TableContents"/>
                                    <w:bidi w:val="0"/>
                                    <w:spacing w:lineRule="auto" w:line="328" w:before="0" w:after="0"/>
                                    <w:ind w:left="0" w:right="0" w:hanging="0"/>
                                    <w:jc w:val="left"/>
                                    <w:rPr>
                                      <w:rFonts w:ascii="Helvetica;sans-serif" w:hAnsi="Helvetica;sans-serif"/>
                                      <w:sz w:val="20"/>
                                    </w:rPr>
                                  </w:pPr>
                                  <w:r>
                                    <w:rPr>
                                      <w:rFonts w:ascii="Helvetica;sans-serif" w:hAnsi="Helvetica;sans-serif"/>
                                      <w:sz w:val="20"/>
                                    </w:rPr>
                                    <w:t>23.1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rFonts w:ascii="Helvetica;sans-serif" w:hAnsi="Helvetica;sans-serif"/>
                                <w:sz w:val="20"/>
                              </w:rPr>
                            </w:pPr>
                            <w:r>
                              <w:rPr>
                                <w:rFonts w:ascii="Helvetica;sans-serif" w:hAnsi="Helvetica;sans-serif"/>
                                <w:sz w:val="20"/>
                              </w:rPr>
                              <w:t>23.1</w:t>
                            </w:r>
                          </w:p>
                        </w:txbxContent>
                      </v:textbox>
                      <w10:wrap type="none"/>
                    </v:rect>
                  </w:pict>
                </mc:Fallback>
              </mc:AlternateContent>
            </w:r>
          </w:p>
        </w:tc>
        <w:tc>
          <w:tcPr>
            <w:tcW w:w="272" w:type="dxa"/>
            <w:gridSpan w:val="3"/>
            <w:tcBorders>
              <w:top w:val="single" w:sz="2"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before="0" w:after="0"/>
              <w:ind w:left="0" w:right="0" w:hanging="0"/>
              <w:jc w:val="left"/>
              <w:rPr>
                <w:color w:val="212529"/>
              </w:rPr>
            </w:pPr>
            <w:r>
              <w:rPr>
                <w:color w:val="212529"/>
              </w:rPr>
              <w:t>​</w:t>
            </w:r>
          </w:p>
        </w:tc>
        <w:tc>
          <w:tcPr>
            <w:tcW w:w="9314" w:type="dxa"/>
            <w:gridSpan w:val="4"/>
            <w:tcBorders>
              <w:top w:val="single" w:sz="2" w:space="0" w:color="000000"/>
              <w:left w:val="single" w:sz="2" w:space="0" w:color="000000"/>
              <w:bottom w:val="single" w:sz="2" w:space="0" w:color="000000"/>
              <w:right w:val="single" w:sz="2" w:space="0" w:color="000000"/>
            </w:tcBorders>
            <w:shd w:fill="FFFFFF" w:val="clear"/>
            <w:tcMar>
              <w:top w:w="30" w:type="dxa"/>
              <w:left w:w="217" w:type="dxa"/>
              <w:bottom w:w="30" w:type="dxa"/>
              <w:right w:w="28" w:type="dxa"/>
            </w:tcMar>
            <w:vAlign w:val="center"/>
          </w:tcPr>
          <w:p>
            <w:pPr>
              <w:pStyle w:val="TableContents"/>
              <w:bidi w:val="0"/>
              <w:spacing w:lineRule="auto" w:line="328" w:before="0" w:after="100"/>
              <w:ind w:left="0" w:right="0" w:hanging="0"/>
              <w:jc w:val="left"/>
              <w:rPr/>
            </w:pPr>
            <w:hyperlink w:anchor="chrs-20260828xex5d1.htm">
              <w:r>
                <w:rPr>
                  <w:rStyle w:val="InternetLink"/>
                  <w:rFonts w:ascii="Helvetica;sans-serif" w:hAnsi="Helvetica;sans-serif"/>
                  <w:b w:val="false"/>
                  <w:i w:val="false"/>
                  <w:caps w:val="false"/>
                  <w:smallCaps w:val="false"/>
                  <w:sz w:val="20"/>
                </w:rPr>
                <w:t>Consent of Latham &amp; Watkins LLP (included in Exhibit 5.1)</w:t>
              </w:r>
            </w:hyperlink>
          </w:p>
        </w:tc>
      </w:tr>
      <w:tr>
        <w:trPr/>
        <w:tc>
          <w:tcPr>
            <w:tcW w:w="342" w:type="dxa"/>
            <w:gridSpan w:val="3"/>
            <w:tcBorders>
              <w:top w:val="single" w:sz="2"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81610" cy="346075"/>
                      <wp:effectExtent l="0" t="0" r="0" b="0"/>
                      <wp:wrapNone/>
                      <wp:docPr id="6" name="Frame6"/>
                      <a:graphic xmlns:a="http://schemas.openxmlformats.org/drawingml/2006/main">
                        <a:graphicData uri="http://schemas.microsoft.com/office/word/2010/wordprocessingShape">
                          <wps:wsp>
                            <wps:cNvSpPr txBox="1"/>
                            <wps:spPr>
                              <a:xfrm>
                                <a:off x="0" y="0"/>
                                <a:ext cx="181610" cy="346075"/>
                              </a:xfrm>
                              <a:prstGeom prst="rect"/>
                              <a:solidFill>
                                <a:srgbClr val="FFFFFF"/>
                              </a:solidFill>
                            </wps:spPr>
                            <wps:txbx>
                              <w:txbxContent>
                                <w:p>
                                  <w:pPr>
                                    <w:pStyle w:val="TableContents"/>
                                    <w:bidi w:val="0"/>
                                    <w:spacing w:lineRule="auto" w:line="328" w:before="0" w:after="0"/>
                                    <w:ind w:left="0" w:right="0" w:hanging="0"/>
                                    <w:jc w:val="left"/>
                                    <w:rPr>
                                      <w:rFonts w:ascii="Helvetica;sans-serif" w:hAnsi="Helvetica;sans-serif"/>
                                      <w:sz w:val="20"/>
                                    </w:rPr>
                                  </w:pPr>
                                  <w:r>
                                    <w:rPr>
                                      <w:rFonts w:ascii="Helvetica;sans-serif" w:hAnsi="Helvetica;sans-serif"/>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0"/>
                              <w:ind w:left="0" w:right="0" w:hanging="0"/>
                              <w:jc w:val="left"/>
                              <w:rPr>
                                <w:rFonts w:ascii="Helvetica;sans-serif" w:hAnsi="Helvetica;sans-serif"/>
                                <w:sz w:val="20"/>
                              </w:rPr>
                            </w:pPr>
                            <w:r>
                              <w:rPr>
                                <w:rFonts w:ascii="Helvetica;sans-serif" w:hAnsi="Helvetica;sans-serif"/>
                                <w:sz w:val="20"/>
                              </w:rPr>
                              <w:t>104</w:t>
                            </w:r>
                          </w:p>
                        </w:txbxContent>
                      </v:textbox>
                      <w10:wrap type="none"/>
                    </v:rect>
                  </w:pict>
                </mc:Fallback>
              </mc:AlternateContent>
            </w:r>
          </w:p>
        </w:tc>
        <w:tc>
          <w:tcPr>
            <w:tcW w:w="272" w:type="dxa"/>
            <w:gridSpan w:val="3"/>
            <w:tcBorders>
              <w:top w:val="single" w:sz="2" w:space="0" w:color="000000"/>
              <w:left w:val="single" w:sz="2" w:space="0" w:color="000000"/>
              <w:bottom w:val="single" w:sz="2" w:space="0" w:color="000000"/>
              <w:right w:val="single" w:sz="2" w:space="0" w:color="000000"/>
            </w:tcBorders>
            <w:shd w:fill="FFFFFF" w:val="clear"/>
            <w:tcMar>
              <w:top w:w="30" w:type="dxa"/>
              <w:left w:w="28" w:type="dxa"/>
              <w:bottom w:w="30" w:type="dxa"/>
              <w:right w:w="28" w:type="dxa"/>
            </w:tcMar>
            <w:vAlign w:val="center"/>
          </w:tcPr>
          <w:p>
            <w:pPr>
              <w:pStyle w:val="TableContents"/>
              <w:bidi w:val="0"/>
              <w:spacing w:before="0" w:after="0"/>
              <w:ind w:left="0" w:right="0" w:hanging="0"/>
              <w:jc w:val="left"/>
              <w:rPr>
                <w:color w:val="212529"/>
              </w:rPr>
            </w:pPr>
            <w:r>
              <w:rPr>
                <w:color w:val="212529"/>
              </w:rPr>
              <w:t>​</w:t>
            </w:r>
          </w:p>
        </w:tc>
        <w:tc>
          <w:tcPr>
            <w:tcW w:w="9314" w:type="dxa"/>
            <w:gridSpan w:val="4"/>
            <w:tcBorders>
              <w:top w:val="single" w:sz="2" w:space="0" w:color="000000"/>
              <w:left w:val="single" w:sz="2" w:space="0" w:color="000000"/>
              <w:bottom w:val="single" w:sz="2" w:space="0" w:color="000000"/>
              <w:right w:val="single" w:sz="2" w:space="0" w:color="000000"/>
            </w:tcBorders>
            <w:shd w:fill="FFFFFF" w:val="clear"/>
            <w:tcMar>
              <w:top w:w="30" w:type="dxa"/>
              <w:left w:w="217" w:type="dxa"/>
              <w:bottom w:w="30" w:type="dxa"/>
              <w:right w:w="28" w:type="dxa"/>
            </w:tcMar>
            <w:vAlign w:val="center"/>
          </w:tcPr>
          <w:p>
            <w:pPr>
              <w:pStyle w:val="TableContents"/>
              <w:bidi w:val="0"/>
              <w:spacing w:lineRule="auto" w:line="328" w:before="0" w:after="100"/>
              <w:ind w:left="0" w:right="0" w:hanging="0"/>
              <w:jc w:val="left"/>
              <w:rPr>
                <w:rFonts w:ascii="Helvetica;sans-serif" w:hAnsi="Helvetica;sans-serif"/>
                <w:sz w:val="20"/>
              </w:rPr>
            </w:pPr>
            <w:r>
              <w:rPr>
                <w:rFonts w:ascii="Helvetica;sans-serif" w:hAnsi="Helvetica;sans-serif"/>
                <w:sz w:val="20"/>
              </w:rPr>
              <w:t>Cover Page Interactive Data File (embedded within the Inline XBRL document)</w:t>
            </w:r>
          </w:p>
        </w:tc>
      </w:tr>
    </w:tbl>
    <w:p>
      <w:pPr>
        <w:pStyle w:val="TextBody"/>
        <w:bidi w:val="0"/>
        <w:spacing w:before="0" w:after="0"/>
        <w:ind w:left="0" w:right="0" w:firstLine="720"/>
        <w:jc w:val="left"/>
        <w:rPr/>
      </w:pPr>
      <w:r>
        <w:rPr/>
        <w:t>​</w:t>
      </w:r>
    </w:p>
    <w:p>
      <w:pPr>
        <w:pStyle w:val="TextBody"/>
        <w:bidi w:val="0"/>
        <w:spacing w:before="0" w:after="240"/>
        <w:ind w:left="0" w:right="0" w:hanging="0"/>
        <w:jc w:val="center"/>
        <w:rPr>
          <w:rFonts w:ascii="Helvetica;sans-serif" w:hAnsi="Helvetica;sans-serif"/>
          <w:b/>
          <w:sz w:val="20"/>
        </w:rPr>
      </w:pPr>
      <w:bookmarkStart w:id="31" w:name="_46de26a7_0992_4d01_8df9_33f6bf009879"/>
      <w:bookmarkEnd w:id="31"/>
      <w:r>
        <w:rPr>
          <w:rFonts w:ascii="Helvetica;sans-serif" w:hAnsi="Helvetica;sans-serif"/>
          <w:b/>
          <w:sz w:val="20"/>
        </w:rPr>
        <w:t>SIGNATURES</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5269" w:type="dxa"/>
        <w:jc w:val="left"/>
        <w:tblInd w:w="0" w:type="dxa"/>
        <w:tblLayout w:type="fixed"/>
        <w:tblCellMar>
          <w:top w:w="0" w:type="dxa"/>
          <w:left w:w="0" w:type="dxa"/>
          <w:bottom w:w="0" w:type="dxa"/>
          <w:right w:w="0" w:type="dxa"/>
        </w:tblCellMar>
      </w:tblPr>
      <w:tblGrid>
        <w:gridCol w:w="2071"/>
        <w:gridCol w:w="346"/>
        <w:gridCol w:w="676"/>
        <w:gridCol w:w="217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15085" cy="175260"/>
                      <wp:effectExtent l="0" t="0" r="0" b="0"/>
                      <wp:wrapNone/>
                      <wp:docPr id="7" name="Frame7"/>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29260" cy="175260"/>
                      <wp:effectExtent l="0" t="0" r="0" b="0"/>
                      <wp:wrapNone/>
                      <wp:docPr id="8" name="Frame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81760" cy="175260"/>
                      <wp:effectExtent l="0" t="0" r="0" b="0"/>
                      <wp:wrapNone/>
                      <wp:docPr id="9" name="Frame9"/>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Date: August 28, 2026</w:t>
            </w:r>
          </w:p>
        </w:tc>
        <w:tc>
          <w:tcPr>
            <w:tcW w:w="346" w:type="dxa"/>
            <w:tcBorders/>
            <w:vAlign w:val="center"/>
          </w:tcPr>
          <w:p>
            <w:pPr>
              <w:pStyle w:val="TableContents"/>
              <w:bidi w:val="0"/>
              <w:spacing w:before="0" w:after="0"/>
              <w:ind w:left="0" w:right="0" w:hanging="0"/>
              <w:jc w:val="left"/>
              <w:rPr/>
            </w:pPr>
            <w:r>
              <w:rPr/>
              <w:t>  ​ ​ ​</w:t>
            </w:r>
          </w:p>
        </w:tc>
        <w:tc>
          <w:tcPr>
            <w:tcW w:w="2852" w:type="dxa"/>
            <w:gridSpan w:val="2"/>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COHERUS ONCOLOGY, INC.</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By:</w:t>
            </w:r>
          </w:p>
        </w:tc>
        <w:tc>
          <w:tcPr>
            <w:tcW w:w="2176"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 Dennis M. Lanfear</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Name:</w:t>
            </w:r>
          </w:p>
        </w:tc>
        <w:tc>
          <w:tcPr>
            <w:tcW w:w="2176" w:type="dxa"/>
            <w:tcBorders>
              <w:top w:val="single" w:sz="2" w:space="0" w:color="000000"/>
            </w:tcBorders>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Dennis M. Lanfear</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Title:</w:t>
            </w:r>
          </w:p>
        </w:tc>
        <w:tc>
          <w:tcPr>
            <w:tcW w:w="21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2"/>
        </w:rPr>
      </w:pPr>
      <w:bookmarkStart w:id="32" w:name="chrs-20260828xex1d1.htm"/>
      <w:bookmarkStart w:id="33" w:name="kschrs20260828xex1d1"/>
      <w:bookmarkEnd w:id="32"/>
      <w:bookmarkEnd w:id="33"/>
      <w:r>
        <w:rPr>
          <w:rFonts w:ascii="Times New Roman;Times;serif" w:hAnsi="Times New Roman;Times;serif"/>
          <w:b/>
          <w:sz w:val="22"/>
        </w:rPr>
        <w:t>Exhibit 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COHERUS ONCOLOGY,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Shares of Common Stock</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($0.0001 par value per share)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SALES AGREEMENT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August 28,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LEERINK PARTNERS LLC</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1301 Avenue of the Americas, 5</w:t>
      </w:r>
      <w:r>
        <w:rPr>
          <w:rFonts w:ascii="Times New Roman;Times;serif" w:hAnsi="Times New Roman;Times;serif"/>
          <w:sz w:val="17"/>
        </w:rPr>
        <w:t>th</w:t>
      </w:r>
      <w:r>
        <w:rPr>
          <w:rFonts w:ascii="Times New Roman;Times;serif" w:hAnsi="Times New Roman;Times;serif"/>
          <w:sz w:val="22"/>
        </w:rPr>
        <w:t xml:space="preserve"> Floor</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New York, New York 10019</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Ladies and Gentlemen: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Coherus Oncology, Inc., a Delaware corporation (the “</w:t>
      </w:r>
      <w:r>
        <w:rPr>
          <w:rFonts w:ascii="Times New Roman;Times;serif" w:hAnsi="Times New Roman;Times;serif"/>
          <w:b/>
          <w:sz w:val="22"/>
        </w:rPr>
        <w:t>Company</w:t>
      </w:r>
      <w:r>
        <w:rPr>
          <w:rFonts w:ascii="Times New Roman;Times;serif" w:hAnsi="Times New Roman;Times;serif"/>
          <w:sz w:val="22"/>
        </w:rPr>
        <w:t>”), confirms its agreement (this “</w:t>
      </w:r>
      <w:r>
        <w:rPr>
          <w:rFonts w:ascii="Times New Roman;Times;serif" w:hAnsi="Times New Roman;Times;serif"/>
          <w:b/>
          <w:sz w:val="22"/>
        </w:rPr>
        <w:t>Agreement</w:t>
      </w:r>
      <w:r>
        <w:rPr>
          <w:rFonts w:ascii="Times New Roman;Times;serif" w:hAnsi="Times New Roman;Times;serif"/>
          <w:sz w:val="22"/>
        </w:rPr>
        <w:t>”) with Leerink Partners LLC (the “</w:t>
      </w:r>
      <w:r>
        <w:rPr>
          <w:rFonts w:ascii="Times New Roman;Times;serif" w:hAnsi="Times New Roman;Times;serif"/>
          <w:b/>
          <w:sz w:val="22"/>
        </w:rPr>
        <w:t>Agent</w:t>
      </w:r>
      <w:r>
        <w:rPr>
          <w:rFonts w:ascii="Times New Roman;Times;serif" w:hAnsi="Times New Roman;Times;serif"/>
          <w:sz w:val="22"/>
        </w:rPr>
        <w:t>”), as follows:</w:t>
      </w:r>
    </w:p>
    <w:p>
      <w:pPr>
        <w:pStyle w:val="TextBody"/>
        <w:bidi w:val="0"/>
        <w:spacing w:before="0" w:after="0"/>
        <w:ind w:left="0" w:right="0" w:hanging="0"/>
        <w:jc w:val="left"/>
        <w:rPr/>
      </w:pPr>
      <w:r>
        <w:rPr/>
        <w:t>​</w:t>
      </w:r>
    </w:p>
    <w:p>
      <w:pPr>
        <w:pStyle w:val="TextBody"/>
        <w:bidi w:val="0"/>
        <w:ind w:left="0" w:right="0" w:hanging="0"/>
        <w:jc w:val="left"/>
        <w:rPr>
          <w:rFonts w:ascii="Times New Roman;Times;serif" w:hAnsi="Times New Roman;Times;serif"/>
          <w:sz w:val="24"/>
        </w:rPr>
      </w:pPr>
      <w:r>
        <w:rPr>
          <w:rFonts w:ascii="Times New Roman;Times;serif" w:hAnsi="Times New Roman;Times;serif"/>
          <w:sz w:val="22"/>
        </w:rPr>
        <w:t>1.</w:t>
      </w:r>
      <w:r>
        <w:rPr>
          <w:rFonts w:ascii="Times New Roman;Times;serif" w:hAnsi="Times New Roman;Times;serif"/>
          <w:sz w:val="22"/>
          <w:u w:val="single"/>
        </w:rPr>
        <w:t>Issuance and Sale of Shares</w:t>
      </w:r>
      <w:r>
        <w:rPr>
          <w:rFonts w:ascii="Times New Roman;Times;serif" w:hAnsi="Times New Roman;Times;serif"/>
          <w:sz w:val="22"/>
        </w:rPr>
        <w:t>. The Company agrees that, from time to time during the term of this Agreement, on the terms and subject to the conditions set forth herein, it may issue and sell through the Agent up to $50,000,000 of shares of common stock, $0.0001 par value per share, of the Company (the “</w:t>
      </w:r>
      <w:r>
        <w:rPr>
          <w:rFonts w:ascii="Times New Roman;Times;serif" w:hAnsi="Times New Roman;Times;serif"/>
          <w:b/>
          <w:sz w:val="22"/>
        </w:rPr>
        <w:t>Common Stock</w:t>
      </w:r>
      <w:r>
        <w:rPr>
          <w:rFonts w:ascii="Times New Roman;Times;serif" w:hAnsi="Times New Roman;Times;serif"/>
          <w:sz w:val="24"/>
        </w:rPr>
        <w:t>”</w:t>
      </w:r>
      <w:r>
        <w:rPr>
          <w:rFonts w:ascii="Times New Roman;Times;serif" w:hAnsi="Times New Roman;Times;serif"/>
          <w:sz w:val="22"/>
        </w:rPr>
        <w:t>), subject to the limitations set forth in Section 5(c) (the “</w:t>
      </w:r>
      <w:r>
        <w:rPr>
          <w:rFonts w:ascii="Times New Roman;Times;serif" w:hAnsi="Times New Roman;Times;serif"/>
          <w:b/>
          <w:sz w:val="22"/>
        </w:rPr>
        <w:t>Placement Shares</w:t>
      </w:r>
      <w:r>
        <w:rPr>
          <w:rFonts w:ascii="Times New Roman;Times;serif" w:hAnsi="Times New Roman;Times;serif"/>
          <w:sz w:val="24"/>
        </w:rPr>
        <w:t>”</w:t>
      </w:r>
      <w:r>
        <w:rPr>
          <w:rFonts w:ascii="Times New Roman;Times;serif" w:hAnsi="Times New Roman;Times;serif"/>
          <w:sz w:val="22"/>
        </w:rPr>
        <w:t>). Notwithstanding anything to the contrary contained herein, the parties hereto agree that compliance with the limitation set forth in this Section 1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filed by the Company with the Securities and Exchange Commission (the “</w:t>
      </w:r>
      <w:r>
        <w:rPr>
          <w:rFonts w:ascii="Times New Roman;Times;serif" w:hAnsi="Times New Roman;Times;serif"/>
          <w:b/>
          <w:sz w:val="22"/>
        </w:rPr>
        <w:t>Commission</w:t>
      </w:r>
      <w:r>
        <w:rPr>
          <w:rFonts w:ascii="Times New Roman;Times;serif" w:hAnsi="Times New Roman;Times;serif"/>
          <w:sz w:val="24"/>
        </w:rPr>
        <w:t>”</w:t>
      </w:r>
      <w:r>
        <w:rPr>
          <w:rFonts w:ascii="Times New Roman;Times;serif" w:hAnsi="Times New Roman;Times;serif"/>
          <w:sz w:val="22"/>
        </w:rPr>
        <w:t>) on November 13, 2025 and initially declared effective by the Commission on December 8, 2025, although nothing in this Agreement shall be construed as requiring the Company to issue any Placement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The Company has prepared and filed, in accordance with the provisions of the Securities Act of 1933, as amended, and the rules and regulations thereunder (collectively, the “</w:t>
      </w:r>
      <w:r>
        <w:rPr>
          <w:rFonts w:ascii="Times New Roman;Times;serif" w:hAnsi="Times New Roman;Times;serif"/>
          <w:b/>
          <w:sz w:val="22"/>
        </w:rPr>
        <w:t>Securities Act</w:t>
      </w:r>
      <w:r>
        <w:rPr>
          <w:rFonts w:ascii="Times New Roman;Times;serif" w:hAnsi="Times New Roman;Times;serif"/>
          <w:sz w:val="22"/>
        </w:rPr>
        <w:t>”), with the Commission a registration statement on Form S-3 (File No. 333-291520),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Times;serif" w:hAnsi="Times New Roman;Times;serif"/>
          <w:b/>
          <w:sz w:val="22"/>
        </w:rPr>
        <w:t>Exchange Act</w:t>
      </w:r>
      <w:r>
        <w:rPr>
          <w:rFonts w:ascii="Times New Roman;Times;serif" w:hAnsi="Times New Roman;Times;serif"/>
          <w:sz w:val="22"/>
        </w:rPr>
        <w:t>”). The Company has prepared a prospectus supplement to the base prospectus, which prospectus supplement specifically relates to the Placement Shares to be issued from time to time pursuant to this Agreement (the “</w:t>
      </w:r>
      <w:r>
        <w:rPr>
          <w:rFonts w:ascii="Times New Roman;Times;serif" w:hAnsi="Times New Roman;Times;serif"/>
          <w:b/>
          <w:sz w:val="22"/>
        </w:rPr>
        <w:t>Prospectus Supplement</w:t>
      </w:r>
      <w:r>
        <w:rPr>
          <w:rFonts w:ascii="Times New Roman;Times;serif" w:hAnsi="Times New Roman;Times;serif"/>
          <w:sz w:val="22"/>
        </w:rPr>
        <w:t xml:space="preserve">”). The Company will furnish to the Agent, for use by the Agent, copies of the base prospectus included as part of such registration statement at the time it became effective, as supplemented by the Prospectus Supplement. Except where the context otherwise requires, such registration statement,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430B or Rule 462(b) under the Securities Act, is herein called the “</w:t>
      </w:r>
      <w:r>
        <w:rPr>
          <w:rFonts w:ascii="Times New Roman;Times;serif" w:hAnsi="Times New Roman;Times;serif"/>
          <w:b/>
          <w:sz w:val="22"/>
        </w:rPr>
        <w:t>Registration Statement</w:t>
      </w:r>
      <w:r>
        <w:rPr>
          <w:rFonts w:ascii="Times New Roman;Times;serif" w:hAnsi="Times New Roman;Times;serif"/>
          <w:sz w:val="22"/>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Times New Roman;Times;serif" w:hAnsi="Times New Roman;Times;serif"/>
          <w:b/>
          <w:sz w:val="22"/>
        </w:rPr>
        <w:t>Rule 433</w:t>
      </w:r>
      <w:r>
        <w:rPr>
          <w:rFonts w:ascii="Times New Roman;Times;serif" w:hAnsi="Times New Roman;Times;serif"/>
          <w:sz w:val="22"/>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Times;serif" w:hAnsi="Times New Roman;Times;serif"/>
          <w:b/>
          <w:sz w:val="22"/>
        </w:rPr>
        <w:t>Prospectus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Any reference herein to the Registration Statement, the Prospectus Supplement, the Prospectus or any issuer free writing prospectus shall be deemed to refer to and include the documents, if any, that are or are deemed to be incorporated by reference therein (the “</w:t>
      </w:r>
      <w:r>
        <w:rPr>
          <w:rFonts w:ascii="Times New Roman;Times;serif" w:hAnsi="Times New Roman;Times;serif"/>
          <w:b/>
          <w:sz w:val="22"/>
        </w:rPr>
        <w:t>Incorporated Documents</w:t>
      </w:r>
      <w:r>
        <w:rPr>
          <w:rFonts w:ascii="Times New Roman;Times;serif" w:hAnsi="Times New Roman;Times;serif"/>
          <w:sz w:val="22"/>
        </w:rPr>
        <w:t>”), including, unless the context otherwise requires, the documents, if any, filed as exhibits to such Incorporated Documents. Any 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respective dates of the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Times;serif" w:hAnsi="Times New Roman;Times;serif"/>
          <w:b/>
          <w:sz w:val="22"/>
        </w:rPr>
        <w:t>EDGAR</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ind w:left="0" w:right="0" w:hanging="0"/>
        <w:jc w:val="left"/>
        <w:rPr>
          <w:rFonts w:ascii="Times New Roman;Times;serif" w:hAnsi="Times New Roman;Times;serif"/>
          <w:sz w:val="24"/>
        </w:rPr>
      </w:pPr>
      <w:r>
        <w:rPr>
          <w:rFonts w:ascii="Times New Roman;Times;serif" w:hAnsi="Times New Roman;Times;serif"/>
          <w:sz w:val="22"/>
        </w:rPr>
        <w:t>2.</w:t>
      </w:r>
      <w:r>
        <w:rPr>
          <w:rFonts w:ascii="Times New Roman;Times;serif" w:hAnsi="Times New Roman;Times;serif"/>
          <w:sz w:val="22"/>
          <w:u w:val="single"/>
        </w:rPr>
        <w:t>Placements</w:t>
      </w:r>
      <w:r>
        <w:rPr>
          <w:rFonts w:ascii="Times New Roman;Times;serif" w:hAnsi="Times New Roman;Times;serif"/>
          <w:sz w:val="22"/>
        </w:rPr>
        <w:t>. Each time that the Company wishes to issue and sell any Placement Shares through the Agent hereunder (each, a “</w:t>
      </w:r>
      <w:r>
        <w:rPr>
          <w:rFonts w:ascii="Times New Roman;Times;serif" w:hAnsi="Times New Roman;Times;serif"/>
          <w:b/>
          <w:sz w:val="22"/>
        </w:rPr>
        <w:t>Placement</w:t>
      </w:r>
      <w:r>
        <w:rPr>
          <w:rFonts w:ascii="Times New Roman;Times;serif" w:hAnsi="Times New Roman;Times;serif"/>
          <w:sz w:val="24"/>
        </w:rPr>
        <w:t>”</w:t>
      </w:r>
      <w:r>
        <w:rPr>
          <w:rFonts w:ascii="Times New Roman;Times;serif" w:hAnsi="Times New Roman;Times;serif"/>
          <w:sz w:val="22"/>
        </w:rPr>
        <w:t>), it will notify the Agent by email notice (or other method mutually agreed to in writing by the parties) (each such notice, a “</w:t>
      </w:r>
      <w:r>
        <w:rPr>
          <w:rFonts w:ascii="Times New Roman;Times;serif" w:hAnsi="Times New Roman;Times;serif"/>
          <w:b/>
          <w:sz w:val="22"/>
        </w:rPr>
        <w:t>Placement Notice</w:t>
      </w:r>
      <w:r>
        <w:rPr>
          <w:rFonts w:ascii="Times New Roman;Times;serif" w:hAnsi="Times New Roman;Times;serif"/>
          <w:sz w:val="24"/>
        </w:rPr>
        <w:t>”</w:t>
      </w:r>
      <w:r>
        <w:rPr>
          <w:rFonts w:ascii="Times New Roman;Times;serif" w:hAnsi="Times New Roman;Times;serif"/>
          <w:sz w:val="22"/>
        </w:rPr>
        <w:t xml:space="preserve">) containing the parameters in accordance with which it desires such Placement Shares to be sold, which at a minimum shall include the maximum 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a form of which containing such minimum sales parameters is attached hereto as </w:t>
      </w:r>
      <w:r>
        <w:rPr>
          <w:rFonts w:ascii="Times New Roman;Times;serif" w:hAnsi="Times New Roman;Times;serif"/>
          <w:b/>
          <w:sz w:val="22"/>
        </w:rPr>
        <w:t>Schedule 1</w:t>
      </w:r>
      <w:r>
        <w:rPr>
          <w:rFonts w:ascii="Times New Roman;Times;serif" w:hAnsi="Times New Roman;Times;serif"/>
          <w:sz w:val="22"/>
        </w:rPr>
        <w:t xml:space="preserve">. The Placement Notice must originate from one of the individuals authorized to act on behalf of the Company and set forth on </w:t>
      </w:r>
      <w:r>
        <w:rPr>
          <w:rFonts w:ascii="Times New Roman;Times;serif" w:hAnsi="Times New Roman;Times;serif"/>
          <w:b/>
          <w:sz w:val="22"/>
        </w:rPr>
        <w:t>Schedule 2</w:t>
      </w:r>
      <w:r>
        <w:rPr>
          <w:rFonts w:ascii="Times New Roman;Times;serif" w:hAnsi="Times New Roman;Times;serif"/>
          <w:sz w:val="24"/>
        </w:rPr>
        <w:t xml:space="preserve"> </w:t>
      </w:r>
      <w:r>
        <w:rPr>
          <w:rFonts w:ascii="Times New Roman;Times;serif" w:hAnsi="Times New Roman;Times;serif"/>
          <w:sz w:val="22"/>
        </w:rPr>
        <w:t xml:space="preserve">(with a copy to each of the other individuals from the Company listed on such </w:t>
      </w:r>
      <w:r>
        <w:rPr>
          <w:rFonts w:ascii="Times New Roman;Times;serif" w:hAnsi="Times New Roman;Times;serif"/>
          <w:b/>
          <w:sz w:val="22"/>
        </w:rPr>
        <w:t>Schedule 2</w:t>
      </w:r>
      <w:r>
        <w:rPr>
          <w:rFonts w:ascii="Times New Roman;Times;serif" w:hAnsi="Times New Roman;Times;serif"/>
          <w:sz w:val="22"/>
        </w:rPr>
        <w:t xml:space="preserve">), and shall be addressed to each of the recipients from the Agent set forth on </w:t>
      </w:r>
      <w:r>
        <w:rPr>
          <w:rFonts w:ascii="Times New Roman;Times;serif" w:hAnsi="Times New Roman;Times;serif"/>
          <w:b/>
          <w:sz w:val="22"/>
        </w:rPr>
        <w:t>Schedule 2</w:t>
      </w:r>
      <w:r>
        <w:rPr>
          <w:rFonts w:ascii="Times New Roman;Times;serif" w:hAnsi="Times New Roman;Times;serif"/>
          <w:sz w:val="22"/>
        </w:rPr>
        <w:t xml:space="preserve">, as such </w:t>
      </w:r>
      <w:r>
        <w:rPr>
          <w:rFonts w:ascii="Times New Roman;Times;serif" w:hAnsi="Times New Roman;Times;serif"/>
          <w:b/>
          <w:sz w:val="22"/>
        </w:rPr>
        <w:t>Schedule 2</w:t>
      </w:r>
      <w:r>
        <w:rPr>
          <w:rFonts w:ascii="Times New Roman;Times;serif" w:hAnsi="Times New Roman;Times;serif"/>
          <w:sz w:val="24"/>
        </w:rPr>
        <w:t xml:space="preserve"> </w:t>
      </w:r>
      <w:r>
        <w:rPr>
          <w:rFonts w:ascii="Times New Roman;Times;serif" w:hAnsi="Times New Roman;Times;serif"/>
          <w:sz w:val="22"/>
        </w:rPr>
        <w:t xml:space="preserve">may be updated by either party from time to time by sending a written notice containing a revised </w:t>
      </w:r>
      <w:r>
        <w:rPr>
          <w:rFonts w:ascii="Times New Roman;Times;serif" w:hAnsi="Times New Roman;Times;serif"/>
          <w:b/>
          <w:sz w:val="22"/>
        </w:rPr>
        <w:t>Schedule 2</w:t>
      </w:r>
      <w:r>
        <w:rPr>
          <w:rFonts w:ascii="Times New Roman;Times;serif" w:hAnsi="Times New Roman;Times;serif"/>
          <w:sz w:val="24"/>
        </w:rPr>
        <w:t xml:space="preserve"> </w:t>
      </w:r>
      <w:r>
        <w:rPr>
          <w:rFonts w:ascii="Times New Roman;Times;serif" w:hAnsi="Times New Roman;Times;serif"/>
          <w:sz w:val="22"/>
        </w:rPr>
        <w:t xml:space="preserve">to the other party in the manner provided in Section 12 (including by email correspondence to each of the individuals of the Company set forth on </w:t>
      </w:r>
      <w:r>
        <w:rPr>
          <w:rFonts w:ascii="Times New Roman;Times;serif" w:hAnsi="Times New Roman;Times;serif"/>
          <w:b/>
          <w:sz w:val="22"/>
        </w:rPr>
        <w:t>Schedule 2</w:t>
      </w:r>
      <w:r>
        <w:rPr>
          <w:rFonts w:ascii="Times New Roman;Times;serif" w:hAnsi="Times New Roman;Times;serif"/>
          <w:sz w:val="22"/>
        </w:rPr>
        <w:t xml:space="preserve">, if receipt of such correspondence is actually acknowledged by any of the individuals to whom the notice is sent, other than via auto-reply). The Placement Notice shall be effective upon receipt by the Agent unless and until (i) in accordance with the notice requirements set forth in Section 4, the Agent declines to accept the terms contained therein for any reason, in its sole discretion, within two Trading Days of the date the Agent receives the Placement Notice, (ii) in accordance with the notice requirements set forth in Section 4, the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 Notice for any reason in its sole discretion, (v) the Company issues a subsequent Placement Notice and explicitly indicates that its parameters supersede those contained in the earlier dated Placement Notice or (vi) this Agreement has been terminated pursuant to the provisions of Section 11. The amount of any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left"/>
        <w:rPr>
          <w:rFonts w:ascii="Times New Roman;Times;serif" w:hAnsi="Times New Roman;Times;serif"/>
          <w:sz w:val="24"/>
        </w:rPr>
      </w:pPr>
      <w:r>
        <w:rPr>
          <w:rFonts w:ascii="Times New Roman;Times;serif" w:hAnsi="Times New Roman;Times;serif"/>
          <w:sz w:val="22"/>
        </w:rPr>
        <w:t xml:space="preserve">discount, commission or other compensation to be paid by the Company to the Agent in connection with the sale of the Placement Shares effected through the Agent shall be calculated in accordance with the terms set forth in </w:t>
      </w:r>
      <w:r>
        <w:rPr>
          <w:rFonts w:ascii="Times New Roman;Times;serif" w:hAnsi="Times New Roman;Times;serif"/>
          <w:b/>
          <w:sz w:val="22"/>
        </w:rPr>
        <w:t>Schedule 3</w:t>
      </w:r>
      <w:r>
        <w:rPr>
          <w:rFonts w:ascii="Times New Roman;Times;serif" w:hAnsi="Times New Roman;Times;serif"/>
          <w:sz w:val="22"/>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pStyle w:val="TextBody"/>
        <w:bidi w:val="0"/>
        <w:spacing w:before="0" w:after="0"/>
        <w:ind w:left="0" w:right="0" w:hanging="0"/>
        <w:jc w:val="left"/>
        <w:rPr/>
      </w:pPr>
      <w:r>
        <w:rPr/>
        <w:t>​</w:t>
      </w:r>
    </w:p>
    <w:p>
      <w:pPr>
        <w:pStyle w:val="TextBody"/>
        <w:bidi w:val="0"/>
        <w:ind w:left="0" w:right="0" w:hanging="0"/>
        <w:jc w:val="left"/>
        <w:rPr>
          <w:rFonts w:ascii="Times New Roman;Times;serif" w:hAnsi="Times New Roman;Times;serif"/>
          <w:sz w:val="24"/>
        </w:rPr>
      </w:pPr>
      <w:r>
        <w:rPr>
          <w:rFonts w:ascii="Times New Roman;Times;serif" w:hAnsi="Times New Roman;Times;serif"/>
          <w:sz w:val="22"/>
        </w:rPr>
        <w:t>3.</w:t>
      </w:r>
      <w:r>
        <w:rPr>
          <w:rFonts w:ascii="Times New Roman;Times;serif" w:hAnsi="Times New Roman;Times;serif"/>
          <w:sz w:val="22"/>
          <w:u w:val="single"/>
        </w:rPr>
        <w:t>Sale of Placement Shares by the Agent</w:t>
      </w:r>
      <w:r>
        <w:rPr>
          <w:rFonts w:ascii="Times New Roman;Times;serif" w:hAnsi="Times New Roman;Times;serif"/>
          <w:sz w:val="22"/>
        </w:rPr>
        <w:t>. On the basis of the representations and warranties herein contained and subject to the terms and conditions herein set forth, including Section 5(c), upon the Agent’s acceptance of the terms of a Placement Notice as provided in Section 2,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Global Market (“</w:t>
      </w:r>
      <w:r>
        <w:rPr>
          <w:rFonts w:ascii="Times New Roman;Times;serif" w:hAnsi="Times New Roman;Times;serif"/>
          <w:b/>
          <w:sz w:val="22"/>
        </w:rPr>
        <w:t>Nasdaq</w:t>
      </w:r>
      <w:r>
        <w:rPr>
          <w:rFonts w:ascii="Times New Roman;Times;serif" w:hAnsi="Times New Roman;Times;serif"/>
          <w:sz w:val="24"/>
        </w:rPr>
        <w:t>”</w:t>
      </w:r>
      <w:r>
        <w:rPr>
          <w:rFonts w:ascii="Times New Roman;Times;serif" w:hAnsi="Times New Roman;Times;serif"/>
          <w:sz w:val="22"/>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Times New Roman;Times;serif" w:hAnsi="Times New Roman;Times;serif"/>
          <w:b/>
          <w:sz w:val="22"/>
        </w:rPr>
        <w:t>Schedule 2</w:t>
      </w:r>
      <w:r>
        <w:rPr>
          <w:rFonts w:ascii="Times New Roman;Times;serif" w:hAnsi="Times New Roman;Times;serif"/>
          <w:sz w:val="22"/>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Unless otherwise specified by the Company in a Placement Notice, the Agent may sell Placement Shares by any method permitted by law deemed to be an “at the market offering” as defined in Rule 415 of the Securities Act, including sales made directly on or through Nasdaq, on or through any other existing trading market for the Common Stock or to or through a market maker. If expressly authorized by the Company (including in a Placement Notice), the Agent may also sell Placement Shares in negotiated transactions.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 (iii) the Agent shall be under no obligation to purchase Placement Shares on a principal basis pursuant to this Agreement unless the Company and the Agent enter into a separate written agreement setting forth the terms of such sale. For the purposes hereof, “</w:t>
      </w:r>
      <w:r>
        <w:rPr>
          <w:rFonts w:ascii="Times New Roman;Times;serif" w:hAnsi="Times New Roman;Times;serif"/>
          <w:b/>
          <w:sz w:val="22"/>
        </w:rPr>
        <w:t>Trading Day</w:t>
      </w:r>
      <w:r>
        <w:rPr>
          <w:rFonts w:ascii="Times New Roman;Times;serif" w:hAnsi="Times New Roman;Times;serif"/>
          <w:sz w:val="24"/>
        </w:rPr>
        <w:t xml:space="preserve">” </w:t>
      </w:r>
      <w:r>
        <w:rPr>
          <w:rFonts w:ascii="Times New Roman;Times;serif" w:hAnsi="Times New Roman;Times;serif"/>
          <w:sz w:val="22"/>
        </w:rPr>
        <w:t>means any day on which the Common Stock is purchased and sold on Nasdaq.</w:t>
      </w:r>
    </w:p>
    <w:p>
      <w:pPr>
        <w:pStyle w:val="TextBody"/>
        <w:bidi w:val="0"/>
        <w:spacing w:before="0" w:after="0"/>
        <w:ind w:left="720" w:right="0" w:hanging="0"/>
        <w:jc w:val="left"/>
        <w:rPr/>
      </w:pPr>
      <w:r>
        <w:rPr/>
        <w:t>​</w:t>
      </w:r>
    </w:p>
    <w:p>
      <w:pPr>
        <w:pStyle w:val="TextBody"/>
        <w:bidi w:val="0"/>
        <w:ind w:left="0" w:right="0" w:hanging="0"/>
        <w:jc w:val="left"/>
        <w:rPr>
          <w:rFonts w:ascii="Times New Roman;Times;serif" w:hAnsi="Times New Roman;Times;serif"/>
          <w:sz w:val="24"/>
        </w:rPr>
      </w:pPr>
      <w:r>
        <w:rPr>
          <w:rFonts w:ascii="Times New Roman;Times;serif" w:hAnsi="Times New Roman;Times;serif"/>
          <w:sz w:val="22"/>
        </w:rPr>
        <w:t>4.</w:t>
      </w:r>
      <w:r>
        <w:rPr>
          <w:rFonts w:ascii="Times New Roman;Times;serif" w:hAnsi="Times New Roman;Times;serif"/>
          <w:sz w:val="22"/>
          <w:u w:val="single"/>
        </w:rPr>
        <w:t>Suspension of Sales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The Company or the Agent may, upon notice to the other party in writing (including by email correspondence to each of the individuals of the other party set forth on </w:t>
      </w:r>
      <w:r>
        <w:rPr>
          <w:rFonts w:ascii="Times New Roman;Times;serif" w:hAnsi="Times New Roman;Times;serif"/>
          <w:b/>
          <w:sz w:val="22"/>
        </w:rPr>
        <w:t>Schedule 2</w:t>
      </w:r>
      <w:r>
        <w:rPr>
          <w:rFonts w:ascii="Times New Roman;Times;serif" w:hAnsi="Times New Roman;Times;serif"/>
          <w:sz w:val="22"/>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Times;serif" w:hAnsi="Times New Roman;Times;serif"/>
          <w:b/>
          <w:sz w:val="22"/>
        </w:rPr>
        <w:t>Schedule 2</w:t>
      </w:r>
      <w:r>
        <w:rPr>
          <w:rFonts w:ascii="Times New Roman;Times;serif" w:hAnsi="Times New Roman;Times;serif"/>
          <w:sz w:val="22"/>
        </w:rPr>
        <w:t xml:space="preserve">), suspend any sale of Placement Shares;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xml:space="preserve">, that such suspension shall not affect or impair either party’s obligations with respect to any Placement Shares sold hereunder prior to the receipt of such notice. Each of the parties agrees that no such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 xml:space="preserve">notice under this Section 4 shall be effective against the other party unless notice is sent by one of the individuals named on </w:t>
      </w:r>
      <w:r>
        <w:rPr>
          <w:rFonts w:ascii="Times New Roman;Times;serif" w:hAnsi="Times New Roman;Times;serif"/>
          <w:b/>
          <w:sz w:val="22"/>
        </w:rPr>
        <w:t>Schedule 2</w:t>
      </w:r>
      <w:r>
        <w:rPr>
          <w:rFonts w:ascii="Times New Roman;Times;serif" w:hAnsi="Times New Roman;Times;serif"/>
          <w:sz w:val="22"/>
        </w:rPr>
        <w:t xml:space="preserve"> hereto to the other party in writing (including by email correspondence to each of the individuals of the other party set forth on </w:t>
      </w:r>
      <w:r>
        <w:rPr>
          <w:rFonts w:ascii="Times New Roman;Times;serif" w:hAnsi="Times New Roman;Times;serif"/>
          <w:b/>
          <w:sz w:val="22"/>
        </w:rPr>
        <w:t>Schedule 2</w:t>
      </w:r>
      <w:r>
        <w:rPr>
          <w:rFonts w:ascii="Times New Roman;Times;serif" w:hAnsi="Times New Roman;Times;serif"/>
          <w:sz w:val="22"/>
        </w:rPr>
        <w:t>, if receipt of such correspondence is actually acknowledged by any of the individuals to whom the notice is sent, other than via auto-reply).</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Notwithstanding any other provision of this Agreement, during any period in which the Company is, or could be deemed to be,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 </w:t>
      </w:r>
    </w:p>
    <w:p>
      <w:pPr>
        <w:pStyle w:val="TextBody"/>
        <w:bidi w:val="0"/>
        <w:ind w:left="0" w:right="0" w:hanging="0"/>
        <w:jc w:val="left"/>
        <w:rPr>
          <w:rFonts w:ascii="Times New Roman;Times;serif" w:hAnsi="Times New Roman;Times;serif"/>
          <w:sz w:val="24"/>
        </w:rPr>
      </w:pPr>
      <w:r>
        <w:rPr>
          <w:rFonts w:ascii="Times New Roman;Times;serif" w:hAnsi="Times New Roman;Times;serif"/>
          <w:sz w:val="22"/>
        </w:rPr>
        <w:t>5.</w:t>
      </w:r>
      <w:r>
        <w:rPr>
          <w:rFonts w:ascii="Times New Roman;Times;serif" w:hAnsi="Times New Roman;Times;serif"/>
          <w:sz w:val="22"/>
          <w:u w:val="single"/>
        </w:rPr>
        <w:t>Settlement and Delivery of the Placement Shares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Settlement of Placement Shares</w:t>
      </w:r>
      <w:r>
        <w:rPr>
          <w:rFonts w:ascii="Times New Roman;Times;serif" w:hAnsi="Times New Roman;Times;serif"/>
          <w:sz w:val="22"/>
        </w:rPr>
        <w:t>. Unless otherwise specified in the applicable Placement Notice, settlement for sales of Placement Shares will occur on the first Trading Day (or such earlier day as is industry practice or as is required for regular-way trading) following the date on which such sales are made (each, a “</w:t>
      </w:r>
      <w:r>
        <w:rPr>
          <w:rFonts w:ascii="Times New Roman;Times;serif" w:hAnsi="Times New Roman;Times;serif"/>
          <w:b/>
          <w:sz w:val="22"/>
        </w:rPr>
        <w:t>Settlement Date</w:t>
      </w:r>
      <w:r>
        <w:rPr>
          <w:rFonts w:ascii="Times New Roman;Times;serif" w:hAnsi="Times New Roman;Times;serif"/>
          <w:sz w:val="22"/>
        </w:rPr>
        <w:t>”). The amount of proceeds to be delivered to the Company on a Settlement Date against receipt of the Placement Shares sold (the “</w:t>
      </w:r>
      <w:r>
        <w:rPr>
          <w:rFonts w:ascii="Times New Roman;Times;serif" w:hAnsi="Times New Roman;Times;serif"/>
          <w:b/>
          <w:sz w:val="22"/>
        </w:rPr>
        <w:t>Net Proceeds</w:t>
      </w:r>
      <w:r>
        <w:rPr>
          <w:rFonts w:ascii="Times New Roman;Times;serif" w:hAnsi="Times New Roman;Times;serif"/>
          <w:sz w:val="22"/>
        </w:rPr>
        <w:t>”) will be equal to the aggregate gross sales price received by the Agent at which such Placement Shares were sold, after deduction of (i) the Agent’s commission, discount or other compensation for such sales payable by the Company pursuant to Section 2 hereof, (ii) any other amounts due and payable by the Company to the Agent hereunder pursuant to Section 7(g) hereof and (iii) any transaction fees imposed by any governmental or self-regulatory organization in respect of such sales.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Delivery of Placement Shares</w:t>
      </w:r>
      <w:r>
        <w:rPr>
          <w:rFonts w:ascii="Times New Roman;Times;serif" w:hAnsi="Times New Roman;Times;serif"/>
          <w:sz w:val="22"/>
        </w:rPr>
        <w:t>. On or before each Settlement Date, the Company will issue the Placement Shares being sold on such date and will, or will cause its transfer agent to, electronically transfer such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Times New Roman;Times;serif" w:hAnsi="Times New Roman;Times;serif"/>
          <w:b/>
          <w:sz w:val="22"/>
        </w:rPr>
        <w:t>DWAC</w:t>
      </w:r>
      <w:r>
        <w:rPr>
          <w:rFonts w:ascii="Times New Roman;Times;serif" w:hAnsi="Times New Roman;Times;serif"/>
          <w:sz w:val="22"/>
        </w:rPr>
        <w:t xml:space="preserve">”) or by such other means of delivery as may be mutually agreed upon by the parties hereto, which in all cases shall be duly authorized, freely tradeable, transferable, registered shares of Common Stock in good deliverable form. On each Settlement Date, the Agent will deliver the related Net Proceeds in same day funds to an account designated by the Company on or prior to the Settlement Date. The Agent shall be responsible for providing DWAC instructions or other instructions for delivery by other means with regard to the transfer of the Placement Shares being sold. In addition to and in no way limiting the rights and obligations set forth in Section 9(a) hereto, the Company agrees that if the Company or its transfer agent (if applicable), defaults in its obligation to deliver duly authorized, freely tradeable, transferable, registered Placement Shares in good deliverable form by 2:30 P.M., New York City time, on a Settlement Date (other than as a result of a failure by the Agent to provide instructions for delivery), the Company will (i) take all necessary action to cause the full amount of any Net Proceeds that were delivered to the Company’s account with respect to such settlement, together with any reasonably incurred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loss, claim, damage, or expense (including reasonable legal fees and expenses), as incurred, arising out of or in connection with such default by the Company or its transfer agent (if applicable) and (iii) pay to the Agent any commission, discount or other compensation to which it would otherwise have been entitled absent such default. Certificates for the Placement Shares, if any, shall be in such denominations and registered in such names as the Agent may request in writing one Business Day (as defined below) before the applicable Settlement Date. Certificates for the Placement Shares, if any, will be made available by the Company for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examination and packaging by the Agent in New York City not later than 12:00 P.M., New York City time, on the Business Day prior to the applicable Settlement Date.</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Limitations on Offering Size</w:t>
      </w:r>
      <w:r>
        <w:rPr>
          <w:rFonts w:ascii="Times New Roman;Times;serif" w:hAnsi="Times New Roman;Times;serif"/>
          <w:sz w:val="22"/>
        </w:rPr>
        <w:t xml:space="preserve">.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of Common Stock registered pursuant to, and available for offer and sale under, the Registration Statement pursuant to which the offering of Placement Shares is being made, (ii) the number of authorized but unissued shares of Common Stock of the Company (less shares of Common Stock issuable upon exercise, conversion or exchange of any outstanding securities of the Company or otherwise reserved from the Company’s authorized capital stock), (iii) the number or dollar amount of shares of Common Stock permitted to be offered and sold by the Company under Form S-3 (including General Instruction I.B.6. thereof, if such instruction is applicable), (iv) the number or dollar amount of shares of Common Stock that the Company’s board of directors or a duly authorized committee thereof is authorized to issue and sell from time to time, and notified to the Agent in writing, or (v) the dollar amount of shares of Common Stock for which the Company has filed the Prospectus Supplement.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Agent in writing.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Agent shall have no obligation in connection with such compliance. </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6.</w:t>
      </w:r>
      <w:r>
        <w:rPr>
          <w:rFonts w:ascii="Times New Roman;Times;serif" w:hAnsi="Times New Roman;Times;serif"/>
          <w:sz w:val="22"/>
          <w:u w:val="single"/>
        </w:rPr>
        <w:t>Representations and Warranties of the Company</w:t>
      </w:r>
      <w:r>
        <w:rPr>
          <w:rFonts w:ascii="Times New Roman;Times;serif" w:hAnsi="Times New Roman;Times;serif"/>
          <w:sz w:val="22"/>
        </w:rPr>
        <w:t>. The Company represents and warrants to, and agrees with, the Agent that as of the date of this Agreement, and as of (i) each Representation Date (as defined in Section 7(m)), (ii) each date on which a Placement Notice is given, (iii) the date and time of each sale of any Placement Shares pursuant to this Agreement and (iv) each Settlement Date (each such time or date referred to in clauses (i) through (iv), an “</w:t>
      </w:r>
      <w:r>
        <w:rPr>
          <w:rFonts w:ascii="Times New Roman;Times;serif" w:hAnsi="Times New Roman;Times;serif"/>
          <w:b/>
          <w:sz w:val="22"/>
        </w:rPr>
        <w:t>Applicable Time</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 </w:t>
      </w:r>
      <w:r>
        <w:rPr>
          <w:rFonts w:ascii="Times New Roman;Times;serif" w:hAnsi="Times New Roman;Times;serif"/>
          <w:sz w:val="22"/>
          <w:u w:val="single"/>
        </w:rPr>
        <w:t>Compliance with Registration Requirements</w:t>
      </w:r>
      <w:r>
        <w:rPr>
          <w:rFonts w:ascii="Times New Roman;Times;serif" w:hAnsi="Times New Roman;Times;serif"/>
          <w:sz w:val="22"/>
        </w:rPr>
        <w:t>. The Registration Statement has been declared effective by the Commission under the Securities Act and any Rule 462(b) Registration Statement shall have become effective under the Securities Act prior to the issuance of any Placement Notice by the Company.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contemplated or threatened by the Commission.  The Company meets the requirements for use of Form S-3 under the Securities Act.  The sale of the Placement Shares hereunder meets the requirements of General Instruction I.B.1 of Form S-3.</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(b)  </w:t>
      </w:r>
      <w:r>
        <w:rPr>
          <w:rFonts w:ascii="Times New Roman;Times;serif" w:hAnsi="Times New Roman;Times;serif"/>
          <w:sz w:val="22"/>
          <w:u w:val="single"/>
        </w:rPr>
        <w:t>No Misstatement or Omission</w:t>
      </w:r>
      <w:r>
        <w:rPr>
          <w:rFonts w:ascii="Times New Roman;Times;serif" w:hAnsi="Times New Roman;Times;serif"/>
          <w:sz w:val="22"/>
        </w:rPr>
        <w:t xml:space="preserve">.  The Prospectus when filed complied and, as amended or supplemented, if applicable, will comply in all material respects with the Securities Act.  Each of the Registration Statement, any Rule 462(b) Registration Statement, the Prospectus and any post-effective amendments or supplements thereto, at the time it became effective or its date, as applicable, complied and as of each Applicable Time, complied and will comply in all material respects with the Securities Act and did not and, as of each Applicable Time, did not and will not contain any untrue statement of a material fact or omit to state a material fact required to be stated therein or necessary to make the statements therein not misleading. The Prospectus, as amended or supplemented, as of its date, did not and, as of each Applicable Time, will not contain any untrue statement of a material fact or omit to state a material fact necessary in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(c) </w:t>
      </w:r>
      <w:r>
        <w:rPr>
          <w:rFonts w:ascii="Times New Roman;Times;serif" w:hAnsi="Times New Roman;Times;serif"/>
          <w:sz w:val="22"/>
          <w:u w:val="single"/>
        </w:rPr>
        <w:t>Exchange Act Compliance</w:t>
      </w:r>
      <w:r>
        <w:rPr>
          <w:rFonts w:ascii="Times New Roman;Times;serif" w:hAnsi="Times New Roman;Times;serif"/>
          <w:sz w:val="22"/>
        </w:rPr>
        <w:t>.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(d) </w:t>
      </w:r>
      <w:r>
        <w:rPr>
          <w:rFonts w:ascii="Times New Roman;Times;serif" w:hAnsi="Times New Roman;Times;serif"/>
          <w:sz w:val="22"/>
          <w:u w:val="single"/>
        </w:rPr>
        <w:t>Offering Materials Furnished to the Agent</w:t>
      </w:r>
      <w:r>
        <w:rPr>
          <w:rFonts w:ascii="Times New Roman;Times;serif" w:hAnsi="Times New Roman;Times;serif"/>
          <w:sz w:val="22"/>
        </w:rPr>
        <w:t>. The Company has delivered to the Agent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the Agent has reasonably requested. The Registration Statement, the Prospectus and any Permitted Free Writing Prospectus (to the extent any such Permitted Free Writing Prospectus was required to be filed with the Commission) delivered to the Agent for use in connection with the public offering of the Placement Shares contemplated herein have been and will be identical to the versions of such documents transmitted to the Commission for filing via EDGAR, except to the extent permitted by Regulation S-T.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(e) </w:t>
      </w:r>
      <w:r>
        <w:rPr>
          <w:rFonts w:ascii="Times New Roman;Times;serif" w:hAnsi="Times New Roman;Times;serif"/>
          <w:sz w:val="22"/>
          <w:u w:val="single"/>
        </w:rPr>
        <w:t>Distribution of Offering Material By the Company</w:t>
      </w:r>
      <w:r>
        <w:rPr>
          <w:rFonts w:ascii="Times New Roman;Times;serif" w:hAnsi="Times New Roman;Times;serif"/>
          <w:sz w:val="22"/>
        </w:rPr>
        <w:t>. The Company has not distributed and will not distribute, prior to the completion of the Agent’s distribution of the Placement Shares, any offering material in connection with the offering and sale of the Placement Shares pursuant to this Agreement other than the Prospectus or the Registration Statement and other materials, if any, permitted under the Securities Act and approved by the Agent.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(f) </w:t>
      </w:r>
      <w:r>
        <w:rPr>
          <w:rFonts w:ascii="Times New Roman;Times;serif" w:hAnsi="Times New Roman;Times;serif"/>
          <w:sz w:val="22"/>
          <w:u w:val="single"/>
        </w:rPr>
        <w:t>Corporate Authority</w:t>
      </w:r>
      <w:r>
        <w:rPr>
          <w:rFonts w:ascii="Times New Roman;Times;serif" w:hAnsi="Times New Roman;Times;serif"/>
          <w:sz w:val="22"/>
        </w:rPr>
        <w:t>.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(g) </w:t>
      </w:r>
      <w:r>
        <w:rPr>
          <w:rFonts w:ascii="Times New Roman;Times;serif" w:hAnsi="Times New Roman;Times;serif"/>
          <w:sz w:val="22"/>
          <w:u w:val="single"/>
        </w:rPr>
        <w:t>The Sales Agreement</w:t>
      </w:r>
      <w:r>
        <w:rPr>
          <w:rFonts w:ascii="Times New Roman;Times;serif" w:hAnsi="Times New Roman;Times;serif"/>
          <w:sz w:val="22"/>
        </w:rPr>
        <w:t>.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(h) </w:t>
      </w:r>
      <w:r>
        <w:rPr>
          <w:rFonts w:ascii="Times New Roman;Times;serif" w:hAnsi="Times New Roman;Times;serif"/>
          <w:sz w:val="22"/>
          <w:u w:val="single"/>
        </w:rPr>
        <w:t>Authorization of the Common Stock</w:t>
      </w:r>
      <w:r>
        <w:rPr>
          <w:rFonts w:ascii="Times New Roman;Times;serif" w:hAnsi="Times New Roman;Times;serif"/>
          <w:sz w:val="22"/>
        </w:rPr>
        <w:t>. The Placement Shares, when issued and delivered, will be duly authorized for issuance and sale pursuant to this Agreement and, when issued and delivered by the Company against payment therefor pursuant to this Agreement (including the terms set forth in the applicable Placement Notice), will be duly authorized, validly issued, fully paid and non-assessable, and free and clear of any preemptive rights or any similar rights.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 </w:t>
      </w:r>
      <w:r>
        <w:rPr>
          <w:rFonts w:ascii="Times New Roman;Times;serif" w:hAnsi="Times New Roman;Times;serif"/>
          <w:sz w:val="22"/>
          <w:u w:val="single"/>
        </w:rPr>
        <w:t>No Applicable Registration or Other Similar Rights</w:t>
      </w:r>
      <w:r>
        <w:rPr>
          <w:rFonts w:ascii="Times New Roman;Times;serif" w:hAnsi="Times New Roman;Times;serif"/>
          <w:sz w:val="22"/>
        </w:rPr>
        <w:t xml:space="preserve">. There are no persons with registration or other similar rights to have any equity or debt securities registered for sale under the Registration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Statement or included in the offering contemplated by this Agreement, except for such rights as have been duly waived.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(j) </w:t>
      </w:r>
      <w:r>
        <w:rPr>
          <w:rFonts w:ascii="Times New Roman;Times;serif" w:hAnsi="Times New Roman;Times;serif"/>
          <w:sz w:val="22"/>
          <w:u w:val="single"/>
        </w:rPr>
        <w:t>Brokers</w:t>
      </w:r>
      <w:r>
        <w:rPr>
          <w:rFonts w:ascii="Times New Roman;Times;serif" w:hAnsi="Times New Roman;Times;serif"/>
          <w:sz w:val="22"/>
        </w:rPr>
        <w:t>.  Except for the Agent, there is no broker, finder or other party that is entitled to receive from the Company any brokerage or finder’s fee or other fee or commission as a result of any transactions contemplated by this Agreement.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(k) </w:t>
      </w:r>
      <w:r>
        <w:rPr>
          <w:rFonts w:ascii="Times New Roman;Times;serif" w:hAnsi="Times New Roman;Times;serif"/>
          <w:sz w:val="22"/>
          <w:u w:val="single"/>
        </w:rPr>
        <w:t>No Reliance</w:t>
      </w:r>
      <w:r>
        <w:rPr>
          <w:rFonts w:ascii="Times New Roman;Times;serif" w:hAnsi="Times New Roman;Times;serif"/>
          <w:sz w:val="22"/>
        </w:rPr>
        <w:t>.  The Company has not relied upon the Agent or legal counsel for the Agent for any legal, tax or accounting advice in connection with the offering and sale of the Placement Shares.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(l) </w:t>
      </w:r>
      <w:r>
        <w:rPr>
          <w:rFonts w:ascii="Times New Roman;Times;serif" w:hAnsi="Times New Roman;Times;serif"/>
          <w:sz w:val="22"/>
          <w:u w:val="single"/>
        </w:rPr>
        <w:t>Agent Purchases</w:t>
      </w:r>
      <w:r>
        <w:rPr>
          <w:rFonts w:ascii="Times New Roman;Times;serif" w:hAnsi="Times New Roman;Times;serif"/>
          <w:sz w:val="22"/>
        </w:rPr>
        <w:t xml:space="preserve">.  The Company acknowledges and agrees that the Agent has informed the Company that the Agent may, to the extent permitted under </w:t>
      </w:r>
      <w:r>
        <w:rPr>
          <w:rFonts w:ascii="Times New Roman;Times;serif" w:hAnsi="Times New Roman;Times;serif"/>
          <w:spacing w:val="-3"/>
          <w:sz w:val="22"/>
        </w:rPr>
        <w:t>the Securities Act</w:t>
      </w:r>
      <w:r>
        <w:rPr>
          <w:rFonts w:ascii="Times New Roman;Times;serif" w:hAnsi="Times New Roman;Times;serif"/>
          <w:sz w:val="24"/>
        </w:rPr>
        <w:t xml:space="preserve"> </w:t>
      </w:r>
      <w:r>
        <w:rPr>
          <w:rFonts w:ascii="Times New Roman;Times;serif" w:hAnsi="Times New Roman;Times;serif"/>
          <w:sz w:val="22"/>
        </w:rPr>
        <w:t xml:space="preserve">and the Exchange Act, purchase and sell shares of </w:t>
      </w:r>
      <w:r>
        <w:rPr>
          <w:rFonts w:ascii="Times New Roman;Times;serif" w:hAnsi="Times New Roman;Times;serif"/>
          <w:spacing w:val="-3"/>
          <w:sz w:val="22"/>
        </w:rPr>
        <w:t>Common</w:t>
      </w:r>
      <w:r>
        <w:rPr>
          <w:rFonts w:ascii="Times New Roman;Times;serif" w:hAnsi="Times New Roman;Times;serif"/>
          <w:sz w:val="24"/>
        </w:rPr>
        <w:t xml:space="preserve"> </w:t>
      </w:r>
      <w:r>
        <w:rPr>
          <w:rFonts w:ascii="Times New Roman;Times;serif" w:hAnsi="Times New Roman;Times;serif"/>
          <w:sz w:val="22"/>
        </w:rPr>
        <w:t>Stock for its own account while this Agreement is in effect.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(m) </w:t>
      </w:r>
      <w:r>
        <w:rPr>
          <w:rFonts w:ascii="Times New Roman;Times;serif" w:hAnsi="Times New Roman;Times;serif"/>
          <w:sz w:val="22"/>
          <w:u w:val="single"/>
        </w:rPr>
        <w:t>Financial Statements</w:t>
      </w:r>
      <w:r>
        <w:rPr>
          <w:rFonts w:ascii="Times New Roman;Times;serif" w:hAnsi="Times New Roman;Times;serif"/>
          <w:sz w:val="22"/>
        </w:rPr>
        <w:t>. The financial statements (including the related notes thereto) of the Company and its consolidated subsidiaries included or incorporated by reference in the Registration Statement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except in the case of unaudited financial statements, which are subject to normal year-end adjustments and do not contain certain footnotes as permitted by the applicable rules of the Commission,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and the Prospectus has been derived from the accounting records of the Company and its consolidated subsidiaries and presents fairly, in all material respects, the information shown thereby.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 </w:t>
      </w:r>
      <w:r>
        <w:rPr>
          <w:rFonts w:ascii="Times New Roman;Times;serif" w:hAnsi="Times New Roman;Times;serif"/>
          <w:sz w:val="22"/>
          <w:u w:val="single"/>
        </w:rPr>
        <w:t>No Material Adverse Change</w:t>
      </w:r>
      <w:r>
        <w:rPr>
          <w:rFonts w:ascii="Times New Roman;Times;serif" w:hAnsi="Times New Roman;Times;serif"/>
          <w:sz w:val="22"/>
        </w:rPr>
        <w:t>. Since the date of the most recent financial statements of the Company included or incorporated by reference in the Registration Statement and the Prospectus, (i) there has not been any change in the capital stock (other than the issuance of shares of Common Stock upon exercise of stock options and warrants described as outstanding in, and the grant of options and awards under existing equity incentive plans described in, the Registration Statement and the Prospectus),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prospective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and the Prospectus.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(o) </w:t>
      </w:r>
      <w:r>
        <w:rPr>
          <w:rFonts w:ascii="Times New Roman;Times;serif" w:hAnsi="Times New Roman;Times;serif"/>
          <w:sz w:val="22"/>
          <w:u w:val="single"/>
        </w:rPr>
        <w:t>Organization and Good Standing</w:t>
      </w:r>
      <w:r>
        <w:rPr>
          <w:rFonts w:ascii="Times New Roman;Times;serif" w:hAnsi="Times New Roman;Times;serif"/>
          <w:sz w:val="22"/>
        </w:rPr>
        <w:t xml:space="preserve">. The Company and each of its subsidiaries have been duly organized and are validly existing and in good standing under the laws of their respective jurisdictions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stockholders’ equity, results of operations or prospects of the Company and its subsidiaries taken as a whole or on the performance by the Company of its obligations under this Agreement (a “</w:t>
      </w:r>
      <w:r>
        <w:rPr>
          <w:rFonts w:ascii="Times New Roman;Times;serif" w:hAnsi="Times New Roman;Times;serif"/>
          <w:b/>
          <w:sz w:val="22"/>
        </w:rPr>
        <w:t>Material Adverse Effect</w:t>
      </w:r>
      <w:r>
        <w:rPr>
          <w:rFonts w:ascii="Times New Roman;Times;serif" w:hAnsi="Times New Roman;Times;serif"/>
          <w:sz w:val="24"/>
        </w:rPr>
        <w:t>”</w:t>
      </w:r>
      <w:r>
        <w:rPr>
          <w:rFonts w:ascii="Times New Roman;Times;serif" w:hAnsi="Times New Roman;Times;serif"/>
          <w:sz w:val="22"/>
        </w:rPr>
        <w:t>).  The Company does not own or control, directly or indirectly, any corporation, association or other entity other than (i) any subsidiaries listed on Exhibit 21 to the Company’s Annual Report on Form 10-K for the most recently ended fiscal year and (ii) any subsidiaries not required to be listed on Exhibit 21 by Item 601 of Regulation S-K under the Exchange Act.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(p) </w:t>
      </w:r>
      <w:r>
        <w:rPr>
          <w:rFonts w:ascii="Times New Roman;Times;serif" w:hAnsi="Times New Roman;Times;serif"/>
          <w:sz w:val="22"/>
          <w:u w:val="single"/>
        </w:rPr>
        <w:t>Capitalization</w:t>
      </w:r>
      <w:r>
        <w:rPr>
          <w:rFonts w:ascii="Times New Roman;Times;serif" w:hAnsi="Times New Roman;Times;serif"/>
          <w:sz w:val="22"/>
        </w:rPr>
        <w:t>. The authorized shares of capital stock of the Company conform in all material respects to the description thereof contained in the Registration Statement and the Prospectus; all the outstanding shares of capital stock of the Company have been duly and validly authorized and issued and are fully paid and non-assessable and are not subject to any pre-emptive or similar rights that have not been duly waived or satisfied; except as described in or expressly contemplated by the Registration Statement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and the Prospectus;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(q) </w:t>
      </w:r>
      <w:r>
        <w:rPr>
          <w:rFonts w:ascii="Times New Roman;Times;serif" w:hAnsi="Times New Roman;Times;serif"/>
          <w:sz w:val="22"/>
          <w:u w:val="single"/>
        </w:rPr>
        <w:t>Stock Options</w:t>
      </w:r>
      <w:r>
        <w:rPr>
          <w:rFonts w:ascii="Times New Roman;Times;serif" w:hAnsi="Times New Roman;Times;serif"/>
          <w:sz w:val="22"/>
        </w:rPr>
        <w:t>. With respect to the stock options granted pursuant to the stock-based compensation plans of the Company and its subsidiaries (the “</w:t>
      </w:r>
      <w:r>
        <w:rPr>
          <w:rFonts w:ascii="Times New Roman;Times;serif" w:hAnsi="Times New Roman;Times;serif"/>
          <w:b/>
          <w:sz w:val="22"/>
        </w:rPr>
        <w:t>Company Stock Plans</w:t>
      </w:r>
      <w:r>
        <w:rPr>
          <w:rFonts w:ascii="Times New Roman;Times;serif" w:hAnsi="Times New Roman;Times;serif"/>
          <w:sz w:val="24"/>
        </w:rPr>
        <w:t>”</w:t>
      </w:r>
      <w:r>
        <w:rPr>
          <w:rFonts w:ascii="Times New Roman;Times;serif" w:hAnsi="Times New Roman;Times;serif"/>
          <w:sz w:val="22"/>
        </w:rPr>
        <w:t>), (i)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 each such grant was made in accordance with the terms of the Company Stock Plans and all other applicable laws and regulatory rules or requirements and (iii) each such grant was properly accounted for in accordance with GAAP in the financial statements (including the related notes) of the Company.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(r) </w:t>
      </w:r>
      <w:r>
        <w:rPr>
          <w:rFonts w:ascii="Times New Roman;Times;serif" w:hAnsi="Times New Roman;Times;serif"/>
          <w:sz w:val="22"/>
          <w:u w:val="single"/>
        </w:rPr>
        <w:t>Descriptions of the Sales Agreement</w:t>
      </w:r>
      <w:r>
        <w:rPr>
          <w:rFonts w:ascii="Times New Roman;Times;serif" w:hAnsi="Times New Roman;Times;serif"/>
          <w:sz w:val="22"/>
        </w:rPr>
        <w:t>. This Agreement conforms in all material respects to the description thereof contained in the Registration Statement and the Prospectus.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 </w:t>
      </w:r>
      <w:r>
        <w:rPr>
          <w:rFonts w:ascii="Times New Roman;Times;serif" w:hAnsi="Times New Roman;Times;serif"/>
          <w:sz w:val="22"/>
          <w:u w:val="single"/>
        </w:rPr>
        <w:t>No Violation or Default</w:t>
      </w:r>
      <w:r>
        <w:rPr>
          <w:rFonts w:ascii="Times New Roman;Times;serif" w:hAnsi="Times New Roman;Times;serif"/>
          <w:sz w:val="22"/>
        </w:rPr>
        <w:t xml:space="preserve">.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 </w:t>
      </w:r>
      <w:r>
        <w:rPr>
          <w:rFonts w:ascii="Times New Roman;Times;serif" w:hAnsi="Times New Roman;Times;serif"/>
          <w:sz w:val="22"/>
          <w:u w:val="single"/>
        </w:rPr>
        <w:t>No Conflicts</w:t>
      </w:r>
      <w:r>
        <w:rPr>
          <w:rFonts w:ascii="Times New Roman;Times;serif" w:hAnsi="Times New Roman;Times;serif"/>
          <w:sz w:val="22"/>
        </w:rPr>
        <w:t>. The execution, delivery and performance by the Company of this Agreement, the issuance and sale of the Placement Shares and the consummation of the transactions contemplated by this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above, for any such conflict, breach, violation or default that would not, individually or in the aggregate, have a Material Adverse Effect.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(u) </w:t>
      </w:r>
      <w:r>
        <w:rPr>
          <w:rFonts w:ascii="Times New Roman;Times;serif" w:hAnsi="Times New Roman;Times;serif"/>
          <w:sz w:val="22"/>
          <w:u w:val="single"/>
        </w:rPr>
        <w:t>No Consents Required</w:t>
      </w:r>
      <w:r>
        <w:rPr>
          <w:rFonts w:ascii="Times New Roman;Times;serif" w:hAnsi="Times New Roman;Times;serif"/>
          <w:sz w:val="22"/>
        </w:rPr>
        <w:t xml:space="preserve">. No consent, approval, authorization, order, license, registration or qualification of or with any court or arbitrator or governmental or regulatory authority is required for the execution, delivery and performance by the Company of this Agreement, the issuance and sale of the Placement Shares and the </w:t>
      </w:r>
      <w:r>
        <w:rPr>
          <w:rFonts w:ascii="Times New Roman;Times;serif" w:hAnsi="Times New Roman;Times;serif"/>
          <w:spacing w:val="-3"/>
          <w:sz w:val="22"/>
        </w:rPr>
        <w:t>consummation of the transactions contemplated by this Agreement</w:t>
      </w:r>
      <w:r>
        <w:rPr>
          <w:rFonts w:ascii="Times New Roman;Times;serif" w:hAnsi="Times New Roman;Times;serif"/>
          <w:sz w:val="22"/>
        </w:rPr>
        <w:t xml:space="preserve">, except for </w:t>
      </w:r>
      <w:r>
        <w:rPr>
          <w:rFonts w:ascii="Times New Roman;Times;serif" w:hAnsi="Times New Roman;Times;serif"/>
          <w:spacing w:val="-3"/>
          <w:sz w:val="22"/>
        </w:rPr>
        <w:t>the registration of the Placement Shares under the Securities Act and</w:t>
      </w:r>
      <w:r>
        <w:rPr>
          <w:rFonts w:ascii="Times New Roman;Times;serif" w:hAnsi="Times New Roman;Times;serif"/>
          <w:sz w:val="24"/>
        </w:rPr>
        <w:t xml:space="preserve"> </w:t>
      </w:r>
      <w:r>
        <w:rPr>
          <w:rFonts w:ascii="Times New Roman;Times;serif" w:hAnsi="Times New Roman;Times;serif"/>
          <w:sz w:val="22"/>
        </w:rPr>
        <w:t>such consents, approvals, authorizations, orders and registrations or qualifications as may be required by the Financial Industry Regulatory Authority, Inc. (“</w:t>
      </w:r>
      <w:r>
        <w:rPr>
          <w:rFonts w:ascii="Times New Roman;Times;serif" w:hAnsi="Times New Roman;Times;serif"/>
          <w:b/>
          <w:sz w:val="22"/>
        </w:rPr>
        <w:t>FINRA</w:t>
      </w:r>
      <w:r>
        <w:rPr>
          <w:rFonts w:ascii="Times New Roman;Times;serif" w:hAnsi="Times New Roman;Times;serif"/>
          <w:sz w:val="24"/>
        </w:rPr>
        <w:t>”</w:t>
      </w:r>
      <w:r>
        <w:rPr>
          <w:rFonts w:ascii="Times New Roman;Times;serif" w:hAnsi="Times New Roman;Times;serif"/>
          <w:sz w:val="22"/>
        </w:rPr>
        <w:t>) and under applicable state securities or blue sky laws in connection with the sale of the Placement Shares by the Agent.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(v) </w:t>
      </w:r>
      <w:r>
        <w:rPr>
          <w:rFonts w:ascii="Times New Roman;Times;serif" w:hAnsi="Times New Roman;Times;serif"/>
          <w:sz w:val="22"/>
          <w:u w:val="single"/>
        </w:rPr>
        <w:t>Legal Proceedings</w:t>
      </w:r>
      <w:r>
        <w:rPr>
          <w:rFonts w:ascii="Times New Roman;Times;serif" w:hAnsi="Times New Roman;Times;serif"/>
          <w:sz w:val="22"/>
        </w:rPr>
        <w:t>. Except as described in the Registration Statement and the Prospectus, there are no legal, governmental or regulatory investigations, actions, suits or proceedings pending to which the Company or any of its subsidiaries is or may reasonably be expected to become a party or to which any property of the Company or any of its subsidiaries is or may reasonably be expected to become the subject that, individually or in the aggregate, if determined adversely to the Company or any of its subsidiaries, would reasonably be expected to have a Material Adverse Effect; to the knowledge of the Company no such investigations, actions, suits or proceedings are threatened or, to the knowledge of the Company, contemplated by any governmental or regulatory authority or threatened by others; and (i) there are no current or pending legal, governmental or regulatory investigations, actions, suits or proceedings that are required under the Securities Act to be described in the Registration Statement or the Prospectus that are not so described in the Registration Statement and the Prospectus and (ii) there are no statutes, regulations or contracts or other documents that are required under the Securities Act to be filed as exhibits to the Registration Statement or described in the Registration Statement or the Prospectus that are not so filed as exhibits to the Registration Statement or described in the Registration Statement and the Prospectus.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 </w:t>
      </w:r>
      <w:r>
        <w:rPr>
          <w:rFonts w:ascii="Times New Roman;Times;serif" w:hAnsi="Times New Roman;Times;serif"/>
          <w:sz w:val="22"/>
          <w:u w:val="single"/>
        </w:rPr>
        <w:t>Independent Accountants</w:t>
      </w:r>
      <w:r>
        <w:rPr>
          <w:rFonts w:ascii="Times New Roman;Times;serif" w:hAnsi="Times New Roman;Times;serif"/>
          <w:sz w:val="22"/>
        </w:rPr>
        <w:t>. Each accounting firm that has certified certain financial statements of the Company and its subsidiaries included in the Registration Statement and the Prospectus, was (at the time of such certification) and is (in the case of any firm that is the Company current independent registered public accounting firm) an independent registered public accounting firm with respect to the Company and its subsidiaries within the applicable rules and regulations adopted by the Commission and the Public Company Accounting Oversight Board (United States) and as required by the Securities Act.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(x) </w:t>
      </w:r>
      <w:r>
        <w:rPr>
          <w:rFonts w:ascii="Times New Roman;Times;serif" w:hAnsi="Times New Roman;Times;serif"/>
          <w:sz w:val="22"/>
          <w:u w:val="single"/>
        </w:rPr>
        <w:t xml:space="preserve">[Reserved]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(y) </w:t>
      </w:r>
      <w:r>
        <w:rPr>
          <w:rFonts w:ascii="Times New Roman;Times;serif" w:hAnsi="Times New Roman;Times;serif"/>
          <w:sz w:val="22"/>
          <w:u w:val="single"/>
        </w:rPr>
        <w:t>Title to Real and Personal Property</w:t>
      </w:r>
      <w:r>
        <w:rPr>
          <w:rFonts w:ascii="Times New Roman;Times;serif" w:hAnsi="Times New Roman;Times;serif"/>
          <w:sz w:val="22"/>
        </w:rPr>
        <w:t>. The Company and its subsidiaries have good and marketable title in fee simple (in the case of real property) to, or have valid and marketable rights to lease or otherwise use, all items of real and personal property and assets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would not reasonably be expected, individually or in the aggregate, to have a Material Adverse Effect.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(z) </w:t>
      </w:r>
      <w:r>
        <w:rPr>
          <w:rFonts w:ascii="Times New Roman;Times;serif" w:hAnsi="Times New Roman;Times;serif"/>
          <w:sz w:val="22"/>
          <w:u w:val="single"/>
        </w:rPr>
        <w:t>Intellectual Property</w:t>
      </w:r>
      <w:r>
        <w:rPr>
          <w:rFonts w:ascii="Times New Roman;Times;serif" w:hAnsi="Times New Roman;Times;serif"/>
          <w:sz w:val="22"/>
        </w:rPr>
        <w:t>. The Company and its subsidiaries own or possess, or can acquire on reasonable terms, adequate, valid and enforceable rights to use all patents, trademarks, service marks, trade names, trade dress, domain names, inventions, copyrights and copyrightable works, software, know-how (including trade secrets, data and other unpatented and/or unpatentable systems or procedures), publicity rights, privacy rights, proprietary or confidential information and all other worldwide intellectual property and proprietary rights (including all registrations and applications for registration of, and all goodwill associated with, any of the foregoing) used in, or necessary for the conduct of their respective businesses as currently conducted and as proposed to be conducted (“</w:t>
      </w:r>
      <w:r>
        <w:rPr>
          <w:rFonts w:ascii="Times New Roman;Times;serif" w:hAnsi="Times New Roman;Times;serif"/>
          <w:b/>
          <w:sz w:val="22"/>
        </w:rPr>
        <w:t>Intellectual Property</w:t>
      </w:r>
      <w:r>
        <w:rPr>
          <w:rFonts w:ascii="Times New Roman;Times;serif" w:hAnsi="Times New Roman;Times;serif"/>
          <w:sz w:val="24"/>
        </w:rPr>
        <w:t>”</w:t>
      </w:r>
      <w:r>
        <w:rPr>
          <w:rFonts w:ascii="Times New Roman;Times;serif" w:hAnsi="Times New Roman;Times;serif"/>
          <w:sz w:val="22"/>
        </w:rPr>
        <w:t xml:space="preserve">), except where not owning, possessing or acquiring any such Intellectual Property, individually or in the aggregate, would not reasonably be expected to result in a Material Adverse Effect; and, to the knowledge of the Company, the conduct of their respective businesses does not infringe, misappropriate or otherwise conflict in any material respect with any such rights of others.  The Company and its subsidiaries have not received any notice of any claim of infringement or misappropriation of, or conflict with, any such rights of others or any notice challenging the validity, scope, or enforceability of the Intellectual Property or the Company’s or any of its subsidiaries’ rights therein, except in each case, as would not reasonably be expected to result in a Material Adverse Effect.  To the knowledge of the Company, no third party has materially infringed, misappropriated or otherwise violated any Intellectual Property owned by or exclusively licensed to the Company or any of its subsidiaries. All Intellectual Property owned by the Company or its subsidiaries is owned solely by the Company or its subsidiaries and is owned free and clear of all liens, encumbrances, defects or other restrictions, except those liens, encumbrances, defects or other restrictions that (i) do not materially interfere with the use made and proposed to be made of such Intellectual Property by the Company and its subsidiaries or (ii) could not reasonably be expected, individually or in the aggregate, to have a Material Adverse Effect. To the knowledge of the Company, all Intellectual Property that is licensed to the Company or its subsidiaries is free and clear of all liens and free of any restrictions or defects, except those liens, encumbrances or defects that (1) do not materially interfere with the use made and proposed to be made of such Intellectual Property by the Company or any of its subsidiaries or (2) could not reasonably be expected, individually or in the aggregate, to have a Material Adverse Effect.  To the knowledge of the Company, all Intellectual Property owned by or licensed to the Company and its subsidiaries is valid and enforceable, except where such invalidity or unenforceability would not reasonably be expected to result in a Material Adverse Effect.  The Company and its subsidiaries have complied in all material respects with, and are not in breach nor have received any asserted or threatened claim of breach of any Intellectual Property license, and the Company has no knowledge of any breach or anticipated breach by any other person of any Intellectual Property license, or any facts that may reasonably result in any claims of any such breach, except in each case, as would not reasonably be expected to result in a Material Adverse Effect. Neither the Company nor any of its subsidiaries is subject to any judgment, order, writ, injunction or decree of any court or any federal, state, local, foreign or other governmental department, commission, board, bureau, agency or instrumentality, domestic or foreign, or any arbitrator, nor has the Company or any of its subsidiaries entered into or become a party to any agreement made in settlement of any pending or threatened litigation, that restricts or impairs its use of any Intellectual Property, other than any such restrictions that could not reasonably be expected to result in a Material Adverse Effect. The Company and its subsidiaries have taken commercially reasonable actions necessary to maintain and protect all registered Intellectual Property owned by the Company or its subsidiaries, including payment of applicable maintenance fees, filing of applicable statements of use, timely response to office actions, and disclosure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of any required information.  The Company and its subsidiaries have taken reasonable steps in accordance with normal industry practice to maintain the confidentiality of all material trade secrets and confidential information owned, used or held for use by the Company or any of its subsidiaries, and, to the knowledge of the Company, no such trade secrets or confidential information have been disclosed other than to employees, representatives and agents of the Company or any of its subsidiaries, or parties who are bound by written confidentiality agreements.  All founders, key employees and other employees, in each case who are currently with the Company or any of its subsidiaries, involved in the development of material Intellectual Property for the Company or any of its subsidiaries have signed confidentiality and invention assignment agreements with the Company.  No employee contributing to any material Intellectual Property developed for and intended to be owned by the Company or its subsidiaries has failed to assign all of such employee’s rights, title and interest in such Intellectual Property to the Company or its subsidiaries.  No independent contractor contributing to any material Intellectual Property developed for and intended to be owned by the Company or its subsidiaries has failed to assign all of such independent contractor’s rights, title and interest in such Intellectual Property to the Company or its subsidiaries, or, in the alternative, granted to the Company a license thereunder as necessary for the conduct of the Company’s and its subsidiaries’ business.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(aa) </w:t>
      </w:r>
      <w:r>
        <w:rPr>
          <w:rFonts w:ascii="Times New Roman;Times;serif" w:hAnsi="Times New Roman;Times;serif"/>
          <w:sz w:val="22"/>
          <w:u w:val="single"/>
        </w:rPr>
        <w:t>Privacy Laws</w:t>
      </w:r>
      <w:r>
        <w:rPr>
          <w:rFonts w:ascii="Times New Roman;Times;serif" w:hAnsi="Times New Roman;Times;serif"/>
          <w:sz w:val="22"/>
        </w:rPr>
        <w:t>.  Except where such noncompliance would not, individually or in the aggregate, reasonably be expected to have a Material Adverse Effect, the Company and each of its subsidiaries are, and at all prior times were, in compliance with all applicable data privacy and security laws and regulations (including, to the extent applicable, the Health Insurance Portability and Accountability Act (“</w:t>
      </w:r>
      <w:r>
        <w:rPr>
          <w:rFonts w:ascii="Times New Roman;Times;serif" w:hAnsi="Times New Roman;Times;serif"/>
          <w:b/>
          <w:sz w:val="22"/>
        </w:rPr>
        <w:t>HIPAA</w:t>
      </w:r>
      <w:r>
        <w:rPr>
          <w:rFonts w:ascii="Times New Roman;Times;serif" w:hAnsi="Times New Roman;Times;serif"/>
          <w:sz w:val="24"/>
        </w:rPr>
        <w:t>”</w:t>
      </w:r>
      <w:r>
        <w:rPr>
          <w:rFonts w:ascii="Times New Roman;Times;serif" w:hAnsi="Times New Roman;Times;serif"/>
          <w:sz w:val="22"/>
        </w:rPr>
        <w:t>)), as amended by the Health Information Technology for Economic and Clinical Health Act (42 U.S.C. Section 17921 et seq.), the European Union General Data Protection Regulation (the “</w:t>
      </w:r>
      <w:r>
        <w:rPr>
          <w:rFonts w:ascii="Times New Roman;Times;serif" w:hAnsi="Times New Roman;Times;serif"/>
          <w:b/>
          <w:sz w:val="22"/>
        </w:rPr>
        <w:t>GDPR</w:t>
      </w:r>
      <w:r>
        <w:rPr>
          <w:rFonts w:ascii="Times New Roman;Times;serif" w:hAnsi="Times New Roman;Times;serif"/>
          <w:sz w:val="24"/>
        </w:rPr>
        <w:t>”</w:t>
      </w:r>
      <w:r>
        <w:rPr>
          <w:rFonts w:ascii="Times New Roman;Times;serif" w:hAnsi="Times New Roman;Times;serif"/>
          <w:sz w:val="22"/>
        </w:rPr>
        <w:t>) (EU 2016/679), the GDPR as it forms part of UK law by virtue of section 3 of the European Union (Withdrawal) Act 2018, the Data Protection Act 2018 and the California Consumer Privacy Act (collectively, “</w:t>
      </w:r>
      <w:r>
        <w:rPr>
          <w:rFonts w:ascii="Times New Roman;Times;serif" w:hAnsi="Times New Roman;Times;serif"/>
          <w:b/>
          <w:sz w:val="22"/>
        </w:rPr>
        <w:t>Privacy Laws</w:t>
      </w:r>
      <w:r>
        <w:rPr>
          <w:rFonts w:ascii="Times New Roman;Times;serif" w:hAnsi="Times New Roman;Times;serif"/>
          <w:sz w:val="24"/>
        </w:rPr>
        <w:t>”</w:t>
      </w:r>
      <w:r>
        <w:rPr>
          <w:rFonts w:ascii="Times New Roman;Times;serif" w:hAnsi="Times New Roman;Times;serif"/>
          <w:sz w:val="22"/>
        </w:rPr>
        <w:t>), judgments, orders, rules and regulations of any court or arbitrator or other governmental or regulatory authority and any other legal obligations, in each case, relating to the collection, use, transfer, import, export, storage, protection, disposal or disclosure by the Company and its subsidiaries of Personal Data, (collectively, together with the Privacy Laws, “</w:t>
      </w:r>
      <w:r>
        <w:rPr>
          <w:rFonts w:ascii="Times New Roman;Times;serif" w:hAnsi="Times New Roman;Times;serif"/>
          <w:b/>
          <w:sz w:val="22"/>
        </w:rPr>
        <w:t>Data Security Obligations</w:t>
      </w:r>
      <w:r>
        <w:rPr>
          <w:rFonts w:ascii="Times New Roman;Times;serif" w:hAnsi="Times New Roman;Times;serif"/>
          <w:sz w:val="24"/>
        </w:rPr>
        <w:t>”</w:t>
      </w:r>
      <w:r>
        <w:rPr>
          <w:rFonts w:ascii="Times New Roman;Times;serif" w:hAnsi="Times New Roman;Times;serif"/>
          <w:sz w:val="22"/>
        </w:rPr>
        <w:t>).  To ensure compliance with the Data Security Obligations, and to the extent required by the Privacy Laws, the Company and each of its subsidiaries have in place, comply with, and take commercially reasonable steps reasonably designed to ensure compliance in all respects with their policies and procedures relating to data privacy and security and the collection, use, transfer, import, export, storage, protection, disposal and disclosure of Personal Data (the “</w:t>
      </w:r>
      <w:r>
        <w:rPr>
          <w:rFonts w:ascii="Times New Roman;Times;serif" w:hAnsi="Times New Roman;Times;serif"/>
          <w:b/>
          <w:sz w:val="22"/>
        </w:rPr>
        <w:t>Policies</w:t>
      </w:r>
      <w:r>
        <w:rPr>
          <w:rFonts w:ascii="Times New Roman;Times;serif" w:hAnsi="Times New Roman;Times;serif"/>
          <w:sz w:val="24"/>
        </w:rPr>
        <w:t>”</w:t>
      </w:r>
      <w:r>
        <w:rPr>
          <w:rFonts w:ascii="Times New Roman;Times;serif" w:hAnsi="Times New Roman;Times;serif"/>
          <w:sz w:val="22"/>
        </w:rPr>
        <w:t>), except where such noncompliance would not, individually or in the aggregate, reasonably be expected to have a Material Adverse Effect. “</w:t>
      </w:r>
      <w:r>
        <w:rPr>
          <w:rFonts w:ascii="Times New Roman;Times;serif" w:hAnsi="Times New Roman;Times;serif"/>
          <w:b/>
          <w:sz w:val="22"/>
        </w:rPr>
        <w:t>Personal Data</w:t>
      </w:r>
      <w:r>
        <w:rPr>
          <w:rFonts w:ascii="Times New Roman;Times;serif" w:hAnsi="Times New Roman;Times;serif"/>
          <w:sz w:val="24"/>
        </w:rPr>
        <w:t xml:space="preserve">” </w:t>
      </w:r>
      <w:r>
        <w:rPr>
          <w:rFonts w:ascii="Times New Roman;Times;serif" w:hAnsi="Times New Roman;Times;serif"/>
          <w:sz w:val="22"/>
        </w:rPr>
        <w:t xml:space="preserve">means  (i) any information which would qualify as “personally identifying information” under the Federal Trade Commission Act, as amended; (ii) Protected Health Information as defined by HIPAA; (iii) “personal data” as defined by the GDPR or any other similar term; and (iv) any other piece of information that allows the identification of such natural person, or his or her family, or permits the collection or analysis of any data related to an identified person’s health or sexual orientation and is regulated under the Privacy Laws.  To the knowledge of the Company, none of such disclosures made or contained in any of the Policies have been inaccurate, misleading, deceptive or in violation of any Privacy Laws or Policies in any material respect, except as would not, individually or in the aggregate, reasonably be expected to have a Material Adverse Effect.  The execution, delivery and performance of this Agreement or any other agreement referred to in this Agreement will not result in a breach of any Privacy Laws or Policies, except as would not, individually or in the aggregate, reasonably be expected to have a Material Adverse Effect.  During the past three (3) years, neither the Company nor any of its subsidiaries, (i) has received written notice of any actual or potential liability under or relating to, or actual or potential violation of, any of the Privacy Laws; (ii) has conducted or paid for, or is currently conducting or paying for, in whole or in part, any investigation, remediation or other corrective action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pursuant to any Data Security Obligation; or (iii) is a party to any order, decree, or agreement that imposed or imposes any obligation or liability by any governmental or regulatory authority under any Privacy Law.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(bb) </w:t>
      </w:r>
      <w:r>
        <w:rPr>
          <w:rFonts w:ascii="Times New Roman;Times;serif" w:hAnsi="Times New Roman;Times;serif"/>
          <w:sz w:val="22"/>
          <w:u w:val="single"/>
        </w:rPr>
        <w:t>IT Systems</w:t>
      </w:r>
      <w:r>
        <w:rPr>
          <w:rFonts w:ascii="Times New Roman;Times;serif" w:hAnsi="Times New Roman;Times;serif"/>
          <w:sz w:val="22"/>
        </w:rPr>
        <w:t>.  Except as would not, individually or in the aggregate, reasonably be expected to have a Material Adverse Effect: (i)(x) to the knowledge of the Company, during the past three (3) years, there has been no security breach or attack or other compromise of or relating to any of the Company’s and its subsidiaries’ information technology and computer systems, networks, hardware, software, websites, applications, data (including the data of their respective customers, employees, suppliers, vendors and any third party data maintained by or on behalf of them), equipment or technology (“</w:t>
      </w:r>
      <w:r>
        <w:rPr>
          <w:rFonts w:ascii="Times New Roman;Times;serif" w:hAnsi="Times New Roman;Times;serif"/>
          <w:b/>
          <w:sz w:val="22"/>
        </w:rPr>
        <w:t>IT Systems and Data</w:t>
      </w:r>
      <w:r>
        <w:rPr>
          <w:rFonts w:ascii="Times New Roman;Times;serif" w:hAnsi="Times New Roman;Times;serif"/>
          <w:sz w:val="24"/>
        </w:rPr>
        <w:t>”</w:t>
      </w:r>
      <w:r>
        <w:rPr>
          <w:rFonts w:ascii="Times New Roman;Times;serif" w:hAnsi="Times New Roman;Times;serif"/>
          <w:sz w:val="22"/>
        </w:rPr>
        <w:t xml:space="preserve">), and (y) the Company and its subsidiaries have not been notified of, and have no knowledge of any event or condition that would reasonably be expected to result in any security breach, attack or compromise to their IT Systems and Data,(ii) the Company and its subsidiaries’ IT Systems and Data are adequate for, and operate in all respects as required in connection with, the operation of the business of the Company and its subsidiaries, and (iii) the Company and each of its subsidiaries have taken steps reasonably necessary to protect the Company and its subsidiaries’ IT Systems and Data, including oversight, access controls, backup procedures, encryption, technological and physical safeguards and business continuity/disaster recovery technology and security plans, consistent with industry standards and practice, that are designed to protect against breach, destruction, loss, use, unauthorized access, disablement, misappropriation or modification, or other compromise or misuse of or relating to any IT Systems and Data.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(cc) </w:t>
      </w:r>
      <w:r>
        <w:rPr>
          <w:rFonts w:ascii="Times New Roman;Times;serif" w:hAnsi="Times New Roman;Times;serif"/>
          <w:sz w:val="22"/>
          <w:u w:val="single"/>
        </w:rPr>
        <w:t>No Undisclosed Relationships</w:t>
      </w:r>
      <w:r>
        <w:rPr>
          <w:rFonts w:ascii="Times New Roman;Times;serif" w:hAnsi="Times New Roman;Times;serif"/>
          <w:sz w:val="22"/>
        </w:rPr>
        <w:t>. No relationship, direct or indirect, exists between or among the Company or any of its subsidiaries, on the one hand, and the directors, officers, stockholders, customers or suppliers of the Company or any of its subsidiaries, on the other, that is required by the Securities Act to be described in the Registration Statement and the Prospectus and that is not so described in such documents.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(dd) </w:t>
      </w:r>
      <w:r>
        <w:rPr>
          <w:rFonts w:ascii="Times New Roman;Times;serif" w:hAnsi="Times New Roman;Times;serif"/>
          <w:sz w:val="22"/>
          <w:u w:val="single"/>
        </w:rPr>
        <w:t>Investment Company Act</w:t>
      </w:r>
      <w:r>
        <w:rPr>
          <w:rFonts w:ascii="Times New Roman;Times;serif" w:hAnsi="Times New Roman;Times;serif"/>
          <w:sz w:val="22"/>
        </w:rPr>
        <w:t>. The Company is not and, after giving effect to the offering and sale of the Placement Shares and the application of the proceeds thereof as described in the Registration Statement and the Prospectus, will not be required to register as an “investment company” or an entity “controlled” by an “investment company” within the meaning of the Investment Company Act of 1940, as amended, and the rules and regulations of the Commission thereunder (collectively, the “</w:t>
      </w:r>
      <w:r>
        <w:rPr>
          <w:rFonts w:ascii="Times New Roman;Times;serif" w:hAnsi="Times New Roman;Times;serif"/>
          <w:b/>
          <w:sz w:val="22"/>
        </w:rPr>
        <w:t>Investment Company Act</w:t>
      </w:r>
      <w:r>
        <w:rPr>
          <w:rFonts w:ascii="Times New Roman;Times;serif" w:hAnsi="Times New Roman;Times;serif"/>
          <w:sz w:val="24"/>
        </w:rPr>
        <w:t>”</w:t>
      </w:r>
      <w:r>
        <w:rPr>
          <w:rFonts w:ascii="Times New Roman;Times;serif" w:hAnsi="Times New Roman;Times;serif"/>
          <w:sz w:val="22"/>
        </w:rPr>
        <w:t>).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(ee) </w:t>
      </w:r>
      <w:r>
        <w:rPr>
          <w:rFonts w:ascii="Times New Roman;Times;serif" w:hAnsi="Times New Roman;Times;serif"/>
          <w:sz w:val="22"/>
          <w:u w:val="single"/>
        </w:rPr>
        <w:t>Taxes</w:t>
      </w:r>
      <w:r>
        <w:rPr>
          <w:rFonts w:ascii="Times New Roman;Times;serif" w:hAnsi="Times New Roman;Times;serif"/>
          <w:sz w:val="22"/>
        </w:rPr>
        <w:t xml:space="preserve">. The Company and its subsidiaries have paid all federal, state, local and foreign taxes and filed all tax returns required to be paid or filed through the date hereof (after giving effect to any valid extensions with respect to the filing of tax returns) except for taxes that are being contested in good faith and for which adequate reserves have been provided in accordance with GAAP or where failure to pay would not reasonably be expected to have a Material Adverse Effect; and except as otherwise disclosed in the Registration Statement and the Prospectus, there is no material tax deficiency that has been, or would reasonably be expected to be, asserted against the Company or any of its subsidiaries or any of their respective properties or assets.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(ff) </w:t>
      </w:r>
      <w:r>
        <w:rPr>
          <w:rFonts w:ascii="Times New Roman;Times;serif" w:hAnsi="Times New Roman;Times;serif"/>
          <w:sz w:val="22"/>
          <w:u w:val="single"/>
        </w:rPr>
        <w:t>Licenses and Permits</w:t>
      </w:r>
      <w:r>
        <w:rPr>
          <w:rFonts w:ascii="Times New Roman;Times;serif" w:hAnsi="Times New Roman;Times;serif"/>
          <w:sz w:val="22"/>
        </w:rPr>
        <w:t xml:space="preserve">. Except as disclosed in the Registration Statement and the Prospectus, the Company and its subsidiaries possess all 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and the Prospectus, except where the failure to possess or make the same would not, individually or in the aggregate, have a Material Adverse Effect; and except as described in the Registration Statement and the Prospectus, neither the Company nor any of its subsidiaries has received written notice of any revocation or modification of any such license, certificate, permit or authorization or has any reason to believe that any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such license, certificate, permit or authorization will not be renewed in the ordinary course.  The Company and its subsidiaries are, and at all times have been, in material compliance with all statutes, rules and regulations applicable to the ownership, testing, development, manufacture, packaging, processing, use, distribution, storage, import, export or disposal of any product manufactured or distributed by the Company or its subsidiaries (“</w:t>
      </w:r>
      <w:r>
        <w:rPr>
          <w:rFonts w:ascii="Times New Roman;Times;serif" w:hAnsi="Times New Roman;Times;serif"/>
          <w:b/>
          <w:sz w:val="22"/>
        </w:rPr>
        <w:t>Applicable Laws</w:t>
      </w:r>
      <w:r>
        <w:rPr>
          <w:rFonts w:ascii="Times New Roman;Times;serif" w:hAnsi="Times New Roman;Times;serif"/>
          <w:sz w:val="24"/>
        </w:rPr>
        <w:t>”</w:t>
      </w:r>
      <w:r>
        <w:rPr>
          <w:rFonts w:ascii="Times New Roman;Times;serif" w:hAnsi="Times New Roman;Times;serif"/>
          <w:sz w:val="22"/>
        </w:rPr>
        <w:t>), except where such noncompliance would not, individually or in the aggregate, reasonably be expected to have a Material Adverse Effect.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(gg) </w:t>
      </w:r>
      <w:r>
        <w:rPr>
          <w:rFonts w:ascii="Times New Roman;Times;serif" w:hAnsi="Times New Roman;Times;serif"/>
          <w:sz w:val="22"/>
          <w:u w:val="single"/>
        </w:rPr>
        <w:t>Regulatory Compliance.</w:t>
      </w:r>
      <w:r>
        <w:rPr>
          <w:rFonts w:ascii="Times New Roman;Times;serif" w:hAnsi="Times New Roman;Times;serif"/>
          <w:sz w:val="24"/>
        </w:rPr>
        <w:t xml:space="preserve">  </w:t>
      </w:r>
      <w:r>
        <w:rPr>
          <w:rFonts w:ascii="Times New Roman;Times;serif" w:hAnsi="Times New Roman;Times;serif"/>
          <w:sz w:val="22"/>
        </w:rPr>
        <w:t>During the past three (3) years, the Company and its subsidiaries have not received any unresolved U.S. Food and Drug Administration (“</w:t>
      </w:r>
      <w:r>
        <w:rPr>
          <w:rFonts w:ascii="Times New Roman;Times;serif" w:hAnsi="Times New Roman;Times;serif"/>
          <w:b/>
          <w:sz w:val="22"/>
        </w:rPr>
        <w:t>FDA</w:t>
      </w:r>
      <w:r>
        <w:rPr>
          <w:rFonts w:ascii="Times New Roman;Times;serif" w:hAnsi="Times New Roman;Times;serif"/>
          <w:sz w:val="24"/>
        </w:rPr>
        <w:t>”</w:t>
      </w:r>
      <w:r>
        <w:rPr>
          <w:rFonts w:ascii="Times New Roman;Times;serif" w:hAnsi="Times New Roman;Times;serif"/>
          <w:sz w:val="22"/>
        </w:rPr>
        <w:t>) Form 483, written notice of adverse finding, warning letter, untitled letter or other written correspondence or notice from the FDA, or any other court or arbitrator or federal, state, local, or foreign governmental or regulatory authority, alleging or asserting noncompliance with (x) any Applicable Laws, including the Federal Food, Drug and Cosmetic Act (21 U.S..C § 301 et seq.) (the “</w:t>
      </w:r>
      <w:r>
        <w:rPr>
          <w:rFonts w:ascii="Times New Roman;Times;serif" w:hAnsi="Times New Roman;Times;serif"/>
          <w:b/>
          <w:sz w:val="22"/>
        </w:rPr>
        <w:t>FDCA</w:t>
      </w:r>
      <w:r>
        <w:rPr>
          <w:rFonts w:ascii="Times New Roman;Times;serif" w:hAnsi="Times New Roman;Times;serif"/>
          <w:sz w:val="24"/>
        </w:rPr>
        <w:t>”</w:t>
      </w:r>
      <w:r>
        <w:rPr>
          <w:rFonts w:ascii="Times New Roman;Times;serif" w:hAnsi="Times New Roman;Times;serif"/>
          <w:sz w:val="22"/>
        </w:rPr>
        <w:t>), or (y) any licenses, exemptions, certificates, approvals, clearances, authorizations, permits and supplements or amendments thereto required by any such Applicable Laws, except, in each case, as would not, individually or in the aggregate, reasonably be expected to have a Material Adverse Effect.  Except where such noncompliance would not, individually or in the aggregate, reasonably be expected to have a Material Adverse Effect, each of the Company and its subsidiaries is and, during the past three (3) years has been, in compliance with applicable health care laws, including without limitation, the FDCA, the federal Anti-Kickback Statute (42 U.S.C. § 1320a-7b(b)), the civil False Claims Act (31 U.S.C. § 3729 et seq.), the criminal False Claims Law (42 U.S.C. § 1320a-7b(a)), the Civil Monetary Penalties Law (42 U.S.C. § 1320a-7a), the exclusion laws (42 U.S.C. § 1320a-7), Medicare (Title XVIII of the Social Security Act), Medicaid (Title XIX of the Social Security Act), the Physician Payments Sunshine Act (42 U.S.C. § 1320a-7h), and the regulation promulgated pursuant to such laws, and comparable state and foreign laws and regulations.  Except as would not, individually or in the aggregate, reasonably be expected to have a Material Adverse Effect, during the past three (3) years, the Company has not, either voluntarily or involuntarily, initiated, conducted or issued or caused to be initiated, conducted or issued, any recall, market withdrawal or replacement, safety alert, post sale warning, “dear doctor” letter, or other notice of action relating to the alleged lack of safety or efficacy of any product or any alleged product defect or violation.  During the past three (3) years, none of the Company, its subsidiaries or any of their respective officers, directors, employees, or, to the Company’s knowledge, agents has been or is currently excluded from participation in the Medicare and Medicaid programs or any other state or federal health care program.</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(hh) </w:t>
      </w:r>
      <w:r>
        <w:rPr>
          <w:rFonts w:ascii="Times New Roman;Times;serif" w:hAnsi="Times New Roman;Times;serif"/>
          <w:sz w:val="22"/>
          <w:u w:val="single"/>
        </w:rPr>
        <w:t>No Labor Disputes</w:t>
      </w:r>
      <w:r>
        <w:rPr>
          <w:rFonts w:ascii="Times New Roman;Times;serif" w:hAnsi="Times New Roman;Times;serif"/>
          <w:sz w:val="22"/>
        </w:rPr>
        <w:t>. No labor disturbance by or dispute with employees of the Company or any of its subsidiaries exists or, to the knowledge of the Company, is contemplated or threatened, and the Company is not aware of any existing or imminent labor disturbance by, or dispute with, the employees of any of its or its subsidiaries’ principal suppliers, contractors or customers, except in each case as would not have a Material Adverse Effect.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(ii) </w:t>
      </w:r>
      <w:r>
        <w:rPr>
          <w:rFonts w:ascii="Times New Roman;Times;serif" w:hAnsi="Times New Roman;Times;serif"/>
          <w:sz w:val="22"/>
          <w:u w:val="single"/>
        </w:rPr>
        <w:t>Compliance with and Liability under Environmental Laws</w:t>
      </w:r>
      <w:r>
        <w:rPr>
          <w:rFonts w:ascii="Times New Roman;Times;serif" w:hAnsi="Times New Roman;Times;serif"/>
          <w:sz w:val="22"/>
        </w:rPr>
        <w:t>. (i) The Company and its subsidiaries (a) are, and at all prior times were, in compliance with any and all applicable federal, state, local and foreign laws, rules, regulations, requirements, decisions, judgments, decrees, orders and the common law relating to pollution or the protection of the environment, natural resources or human health or safety, including those relating to the generation, storage, treatment, use, handling, transportation, Release or threat of Release of Hazardous Materials (collectively, “</w:t>
      </w:r>
      <w:r>
        <w:rPr>
          <w:rFonts w:ascii="Times New Roman;Times;serif" w:hAnsi="Times New Roman;Times;serif"/>
          <w:b/>
          <w:sz w:val="22"/>
        </w:rPr>
        <w:t>Environmental Laws</w:t>
      </w:r>
      <w:r>
        <w:rPr>
          <w:rFonts w:ascii="Times New Roman;Times;serif" w:hAnsi="Times New Roman;Times;serif"/>
          <w:sz w:val="24"/>
        </w:rPr>
        <w:t>”</w:t>
      </w:r>
      <w:r>
        <w:rPr>
          <w:rFonts w:ascii="Times New Roman;Times;serif" w:hAnsi="Times New Roman;Times;serif"/>
          <w:sz w:val="22"/>
        </w:rPr>
        <w:t xml:space="preserve">), (b) have received and are in compliance with all permits, licenses, certificates or other authorizations or approvals required of them under applicable Environmental Laws to conduct their respective businesses, (c) have not received written notice of any actual or potential liability under or relating to, or actual or potential violation of, any Environmental Laws, including for the investigation or remediation of any Release or threat of Release of Hazardous Materials, and have no knowledge of any event or condition that would reasonably be expected to result in any such notice, (d) are not conducting or paying for, in whole or in part, any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investigation, remediation or other corrective action pursuant to any Environmental Law at any location, and (e) are not a party to any order, decree or agreement that imposes any obligation or liability under any Environmental Law, and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except as described in the Registration Statement and the Prospectus, (a) there are no proceedings that are pending, or, to the knowledge of the Company, contemplated, against the Company or any of its subsidiaries under any Environmental Laws in which a governmental entity is also a party, other than such proceedings regarding which it is reasonably believed no monetary sanctions of $100,000 or more will be imposed, (b) the Company and its subsidiaries are not aware of any facts or issues regarding compliance with Environmental Laws, or liabilities or other obligations under Environmental Laws, including the Release or threat of Release of Hazardous Materials, that would reasonably be expected to have a material adverse effect on the capital expenditures, earnings or competitive position of the Company and its subsidiaries, and (c) none of the Company and its subsidiaries anticipates material capital expenditures relating to any Environmental Laws.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(jj) </w:t>
      </w:r>
      <w:r>
        <w:rPr>
          <w:rFonts w:ascii="Times New Roman;Times;serif" w:hAnsi="Times New Roman;Times;serif"/>
          <w:sz w:val="22"/>
          <w:u w:val="single"/>
        </w:rPr>
        <w:t>Hazardous Materials</w:t>
      </w:r>
      <w:r>
        <w:rPr>
          <w:rFonts w:ascii="Times New Roman;Times;serif" w:hAnsi="Times New Roman;Times;serif"/>
          <w:sz w:val="22"/>
        </w:rPr>
        <w:t>. There has been no storage, generation, transportation, use, handling, treatment, Release or threat of Release of Hazardous Materials by, relating to or caused by the Company or any of its subsidiaries (or, to the knowledge of the Company and its subsidiaries, any other entity (including any predecessor) for whose acts or omissions the Company or any of its subsidiaries is or would reasonably be expected to be liable) at, on, under or from any property or facility now or previously owned, operated or leased by the Company or any of its subsidiaries, or at, on, under or from any other property or facility, in violation of any Environmental Laws or in a manner or amount or to a location that could reasonably be expected to result in any liability under any Environmental Law, except for any violation or liability which would not, individually or in the aggregate, reasonably be expected to have a Material Adverse Effect.  “</w:t>
      </w:r>
      <w:r>
        <w:rPr>
          <w:rFonts w:ascii="Times New Roman;Times;serif" w:hAnsi="Times New Roman;Times;serif"/>
          <w:b/>
          <w:sz w:val="22"/>
        </w:rPr>
        <w:t>Hazardous Materials</w:t>
      </w:r>
      <w:r>
        <w:rPr>
          <w:rFonts w:ascii="Times New Roman;Times;serif" w:hAnsi="Times New Roman;Times;serif"/>
          <w:sz w:val="24"/>
        </w:rPr>
        <w:t xml:space="preserve">” </w:t>
      </w:r>
      <w:r>
        <w:rPr>
          <w:rFonts w:ascii="Times New Roman;Times;serif" w:hAnsi="Times New Roman;Times;serif"/>
          <w:sz w:val="22"/>
        </w:rPr>
        <w:t>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w:t>
      </w:r>
      <w:r>
        <w:rPr>
          <w:rFonts w:ascii="Times New Roman;Times;serif" w:hAnsi="Times New Roman;Times;serif"/>
          <w:b/>
          <w:sz w:val="22"/>
        </w:rPr>
        <w:t>Release</w:t>
      </w:r>
      <w:r>
        <w:rPr>
          <w:rFonts w:ascii="Times New Roman;Times;serif" w:hAnsi="Times New Roman;Times;serif"/>
          <w:sz w:val="24"/>
        </w:rPr>
        <w:t xml:space="preserve">” </w:t>
      </w:r>
      <w:r>
        <w:rPr>
          <w:rFonts w:ascii="Times New Roman;Times;serif" w:hAnsi="Times New Roman;Times;serif"/>
          <w:sz w:val="22"/>
        </w:rPr>
        <w:t>means any spilling, leaking, seepage, pumping, pouring, emitting, emptying, discharging, injecting, escaping, leaching, dumping, disposing, depositing, dispersing, or migrating in, into or through the environment, or in, into, from or through any building or structure.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(kk) </w:t>
      </w:r>
      <w:r>
        <w:rPr>
          <w:rFonts w:ascii="Times New Roman;Times;serif" w:hAnsi="Times New Roman;Times;serif"/>
          <w:sz w:val="22"/>
          <w:u w:val="single"/>
        </w:rPr>
        <w:t>Compliance with ERISA</w:t>
      </w:r>
      <w:r>
        <w:rPr>
          <w:rFonts w:ascii="Times New Roman;Times;serif" w:hAnsi="Times New Roman;Times;serif"/>
          <w:sz w:val="22"/>
        </w:rPr>
        <w:t>. (i) Each employee benefit plan, within the meaning of Section 3(3) of the Employee Retirement Income Security Act of 1974, as amended (“</w:t>
      </w:r>
      <w:r>
        <w:rPr>
          <w:rFonts w:ascii="Times New Roman;Times;serif" w:hAnsi="Times New Roman;Times;serif"/>
          <w:b/>
          <w:sz w:val="22"/>
        </w:rPr>
        <w:t>ERISA</w:t>
      </w:r>
      <w:r>
        <w:rPr>
          <w:rFonts w:ascii="Times New Roman;Times;serif" w:hAnsi="Times New Roman;Times;serif"/>
          <w:sz w:val="24"/>
        </w:rPr>
        <w:t>”</w:t>
      </w:r>
      <w:r>
        <w:rPr>
          <w:rFonts w:ascii="Times New Roman;Times;serif" w:hAnsi="Times New Roman;Times;serif"/>
          <w:sz w:val="22"/>
        </w:rPr>
        <w:t>), for which the Company or any member of its “Controlled Group” (defined as any organization which is a member of a controlled group of corporations within the meaning of Section 414 of the Internal Revenue Code of 1986, as amended (the “</w:t>
      </w:r>
      <w:r>
        <w:rPr>
          <w:rFonts w:ascii="Times New Roman;Times;serif" w:hAnsi="Times New Roman;Times;serif"/>
          <w:b/>
          <w:sz w:val="22"/>
        </w:rPr>
        <w:t>Code</w:t>
      </w:r>
      <w:r>
        <w:rPr>
          <w:rFonts w:ascii="Times New Roman;Times;serif" w:hAnsi="Times New Roman;Times;serif"/>
          <w:sz w:val="24"/>
        </w:rPr>
        <w:t>”</w:t>
      </w:r>
      <w:r>
        <w:rPr>
          <w:rFonts w:ascii="Times New Roman;Times;serif" w:hAnsi="Times New Roman;Times;serif"/>
          <w:sz w:val="22"/>
        </w:rPr>
        <w:t>)) has any liability (each, a “</w:t>
      </w:r>
      <w:r>
        <w:rPr>
          <w:rFonts w:ascii="Times New Roman;Times;serif" w:hAnsi="Times New Roman;Times;serif"/>
          <w:b/>
          <w:sz w:val="22"/>
        </w:rPr>
        <w:t>Plan</w:t>
      </w:r>
      <w:r>
        <w:rPr>
          <w:rFonts w:ascii="Times New Roman;Times;serif" w:hAnsi="Times New Roman;Times;serif"/>
          <w:sz w:val="24"/>
        </w:rPr>
        <w:t>”</w:t>
      </w:r>
      <w:r>
        <w:rPr>
          <w:rFonts w:ascii="Times New Roman;Times;serif" w:hAnsi="Times New Roman;Times;serif"/>
          <w:sz w:val="22"/>
        </w:rPr>
        <w:t xml:space="preserve">) has been maintained in compliance with its terms and the requirements of any applicable statutes, orders, rules and regulations, including but not limited to, ERISA and the Code, except for noncompliance that could not reasonably be expected to have a Material Adverse Effect; (ii) no prohibited transaction, within the meaning of Section 406 of ERISA or Section 4975 of the Code, has occurred with respect to any Plan excluding transactions effected pursuant to a statutory or administrative exemption that could reasonably be expected to result in a material liability to the Company or its subsidiaries; (iii) for each Plan that is subject to the funding rules of Section 412 of the Code or Section 302 of ERISA, the minimum funding standard of Section 412 of the Code or Section 302 of ERISA, as applicable, has been satisfied (without taking into account any waiver thereof or extension of any amortization period) and is reasonably expected to be satisfied in the future (without taking into account any waiver thereof or extension of any amortization period); (iv) the fair market value of the assets of each Plan subject to the minimum funding standard of Section 412 of the Code or Section 302 of ERISA exceeds the present value of all benefits accrued under such Plan (determined based on those assumptions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used to fund such Plan); (v) no “reportable event” (within the meaning of Section 4043(c) of ERISA) has occurred or is reasonably expected to occur that either has resulted, or could reasonably be expected to result, in material liability to the Company or its subsidiaries, excluding any reportable event for which the notice requirements have been waived; (vi) neither the Company nor any member of the Controlled Group has incurred, nor reasonably expects to incur, any material liability under Title IV of ERISA (other than contributions to the Plan or premiums to the PBGC, in the ordinary course and without default) in respect of a Plan (including a “multiemployer plan,” within the meaning of Section 4001(a)(3) of ERISA); and (vii) to the knowledge of the Company, there is no pending audit or investigation by the Internal Revenue Service, the U.S. Department of Labor, the Pension Benefit Guaranty Corporation or any other governmental agency or any foreign regulatory agency with respect to any Plan that could reasonably be expected to result in material liability to the Company or its subsidiaries.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(ll) </w:t>
      </w:r>
      <w:r>
        <w:rPr>
          <w:rFonts w:ascii="Times New Roman;Times;serif" w:hAnsi="Times New Roman;Times;serif"/>
          <w:sz w:val="22"/>
          <w:u w:val="single"/>
        </w:rPr>
        <w:t>Disclosure Controls</w:t>
      </w:r>
      <w:r>
        <w:rPr>
          <w:rFonts w:ascii="Times New Roman;Times;serif" w:hAnsi="Times New Roman;Times;serif"/>
          <w:sz w:val="22"/>
        </w:rPr>
        <w:t>. The Company and its subsidiaries maintain an effective system of “disclosure controls and procedures” (as defined in Rule 13a-15(e) of the Exchange Act) that complies with the applicable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(mm) </w:t>
      </w:r>
      <w:r>
        <w:rPr>
          <w:rFonts w:ascii="Times New Roman;Times;serif" w:hAnsi="Times New Roman;Times;serif"/>
          <w:sz w:val="22"/>
          <w:u w:val="single"/>
        </w:rPr>
        <w:t>Accounting Controls</w:t>
      </w:r>
      <w:r>
        <w:rPr>
          <w:rFonts w:ascii="Times New Roman;Times;serif" w:hAnsi="Times New Roman;Times;serif"/>
          <w:sz w:val="22"/>
        </w:rPr>
        <w:t>. The Company and its subsidiaries maintain systems of “internal control over financial reporting” (as defined in Rule 13a-15(f) of the Exchange Act) that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fairly presents the information called for in all material respects and is prepared in accordance with the Commission’s rules and guidelines applicable thereto.  Based on the Company’s most recent evaluation of its internal controls over financial reporting pursuant to Rule 13a-15(c) of the Exchange Act, except as disclosed in the Registration Statement and the Prospectus, there are no material weaknesses in the Company’s internal controls.  The Company’s auditors and the Audit Committee of the Board of Directors of the Company have been advised of: (i) all significant deficiencies and material weaknesses, if any,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(nn) </w:t>
      </w:r>
      <w:r>
        <w:rPr>
          <w:rFonts w:ascii="Times New Roman;Times;serif" w:hAnsi="Times New Roman;Times;serif"/>
          <w:sz w:val="22"/>
          <w:u w:val="single"/>
        </w:rPr>
        <w:t>eXtensible Business Reporting Language</w:t>
      </w:r>
      <w:r>
        <w:rPr>
          <w:rFonts w:ascii="Times New Roman;Times;serif" w:hAnsi="Times New Roman;Times;serif"/>
          <w:sz w:val="22"/>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(oo) </w:t>
      </w:r>
      <w:r>
        <w:rPr>
          <w:rFonts w:ascii="Times New Roman;Times;serif" w:hAnsi="Times New Roman;Times;serif"/>
          <w:sz w:val="22"/>
          <w:u w:val="single"/>
        </w:rPr>
        <w:t>Insurance</w:t>
      </w:r>
      <w:r>
        <w:rPr>
          <w:rFonts w:ascii="Times New Roman;Times;serif" w:hAnsi="Times New Roman;Times;serif"/>
          <w:sz w:val="22"/>
        </w:rPr>
        <w:t>. The Company and its subsidiaries have insurance covering their respective properties, operations, personnel and businesses, including business interruption insurance, which insurance is in commercially reasonable amounts and reasonably insures against such losses and risks as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(pp) </w:t>
      </w:r>
      <w:r>
        <w:rPr>
          <w:rFonts w:ascii="Times New Roman;Times;serif" w:hAnsi="Times New Roman;Times;serif"/>
          <w:sz w:val="22"/>
          <w:u w:val="single"/>
        </w:rPr>
        <w:t>No Unlawful Payments</w:t>
      </w:r>
      <w:r>
        <w:rPr>
          <w:rFonts w:ascii="Times New Roman;Times;serif" w:hAnsi="Times New Roman;Times;serif"/>
          <w:sz w:val="22"/>
        </w:rPr>
        <w:t xml:space="preserve">. </w:t>
      </w:r>
      <w:r>
        <w:rPr>
          <w:rFonts w:ascii="Times New Roman;Times;serif" w:hAnsi="Times New Roman;Times;serif"/>
          <w:sz w:val="22"/>
          <w:shd w:fill="FFFFFF" w:val="clear"/>
        </w:rPr>
        <w:t>Neither the Company nor any of its subsidiaries nor any director, officer or employee of the Company or any of its subsidiaries nor, to the knowledge of the Company, any agent, affiliate or other person associated with or acting on behalf of the Company or any of its subsidiaries has</w:t>
      </w:r>
      <w:r>
        <w:rPr>
          <w:rFonts w:ascii="Times New Roman;Times;serif" w:hAnsi="Times New Roman;Times;serif"/>
          <w:sz w:val="24"/>
        </w:rPr>
        <w:t xml:space="preserve"> </w:t>
      </w:r>
      <w:r>
        <w:rPr>
          <w:rFonts w:ascii="Times New Roman;Times;serif" w:hAnsi="Times New Roman;Times;serif"/>
          <w:sz w:val="22"/>
        </w:rPr>
        <w:t>(i)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promoted policies and procedures designed to promote and ensure compliance with all applicable anti-bribery and anti-corruption laws, and have instituted formal written policies and procedures designed to promote and ensure compliance with all applicable anti-bribery and anti-corruption laws.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(qq) </w:t>
      </w:r>
      <w:r>
        <w:rPr>
          <w:rFonts w:ascii="Times New Roman;Times;serif" w:hAnsi="Times New Roman;Times;serif"/>
          <w:sz w:val="22"/>
          <w:u w:val="single"/>
        </w:rPr>
        <w:t>Compliance with Anti-Money Laundering Laws</w:t>
      </w:r>
      <w:r>
        <w:rPr>
          <w:rFonts w:ascii="Times New Roman;Times;serif" w:hAnsi="Times New Roman;Times;serif"/>
          <w:sz w:val="22"/>
        </w:rPr>
        <w:t>. The operations of the Company and its subsidiaries are and have been conducted at all times in compliance with all applicable financial recordkeeping and reporting requirements, including those of the Currency and Foreign Transactions Reporting Act of 1970, as amended, the U.S. Bank Secrecy Act, as amended by Title III of the Uniting and Strengthening America by Providing Appropriate Tools Required to Intercept and Obstruct Terrorism Act of 2001 (USA PATRIOT Act), and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rFonts w:ascii="Times New Roman;Times;serif" w:hAnsi="Times New Roman;Times;serif"/>
          <w:b/>
          <w:sz w:val="22"/>
        </w:rPr>
        <w:t>Anti-Money Laundering Laws</w:t>
      </w:r>
      <w:r>
        <w:rPr>
          <w:rFonts w:ascii="Times New Roman;Times;serif" w:hAnsi="Times New Roman;Times;serif"/>
          <w:sz w:val="24"/>
        </w:rPr>
        <w:t>”</w:t>
      </w:r>
      <w:r>
        <w:rPr>
          <w:rFonts w:ascii="Times New Roman;Times;serif" w:hAnsi="Times New Roman;Times;serif"/>
          <w:sz w:val="22"/>
        </w:rPr>
        <w:t>), and no action, suit or proceeding by or before any court or governmental agency, authority or body or any arbitrator involving the Company or any of its subsidiaries with respect to the Anti-Money Laundering Laws is pending or, to the knowledge of the Company, threatened.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(rr) </w:t>
      </w:r>
      <w:r>
        <w:rPr>
          <w:rFonts w:ascii="Times New Roman;Times;serif" w:hAnsi="Times New Roman;Times;serif"/>
          <w:sz w:val="22"/>
          <w:u w:val="single"/>
        </w:rPr>
        <w:t>No Conflicts with Sanctions Laws</w:t>
      </w:r>
      <w:r>
        <w:rPr>
          <w:rFonts w:ascii="Times New Roman;Times;serif" w:hAnsi="Times New Roman;Times;serif"/>
          <w:sz w:val="22"/>
        </w:rPr>
        <w:t xml:space="preserve">. </w:t>
      </w:r>
      <w:r>
        <w:rPr>
          <w:rFonts w:ascii="Times New Roman;Times;serif" w:hAnsi="Times New Roman;Times;serif"/>
          <w:sz w:val="22"/>
          <w:shd w:fill="FFFFFF" w:val="clear"/>
        </w:rPr>
        <w:t>Neither the Company nor any of its subsidiaries nor any director, officer or employee of the Company or any of its subsidiaries nor, to the knowledge of the Company,</w:t>
      </w:r>
      <w:r>
        <w:rPr>
          <w:rFonts w:ascii="Times New Roman;Times;serif" w:hAnsi="Times New Roman;Times;serif"/>
          <w:sz w:val="24"/>
        </w:rPr>
        <w:t xml:space="preserve"> </w:t>
      </w:r>
      <w:r>
        <w:rPr>
          <w:rFonts w:ascii="Times New Roman;Times;serif" w:hAnsi="Times New Roman;Times;serif"/>
          <w:sz w:val="22"/>
        </w:rPr>
        <w:t>any agent, affiliate, representative, or other person associated with or acting on behalf of the Company or any of its subsidiaries is currently the subject or the target of any sanctions administered</w:t>
      </w:r>
      <w:r>
        <w:rPr>
          <w:rFonts w:ascii="Times New Roman;Times;serif" w:hAnsi="Times New Roman;Times;serif"/>
          <w:sz w:val="24"/>
        </w:rPr>
        <w:t xml:space="preserve"> </w:t>
      </w:r>
      <w:r>
        <w:rPr>
          <w:rFonts w:ascii="Times New Roman;Times;serif" w:hAnsi="Times New Roman;Times;serif"/>
          <w:sz w:val="22"/>
        </w:rPr>
        <w:t>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the United Kingdom government (including the Foreign, Commonwealth &amp; Development Office) or other relevant sanctions authority (collectively, “</w:t>
      </w:r>
      <w:r>
        <w:rPr>
          <w:rFonts w:ascii="Times New Roman;Times;serif" w:hAnsi="Times New Roman;Times;serif"/>
          <w:b/>
          <w:sz w:val="22"/>
        </w:rPr>
        <w:t>Sanctions</w:t>
      </w:r>
      <w:r>
        <w:rPr>
          <w:rFonts w:ascii="Times New Roman;Times;serif" w:hAnsi="Times New Roman;Times;serif"/>
          <w:sz w:val="24"/>
        </w:rPr>
        <w:t>”</w:t>
      </w:r>
      <w:r>
        <w:rPr>
          <w:rFonts w:ascii="Times New Roman;Times;serif" w:hAnsi="Times New Roman;Times;serif"/>
          <w:sz w:val="22"/>
        </w:rPr>
        <w:t xml:space="preserve">), nor is the Company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or any of its subsidiaries located, organized or resident in a country or territory that is the subject or target of Sanctions, including, without limitation, Cuba, Iran, North Korea, Syria (until July 1, 2025), the so-called Donetsk People’s Republic, the so-called Luhansk People’s Republic, any other Covered Region of Ukraine identified pursuant to Executive Order 14065</w:t>
      </w:r>
      <w:r>
        <w:rPr>
          <w:rFonts w:ascii="Times New Roman;Times;serif" w:hAnsi="Times New Roman;Times;serif"/>
          <w:sz w:val="24"/>
        </w:rPr>
        <w:t xml:space="preserve"> </w:t>
      </w:r>
      <w:r>
        <w:rPr>
          <w:rFonts w:ascii="Times New Roman;Times;serif" w:hAnsi="Times New Roman;Times;serif"/>
          <w:sz w:val="22"/>
        </w:rPr>
        <w:t>and Crimea (each, a “</w:t>
      </w:r>
      <w:r>
        <w:rPr>
          <w:rFonts w:ascii="Times New Roman;Times;serif" w:hAnsi="Times New Roman;Times;serif"/>
          <w:b/>
          <w:sz w:val="22"/>
        </w:rPr>
        <w:t>Sanctioned Country</w:t>
      </w:r>
      <w:r>
        <w:rPr>
          <w:rFonts w:ascii="Times New Roman;Times;serif" w:hAnsi="Times New Roman;Times;serif"/>
          <w:sz w:val="24"/>
        </w:rPr>
        <w:t>”</w:t>
      </w:r>
      <w:r>
        <w:rPr>
          <w:rFonts w:ascii="Times New Roman;Times;serif" w:hAnsi="Times New Roman;Times;serif"/>
          <w:sz w:val="22"/>
        </w:rPr>
        <w:t>); and the Company will not directly or indirectly use the proceeds of the offering of the Placement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April 24, 2019, the Company and its subsidiaries have not knowingly engaged in, are not now knowingly engaged in and will not engage in any dealings or transactions with any person that at the time of the dealing or transaction is or was the subject or the target of Sanctions or with any Sanctioned Country.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(ss) </w:t>
      </w:r>
      <w:r>
        <w:rPr>
          <w:rFonts w:ascii="Times New Roman;Times;serif" w:hAnsi="Times New Roman;Times;serif"/>
          <w:sz w:val="22"/>
          <w:u w:val="single"/>
        </w:rPr>
        <w:t>No Restrictions on Subsidiaries</w:t>
      </w:r>
      <w:r>
        <w:rPr>
          <w:rFonts w:ascii="Times New Roman;Times;serif" w:hAnsi="Times New Roman;Times;serif"/>
          <w:sz w:val="22"/>
        </w:rPr>
        <w:t>.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(tt) </w:t>
      </w:r>
      <w:r>
        <w:rPr>
          <w:rFonts w:ascii="Times New Roman;Times;serif" w:hAnsi="Times New Roman;Times;serif"/>
          <w:sz w:val="22"/>
          <w:u w:val="single"/>
        </w:rPr>
        <w:t>No Stabilization</w:t>
      </w:r>
      <w:r>
        <w:rPr>
          <w:rFonts w:ascii="Times New Roman;Times;serif" w:hAnsi="Times New Roman;Times;serif"/>
          <w:sz w:val="22"/>
        </w:rPr>
        <w:t>. The Company,</w:t>
      </w:r>
      <w:r>
        <w:rPr>
          <w:rFonts w:ascii="Times New Roman;Times;serif" w:hAnsi="Times New Roman;Times;serif"/>
          <w:spacing w:val="-3"/>
          <w:sz w:val="24"/>
        </w:rPr>
        <w:t xml:space="preserve"> </w:t>
      </w:r>
      <w:r>
        <w:rPr>
          <w:rFonts w:ascii="Times New Roman;Times;serif" w:hAnsi="Times New Roman;Times;serif"/>
          <w:spacing w:val="-3"/>
          <w:sz w:val="22"/>
        </w:rPr>
        <w:t>without giving effect to activities by the Agent,</w:t>
      </w:r>
      <w:r>
        <w:rPr>
          <w:rFonts w:ascii="Times New Roman;Times;serif" w:hAnsi="Times New Roman;Times;serif"/>
          <w:sz w:val="24"/>
        </w:rPr>
        <w:t xml:space="preserve"> </w:t>
      </w:r>
      <w:r>
        <w:rPr>
          <w:rFonts w:ascii="Times New Roman;Times;serif" w:hAnsi="Times New Roman;Times;serif"/>
          <w:sz w:val="22"/>
        </w:rPr>
        <w:t xml:space="preserve">has not taken, </w:t>
      </w:r>
      <w:r>
        <w:rPr>
          <w:rFonts w:ascii="Times New Roman;Times;serif" w:hAnsi="Times New Roman;Times;serif"/>
          <w:spacing w:val="-3"/>
          <w:sz w:val="22"/>
        </w:rPr>
        <w:t>directly or indirectly, any action designed to or that would reasonably be expected to cause or result in any stabilization or manipulation of the price of the Placement Shares</w:t>
      </w:r>
      <w:r>
        <w:rPr>
          <w:rFonts w:ascii="Times New Roman;Times;serif" w:hAnsi="Times New Roman;Times;serif"/>
          <w:sz w:val="22"/>
        </w:rPr>
        <w:t>.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(uu) </w:t>
      </w:r>
      <w:r>
        <w:rPr>
          <w:rFonts w:ascii="Times New Roman;Times;serif" w:hAnsi="Times New Roman;Times;serif"/>
          <w:sz w:val="22"/>
          <w:u w:val="single"/>
        </w:rPr>
        <w:t>Margin Rules</w:t>
      </w:r>
      <w:r>
        <w:rPr>
          <w:rFonts w:ascii="Times New Roman;Times;serif" w:hAnsi="Times New Roman;Times;serif"/>
          <w:sz w:val="22"/>
        </w:rPr>
        <w:t>. The application of the proceeds received by the Company from the issuance, sale and delivery of the Placement Shares as described in the Registration Statement and the Prospectus will not violate Regulation T, U or X of the Board of Governors of the Federal Reserve System or any other regulation of such Board of Governors.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(vv) </w:t>
      </w:r>
      <w:r>
        <w:rPr>
          <w:rFonts w:ascii="Times New Roman;Times;serif" w:hAnsi="Times New Roman;Times;serif"/>
          <w:sz w:val="22"/>
          <w:u w:val="single"/>
        </w:rPr>
        <w:t>Forward-Looking Statements</w:t>
      </w:r>
      <w:r>
        <w:rPr>
          <w:rFonts w:ascii="Times New Roman;Times;serif" w:hAnsi="Times New Roman;Times;serif"/>
          <w:sz w:val="22"/>
        </w:rPr>
        <w:t>. No forward-looking statement (within the meaning of Section 27A of the Securities Act and Section 21E of the Exchange Act) contained or incorporated by reference in the Registration Statement or the Prospectus has been made or reaffirmed without a reasonable basis or has been disclosed other than in good faith.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(ww) </w:t>
      </w:r>
      <w:r>
        <w:rPr>
          <w:rFonts w:ascii="Times New Roman;Times;serif" w:hAnsi="Times New Roman;Times;serif"/>
          <w:sz w:val="22"/>
          <w:u w:val="single"/>
        </w:rPr>
        <w:t>Statistical and Market Data</w:t>
      </w:r>
      <w:r>
        <w:rPr>
          <w:rFonts w:ascii="Times New Roman;Times;serif" w:hAnsi="Times New Roman;Times;serif"/>
          <w:sz w:val="22"/>
        </w:rPr>
        <w:t>. Nothing has come to the attention of the Company that has caused the Company to believe that the statistical and market-related data included or incorporated by reference in the Registration Statement and the Prospectus are not based on or derived from sources that are reliable and accurate in all material respects.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(xx) </w:t>
      </w:r>
      <w:r>
        <w:rPr>
          <w:rFonts w:ascii="Times New Roman;Times;serif" w:hAnsi="Times New Roman;Times;serif"/>
          <w:sz w:val="22"/>
          <w:u w:val="single"/>
        </w:rPr>
        <w:t>Sarbanes-Oxley Act</w:t>
      </w:r>
      <w:r>
        <w:rPr>
          <w:rFonts w:ascii="Times New Roman;Times;serif" w:hAnsi="Times New Roman;Times;serif"/>
          <w:sz w:val="22"/>
        </w:rPr>
        <w:t>. There is and has been no failure on the part of the Company or, to the knowledge of the Company, any of the Company’s directors or officers, in their capacities as such, to comply in all material respects with any applicable provision of the Sarbanes-Oxley Act of 2002, as amended, and the rules and regulations promulgated in connection therewith (the “</w:t>
      </w:r>
      <w:r>
        <w:rPr>
          <w:rFonts w:ascii="Times New Roman;Times;serif" w:hAnsi="Times New Roman;Times;serif"/>
          <w:b/>
          <w:sz w:val="22"/>
        </w:rPr>
        <w:t>Sarbanes-Oxley Act</w:t>
      </w:r>
      <w:r>
        <w:rPr>
          <w:rFonts w:ascii="Times New Roman;Times;serif" w:hAnsi="Times New Roman;Times;serif"/>
          <w:sz w:val="24"/>
        </w:rPr>
        <w:t>”</w:t>
      </w:r>
      <w:r>
        <w:rPr>
          <w:rFonts w:ascii="Times New Roman;Times;serif" w:hAnsi="Times New Roman;Times;serif"/>
          <w:sz w:val="22"/>
        </w:rPr>
        <w:t>), including Section 402 related to loans</w:t>
      </w:r>
      <w:bookmarkStart w:id="34" w:name="_cp_text_2_184"/>
      <w:bookmarkEnd w:id="34"/>
      <w:r>
        <w:rPr>
          <w:rFonts w:ascii="Times New Roman;Times;serif" w:hAnsi="Times New Roman;Times;serif"/>
          <w:sz w:val="22"/>
        </w:rPr>
        <w:t>, to the extent compliance is required as of the date of this Agreement, and Sections 302 and 906 related to certifications.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(yy) </w:t>
      </w:r>
      <w:r>
        <w:rPr>
          <w:rFonts w:ascii="Times New Roman;Times;serif" w:hAnsi="Times New Roman;Times;serif"/>
          <w:sz w:val="22"/>
          <w:u w:val="single"/>
        </w:rPr>
        <w:t>Status under the Securities Act</w:t>
      </w:r>
      <w:r>
        <w:rPr>
          <w:rFonts w:ascii="Times New Roman;Times;serif" w:hAnsi="Times New Roman;Times;serif"/>
          <w:sz w:val="22"/>
        </w:rPr>
        <w:t xml:space="preserve">. At the time of filing the Registration Statement and any post-effective amendment thereto, at the earliest time thereafter that the Company or any offering participant made a </w:t>
      </w:r>
      <w:r>
        <w:rPr>
          <w:rFonts w:ascii="Times New Roman;Times;serif" w:hAnsi="Times New Roman;Times;serif"/>
          <w:i/>
          <w:sz w:val="22"/>
        </w:rPr>
        <w:t>bona fide</w:t>
      </w:r>
      <w:r>
        <w:rPr>
          <w:rFonts w:ascii="Times New Roman;Times;serif" w:hAnsi="Times New Roman;Times;serif"/>
          <w:sz w:val="24"/>
        </w:rPr>
        <w:t xml:space="preserve"> </w:t>
      </w:r>
      <w:r>
        <w:rPr>
          <w:rFonts w:ascii="Times New Roman;Times;serif" w:hAnsi="Times New Roman;Times;serif"/>
          <w:sz w:val="22"/>
        </w:rPr>
        <w:t xml:space="preserve">offer (within the meaning of Rule 164(h)(2) under the Securities Act) of the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Placement Shares and at the date hereof, the Company was not and is not an “ineligible issuer,” as defined in Rule 405 under the Securities Act.  The Company has paid the registration fee for this offering pursuant to Rule 457 under the Securities Act.  The Company agrees to notify the Agent promptly upon the Company becoming an “ineligible issuer.”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(zz) </w:t>
      </w:r>
      <w:r>
        <w:rPr>
          <w:rFonts w:ascii="Times New Roman;Times;serif" w:hAnsi="Times New Roman;Times;serif"/>
          <w:sz w:val="22"/>
          <w:u w:val="single"/>
        </w:rPr>
        <w:t>Clinical Trials</w:t>
      </w:r>
      <w:r>
        <w:rPr>
          <w:rFonts w:ascii="Times New Roman;Times;serif" w:hAnsi="Times New Roman;Times;serif"/>
          <w:sz w:val="22"/>
        </w:rPr>
        <w:t>. Except as described in the Registration Statement and the Prospectus, the clinical and pre-clinical trials conducted by or, to the knowledge of the Company, on behalf of or sponsored by the Company or its subsidiaries, or in which the Company or its subsidiaries have participated, that are described in the Registration Statement and the Prospectus, or the results of which are referred to in the Registration Statement and the Prospectus, as applicable, were, and if still pending are, being conducted in all material respects in accordance with standard medical and scientific research standards and procedures for products or product candidates comparable to those being developed by the Company and all applicable statutes and all applicable rules and regulations of the FDA and comparable regulatory agencies outside of the United States to which they are subject, including the European Medicines Agency (collectively, the “</w:t>
      </w:r>
      <w:r>
        <w:rPr>
          <w:rFonts w:ascii="Times New Roman;Times;serif" w:hAnsi="Times New Roman;Times;serif"/>
          <w:b/>
          <w:sz w:val="22"/>
        </w:rPr>
        <w:t>Regulatory Authorities</w:t>
      </w:r>
      <w:r>
        <w:rPr>
          <w:rFonts w:ascii="Times New Roman;Times;serif" w:hAnsi="Times New Roman;Times;serif"/>
          <w:sz w:val="24"/>
        </w:rPr>
        <w:t>”</w:t>
      </w:r>
      <w:r>
        <w:rPr>
          <w:rFonts w:ascii="Times New Roman;Times;serif" w:hAnsi="Times New Roman;Times;serif"/>
          <w:sz w:val="22"/>
        </w:rPr>
        <w:t>), and current Good Clinical Practices and Good Laboratory Practices; the descriptions in the Registration Statement and the Prospectus of the results of such studies and tests are accurate and complete descriptions in all material respects and fairly present the data derived therefrom; the Company has no knowledge of any other trials not described in the Registration Statement and the Prospectus, the results of which are inconsistent with or call into question the results described or referred to in the Registration Statement and the Prospectus; the Company and its subsidiaries have operated at all times and are currently in compliance in all material respects with all applicable statutes, rules and regulations of the Regulatory Authorities; neither the Company nor any of its subsidiaries have received any written notices, correspondence or other communications from the Regulatory Authorities or any other governmental agency requiring or threatening the termination, material modification or suspension of any clinical or pre-clinical trials that are described in the Registration Statement and the Prospectus or the results of which are referred to in the Registration Statement and the Prospectus, other than ordinary course communications with respect to modifications in connection with the design and implementation of such trials, and, to the Company’s knowledge, there are no reasonable grounds for the same.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(aaa) </w:t>
      </w:r>
      <w:r>
        <w:rPr>
          <w:rFonts w:ascii="Times New Roman;Times;serif" w:hAnsi="Times New Roman;Times;serif"/>
          <w:sz w:val="22"/>
          <w:u w:val="single"/>
        </w:rPr>
        <w:t>Regulatory Filings</w:t>
      </w:r>
      <w:r>
        <w:rPr>
          <w:rFonts w:ascii="Times New Roman;Times;serif" w:hAnsi="Times New Roman;Times;serif"/>
          <w:sz w:val="22"/>
        </w:rPr>
        <w:t>. The Company has not failed to file with the Regulatory Authorities any required material filing, declaration, listing, registration, report or submission with respect to the Company’s product candidates that are described or referred to in the Registration Statement and the Prospectus; all such filings, declarations, listings, registrations, reports or submissions were in material compliance with applicable laws when filed (other than any such instances of non-compliance that were subsequently corrected or amended and accepted by the applicable Regulatory Authority); and no material deficiencies regarding compliance with applicable law have been asserted by any applicable Regulatory Authority with respect to any such filings, declarations, listings, registrations, reports or submissions.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The Company acknowledges that the Agent and, for purposes of the opinions to be delivered pursuant to Section 7 hereof, counsel to the Company and counsel to the Agent, will rely upon the accuracy and truthfulness of the foregoing representations and hereby consents to such reliance.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7.</w:t>
      </w:r>
      <w:r>
        <w:rPr>
          <w:rFonts w:ascii="Times New Roman;Times;serif" w:hAnsi="Times New Roman;Times;serif"/>
          <w:sz w:val="22"/>
          <w:u w:val="single"/>
        </w:rPr>
        <w:t>Covenants of the Company</w:t>
      </w:r>
      <w:r>
        <w:rPr>
          <w:rFonts w:ascii="Times New Roman;Times;serif" w:hAnsi="Times New Roman;Times;serif"/>
          <w:sz w:val="22"/>
        </w:rPr>
        <w:t>. The Company covenants and agrees with the Agent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Registration Statement Amendments</w:t>
      </w:r>
      <w:r>
        <w:rPr>
          <w:rFonts w:ascii="Times New Roman;Times;serif" w:hAnsi="Times New Roman;Times;serif"/>
          <w:sz w:val="22"/>
        </w:rPr>
        <w:t xml:space="preserve">. After the date of this Agreement and during any period in which the Prospectus relating to any Placement Shares is required to be delivered by the Agent under the Securities Act (including in circumstances where such requirement may be satisfied pursuant to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by the Company to make such filing (but without limiting the Agent’s rights under Section 9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thereto (provided, however, that the failure of the Agent to make such objection shall not relieve the Company of any obligation or liability hereunder, or affect the Agent’s right to rely on the representations and warranties made by the Company in this Agreement and provided, further, that the only remedy the Agent shall have with respect to the Company’s making such filing notwithstanding the Agent’s objection (but without limiting the Agent’s rights under Section 9 hereof) will be to cease making sales under this Agreement) and the Company will furnish to the Agent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 The determination to file or not file any amendment or supplement with the Commission under this Section 7(a), based on the Company’s reasonable opinion or reasonable objection, shall be made exclusively by the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Notice of Commission Stop Orders</w:t>
      </w:r>
      <w:r>
        <w:rPr>
          <w:rFonts w:ascii="Times New Roman;Times;serif" w:hAnsi="Times New Roman;Times;serif"/>
          <w:sz w:val="22"/>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Delivery of Prospectus; Subsequent Changes</w:t>
      </w:r>
      <w:r>
        <w:rPr>
          <w:rFonts w:ascii="Times New Roman;Times;serif" w:hAnsi="Times New Roman;Times;serif"/>
          <w:sz w:val="22"/>
        </w:rPr>
        <w:t xml:space="preserve">.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provided, however, the Company may delay the filing of any amendment or supplement if, in the reasonable judgment of the Company, it is in the best interest of the Company to do so. If the Company has omitted any information from the Registration Statement pursuant to Rule 430B under the Securities Act, it will use its best efforts to comply with the provisions thereof and make all requisite filings with the Commission pursuant to said Rule 430B and to notify the Agent promptly of all such filings if not available on EDGAR.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Listing of Placement Shares</w:t>
      </w:r>
      <w:r>
        <w:rPr>
          <w:rFonts w:ascii="Times New Roman;Times;serif" w:hAnsi="Times New Roman;Times;serif"/>
          <w:sz w:val="22"/>
        </w:rPr>
        <w:t xml:space="preserve">.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Nasdaq. The Company will timely file with Nasdaq all material documents and notices required by Nasdaq of companies that have or will issue securities that are traded on Nasdaq.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Delivery of Registration Statement and Prospectus</w:t>
      </w:r>
      <w:r>
        <w:rPr>
          <w:rFonts w:ascii="Times New Roman;Times;serif" w:hAnsi="Times New Roman;Times;serif"/>
          <w:sz w:val="22"/>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that the Company shall not be required to furnish any document (other than the Prospectus) to the Agent to the extent such document is available on EDGAR.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(f)</w:t>
      </w:r>
      <w:r>
        <w:rPr>
          <w:rFonts w:ascii="Times New Roman;Times;serif" w:hAnsi="Times New Roman;Times;serif"/>
          <w:sz w:val="22"/>
          <w:u w:val="single"/>
        </w:rPr>
        <w:t>Earnings Statement</w:t>
      </w:r>
      <w:r>
        <w:rPr>
          <w:rFonts w:ascii="Times New Roman;Times;serif" w:hAnsi="Times New Roman;Times;serif"/>
          <w:sz w:val="22"/>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 provided that the Company will be deemed to have furnished such statement to its security holders and the Agent to the extent such statement has been filed on EDGAR or any successor system.</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(g)</w:t>
      </w:r>
      <w:r>
        <w:rPr>
          <w:rFonts w:ascii="Times New Roman;Times;serif" w:hAnsi="Times New Roman;Times;serif"/>
          <w:sz w:val="22"/>
          <w:u w:val="single"/>
        </w:rPr>
        <w:t>Expenses</w:t>
      </w:r>
      <w:r>
        <w:rPr>
          <w:rFonts w:ascii="Times New Roman;Times;serif" w:hAnsi="Times New Roman;Times;serif"/>
          <w:sz w:val="22"/>
        </w:rPr>
        <w:t xml:space="preserve">. The Company, whether or not the transactions contemplated hereunder are consummated or this Agreement is terminated in accordance with the provisions of Section 11 hereunder, will pay all expenses incident to the performance of its obligations hereunder, including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 issuance or delivery of the Placement Shares, (ii) the preparation, issuance, sale and delivery of the Placement Shares and any taxes due or payable in connection therewith, (iii) the qualification of the Placement Shares under securities laws in accordance with the provisions of Section 7(w) of this Agreement, including filing fees (provided, however, that any fees or disbursements of counsel for the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Agent in connection therewith shall be paid by the Agent except as set forth in clauses (vii) and (viii) below), (iv) the printing and delivery to the Agent and its counsel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or FINRA and the fees and expenses of any transfer agent or registrar for the Shares, (vii) the fees and associated expenses of the Agent’s outside legal counsel for filings with the FINRA Corporate Financing Department in an amount not to exceed $15,000 (excluding FINRA filing fees referred to in clause (vi) above and in addition to the fees and disbursements referred to in clause (viii) below, and (viii) the reasonable fees and disbursements of the Agent’s outside legal counsel (A) in an amount not to exceed $100,000 arising out of executing this Agreement and the Company’s delivery of the initial certificate pursuant to Section 7(m), (B) in an amount not to exceed $25,000 at each 10-K Filing Event (as defined below) on which the Company is required to provide a certificate pursuant to Section 7(m) and (C) in an amount not to exceed $15,000 in connection with each Representation Date (as defined below) that is not a 10-K Filing Event, on which the Company is required to provide a certificate pursuant to Section 7(m).</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(h)</w:t>
      </w:r>
      <w:r>
        <w:rPr>
          <w:rFonts w:ascii="Times New Roman;Times;serif" w:hAnsi="Times New Roman;Times;serif"/>
          <w:sz w:val="22"/>
          <w:u w:val="single"/>
        </w:rPr>
        <w:t>Use of Proceeds</w:t>
      </w:r>
      <w:r>
        <w:rPr>
          <w:rFonts w:ascii="Times New Roman;Times;serif" w:hAnsi="Times New Roman;Times;serif"/>
          <w:sz w:val="22"/>
        </w:rPr>
        <w:t>. The Company will use the Net Proceeds as described in the Prospectus in the section entitled “Use of Proceeds.”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w:t>
      </w:r>
      <w:r>
        <w:rPr>
          <w:rFonts w:ascii="Times New Roman;Times;serif" w:hAnsi="Times New Roman;Times;serif"/>
          <w:sz w:val="22"/>
          <w:u w:val="single"/>
        </w:rPr>
        <w:t>Notice of Other Sales</w:t>
      </w:r>
      <w:r>
        <w:rPr>
          <w:rFonts w:ascii="Times New Roman;Times;serif" w:hAnsi="Times New Roman;Times;serif"/>
          <w:sz w:val="22"/>
        </w:rPr>
        <w:t xml:space="preserve">. Without the prior written consent of the Agent, the Company will not, directly or indirectly,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during the period beginning on the fifth Trading Day immediately prior to the date on which any Placement Notice is delivered to Agent hereunder and ending on the second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prior to the later of the termination of this Agreement and the sixtieth day immediately following the final Settlement Date with respect to Placement Shares sold pursuant to such Placement Notice;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that such restrictions will not be required in connection with the Company’s issuance or sale of (i) shares of Common Stock, options to purchase shares of Common Stock, other securities under the Company’s existing equity incentive plans, or shares of Common Stock issuable upon the exercise of options or vesting of other securities, pursuant to any employee or director stock option or benefits plan, stock ownership plan or dividend reinvestment plan (but not shares of Common Stock subject to a waiver to exceed plan limits in its dividend reinvestment plan) of the Company whether now in effect or hereafter implemented, (ii) shares of Common Stock issuable upon conversion of securities or the exercise of warrants, options or other rights in effect or outstanding, and disclosed in filings by the Company available on EDGAR or otherwise in writing to the Agent and (iii) shares of Common Stock or securities convertible into or exchangeable for shares of Common Stock as consideration for mergers, acquisitions, other business combinations or strategic alliances occurring after the date of this Agreement which are not issued for capital raising purposes.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(j)</w:t>
      </w:r>
      <w:r>
        <w:rPr>
          <w:rFonts w:ascii="Times New Roman;Times;serif" w:hAnsi="Times New Roman;Times;serif"/>
          <w:sz w:val="22"/>
          <w:u w:val="single"/>
        </w:rPr>
        <w:t>Change of Circumstances</w:t>
      </w:r>
      <w:r>
        <w:rPr>
          <w:rFonts w:ascii="Times New Roman;Times;serif" w:hAnsi="Times New Roman;Times;serif"/>
          <w:sz w:val="22"/>
        </w:rPr>
        <w:t xml:space="preserve">. The Company will, at any time during a fiscal quarter in which the Company intends to tender a Placement Notice or sell Placement Shares, advise the Agent promptly after it shall have received notice or obtained knowledge of any information or fact that would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alter or affect in any material respect any opinion, certificate, letter or other document provided or required to be provided to the Agent pursuant to this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(k)</w:t>
      </w:r>
      <w:r>
        <w:rPr>
          <w:rFonts w:ascii="Times New Roman;Times;serif" w:hAnsi="Times New Roman;Times;serif"/>
          <w:sz w:val="22"/>
          <w:u w:val="single"/>
        </w:rPr>
        <w:t>Due Diligence Cooperation</w:t>
      </w:r>
      <w:r>
        <w:rPr>
          <w:rFonts w:ascii="Times New Roman;Times;serif" w:hAnsi="Times New Roman;Times;serif"/>
          <w:sz w:val="22"/>
        </w:rPr>
        <w:t>. During the term of this Agreement, the Company will cooperate with any reasonable due diligence review conducted by the Agent, its affiliates agents and counsel from time to time in connection with the transactions contemplated hereby, including providing information and making available documents and senior corporate officers, during regular business hours and at the Company’s principal offices, as the Agent may reasonably request.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(l)</w:t>
      </w:r>
      <w:r>
        <w:rPr>
          <w:rFonts w:ascii="Times New Roman;Times;serif" w:hAnsi="Times New Roman;Times;serif"/>
          <w:sz w:val="22"/>
          <w:u w:val="single"/>
        </w:rPr>
        <w:t>Required Filings Relating to Placement of Placement Shares</w:t>
      </w:r>
      <w:r>
        <w:rPr>
          <w:rFonts w:ascii="Times New Roman;Times;serif" w:hAnsi="Times New Roman;Times;serif"/>
          <w:sz w:val="22"/>
        </w:rPr>
        <w:t xml:space="preserve">.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r>
        <w:rPr>
          <w:rFonts w:ascii="Times New Roman;Times;serif" w:hAnsi="Times New Roman;Times;serif"/>
          <w:i/>
          <w:sz w:val="22"/>
        </w:rPr>
        <w:t>provided</w:t>
      </w:r>
      <w:r>
        <w:rPr>
          <w:rFonts w:ascii="Times New Roman;Times;serif" w:hAnsi="Times New Roman;Times;serif"/>
          <w:sz w:val="22"/>
        </w:rPr>
        <w:t>, that, unless a prospectus supplement containing such information is required to be filed under the Securities Act, the requirement of this Section 7(l) may be satisfied by Company’s inclusion in the Company’s Form 10-K or Form 10-Q, as applicable, of the number or amount of Placement Shares sold through the Agent, the Net Proceeds to the Company and the compensation payable by the Company to the Agent with respect to such Placement Shares during the relevant period.</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(m)</w:t>
      </w:r>
      <w:r>
        <w:rPr>
          <w:rFonts w:ascii="Times New Roman;Times;serif" w:hAnsi="Times New Roman;Times;serif"/>
          <w:sz w:val="22"/>
          <w:u w:val="single"/>
        </w:rPr>
        <w:t>Representation Dates; Certificate</w:t>
      </w:r>
      <w:r>
        <w:rPr>
          <w:rFonts w:ascii="Times New Roman;Times;serif" w:hAnsi="Times New Roman;Times;serif"/>
          <w:sz w:val="22"/>
        </w:rPr>
        <w:t>. On or prior to the date on which the Company first delivers a Placement Notice pursuant to this agreement (the “</w:t>
      </w:r>
      <w:r>
        <w:rPr>
          <w:rFonts w:ascii="Times New Roman;Times;serif" w:hAnsi="Times New Roman;Times;serif"/>
          <w:b/>
          <w:sz w:val="22"/>
        </w:rPr>
        <w:t>First Placement Notice Date</w:t>
      </w:r>
      <w:r>
        <w:rPr>
          <w:rFonts w:ascii="Times New Roman;Times;serif" w:hAnsi="Times New Roman;Times;serif"/>
          <w:sz w:val="22"/>
        </w:rPr>
        <w:t>”) and each time the Company:</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w:t>
      </w:r>
      <w:r>
        <w:rPr>
          <w:rFonts w:ascii="Times New Roman;Times;serif" w:hAnsi="Times New Roman;Times;serif"/>
          <w:sz w:val="22"/>
        </w:rPr>
        <w:t>amends or supplements the Registration Statement or the Prospectus relating to the Placement Shares (other than a prospectus supplement filed in accordance with Section 7(l) of this Agreement) by means of a post-effective amendment, sticker or supplement but not by means of incorporation of document(s) by reference into the Registration Statement or the Prospectus relating to the Placement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(ii)</w:t>
      </w:r>
      <w:r>
        <w:rPr>
          <w:rFonts w:ascii="Times New Roman;Times;serif" w:hAnsi="Times New Roman;Times;serif"/>
          <w:sz w:val="22"/>
        </w:rPr>
        <w:t>files an annual report on Form 10-K under the Exchange Act (including any Form 10-K/A containing amended financial information or a material amendment to the previously filed Form 10-K) (a “</w:t>
      </w:r>
      <w:r>
        <w:rPr>
          <w:rFonts w:ascii="Times New Roman;Times;serif" w:hAnsi="Times New Roman;Times;serif"/>
          <w:b/>
          <w:sz w:val="22"/>
        </w:rPr>
        <w:t>10-K Filing Event</w:t>
      </w:r>
      <w:r>
        <w:rPr>
          <w:rFonts w:ascii="Times New Roman;Times;serif" w:hAnsi="Times New Roman;Times;serif"/>
          <w:sz w:val="22"/>
        </w:rPr>
        <w:t>”);</w:t>
      </w:r>
    </w:p>
    <w:p>
      <w:pPr>
        <w:pStyle w:val="TextBody"/>
        <w:bidi w:val="0"/>
        <w:spacing w:before="0" w:after="0"/>
        <w:ind w:left="0" w:right="0" w:firstLine="144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(iii)</w:t>
      </w:r>
      <w:r>
        <w:rPr>
          <w:rFonts w:ascii="Times New Roman;Times;serif" w:hAnsi="Times New Roman;Times;serif"/>
          <w:sz w:val="22"/>
        </w:rPr>
        <w:t>files a quarterly report on Form 10-Q under the Exchange Act; or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(iv)</w:t>
      </w:r>
      <w:r>
        <w:rPr>
          <w:rFonts w:ascii="Times New Roman;Times;serif" w:hAnsi="Times New Roman;Times;serif"/>
          <w:sz w:val="22"/>
        </w:rPr>
        <w:t>files a current report on Form 8-K containing amended financial information (other than an earnings release that is “furnished” pursuant to Item 2.02 or Item 7.01 of Form 8-K) under the Exchange Act (each date of filing of one or more of the documents referred to in clauses (i) through (iv) shall be a “</w:t>
      </w:r>
      <w:r>
        <w:rPr>
          <w:rFonts w:ascii="Times New Roman;Times;serif" w:hAnsi="Times New Roman;Times;serif"/>
          <w:b/>
          <w:sz w:val="22"/>
        </w:rPr>
        <w:t>Representation Date</w:t>
      </w:r>
      <w:r>
        <w:rPr>
          <w:rFonts w:ascii="Times New Roman;Times;serif" w:hAnsi="Times New Roman;Times;serif"/>
          <w:sz w:val="22"/>
        </w:rPr>
        <w:t xml:space="preserve">”), </w:t>
      </w:r>
    </w:p>
    <w:p>
      <w:pPr>
        <w:pStyle w:val="TextBody"/>
        <w:bidi w:val="0"/>
        <w:spacing w:before="0" w:after="0"/>
        <w:ind w:left="0" w:right="0" w:firstLine="144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the Company shall furnish the Agent (but in the case of clause (iv) above only if (1) a Placement Notice is pending or in effect and (2) the Agent requests such certificate within three Business Days after the filing of such Form 8-K with the Commission) with a certificate, in the form attached hereto as </w:t>
      </w:r>
      <w:r>
        <w:rPr>
          <w:rFonts w:ascii="Times New Roman;Times;serif" w:hAnsi="Times New Roman;Times;serif"/>
          <w:b/>
          <w:sz w:val="22"/>
        </w:rPr>
        <w:t>Exhibit 7(m)</w:t>
      </w:r>
      <w:r>
        <w:rPr>
          <w:rFonts w:ascii="Times New Roman;Times;serif" w:hAnsi="Times New Roman;Times;serif"/>
          <w:sz w:val="22"/>
        </w:rPr>
        <w:t xml:space="preserve"> (modified, as necessary, to relate to the Registration Statement and the Prospectus as then amended or supplemented), within two Trading Days of any Representation Date. The requirement to provide a certificate under this Section 7(m) shall be waived for any Representation Date occurring at a time at which no Placement Notice is pending or in effect, which waiver shall continue until the earlier to occur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of (1) the date the Company delivers a Placement Notice hereunder (which for such calendar quarter shall be considered a Representation Date) and (2) the next occurring Representation Date. Notwithstanding the foregoing, if the Company subsequently decides to sell Placement Shares following a Representation Date on which the Company relied on the waiver referred to in the previous sentence and did not provide the Agent with a certificate under this Section 7(m), then before the Company delivers a Placement Notice or the Agent sells any Placement Shares pursuant thereto, the Company shall provide the Agent with a certificate, in the form attached hereto as </w:t>
      </w:r>
      <w:r>
        <w:rPr>
          <w:rFonts w:ascii="Times New Roman;Times;serif" w:hAnsi="Times New Roman;Times;serif"/>
          <w:b/>
          <w:sz w:val="22"/>
        </w:rPr>
        <w:t>Exhibit 7(m)</w:t>
      </w:r>
      <w:r>
        <w:rPr>
          <w:rFonts w:ascii="Times New Roman;Times;serif" w:hAnsi="Times New Roman;Times;serif"/>
          <w:sz w:val="22"/>
        </w:rPr>
        <w:t>, dated the date of such Placement Notice. Within two Trading Days of each Representation Date, the Company shall have furnished to the Agent such further information, certificates and documents as the Agent may reasonably request.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(n)</w:t>
      </w:r>
      <w:r>
        <w:rPr>
          <w:rFonts w:ascii="Times New Roman;Times;serif" w:hAnsi="Times New Roman;Times;serif"/>
          <w:sz w:val="22"/>
          <w:u w:val="single"/>
        </w:rPr>
        <w:t>Legal Opinions</w:t>
      </w:r>
      <w:r>
        <w:rPr>
          <w:rFonts w:ascii="Times New Roman;Times;serif" w:hAnsi="Times New Roman;Times;serif"/>
          <w:sz w:val="22"/>
        </w:rPr>
        <w:t>. On or prior to the First Placement Notice Date and on any date which the Company is obligated to deliver a certificate pursuant to Section 7(m) for which no waiver is applicable, the Company shall cause to be furnished to the Agent the written opinion and negative assurance letter of Latham &amp; Watkins LLP, counsel to the Company, or such other counsel satisfactory to the Agent (“</w:t>
      </w:r>
      <w:r>
        <w:rPr>
          <w:rFonts w:ascii="Times New Roman;Times;serif" w:hAnsi="Times New Roman;Times;serif"/>
          <w:b/>
          <w:sz w:val="22"/>
        </w:rPr>
        <w:t>Company Counsel</w:t>
      </w:r>
      <w:r>
        <w:rPr>
          <w:rFonts w:ascii="Times New Roman;Times;serif" w:hAnsi="Times New Roman;Times;serif"/>
          <w:sz w:val="22"/>
        </w:rPr>
        <w:t xml:space="preserve">”), in form and substance satisfactory to the Agent and its counsel, dated the date that the opinion and negative assurance letter are required to be delivered, modified, as necessary, to relate to the Registration Statement and the Prospectus as then amended or supplemented;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that in lieu of such opinion and negative assurance letter for subsequent Representation Dates, Company Counsel may furnish the Agent with a letter to the effect that the Agent may rely on a prior opinion or negative assurance letter delivered by such counsel under this Section 7(n) to the same extent as if it were dated the date of such letter (except that statements in such prior opinion or negative assurance letter shall be deemed to relate to the Registration Statement and the Prospectus as amended or supplemented at such Representation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(o)</w:t>
      </w:r>
      <w:r>
        <w:rPr>
          <w:rFonts w:ascii="Times New Roman;Times;serif" w:hAnsi="Times New Roman;Times;serif"/>
          <w:sz w:val="22"/>
          <w:u w:val="single"/>
        </w:rPr>
        <w:t>Intellectual Property Opinion</w:t>
      </w:r>
      <w:r>
        <w:rPr>
          <w:rFonts w:ascii="Times New Roman;Times;serif" w:hAnsi="Times New Roman;Times;serif"/>
          <w:sz w:val="22"/>
        </w:rPr>
        <w:t xml:space="preserve">. On or prior to the First Placement Notice Date and on any date which the Company is obligated to deliver a certificate pursuant to Section 7(m) for which no waiver is applicable, the Company shall cause to be furnished to the Agent the written opinion of the Chief Legal Officer for the Company with respect to intellectual property matters in form and substance satisfactory to the Agent and its counsel, dated the date that the opinion letter is required to be delivered, modified, as necessary, to relate to the Registration Statement and the Prospectus as then amended or supplemented; </w:t>
      </w:r>
      <w:r>
        <w:rPr>
          <w:rFonts w:ascii="Times New Roman;Times;serif" w:hAnsi="Times New Roman;Times;serif"/>
          <w:i/>
          <w:sz w:val="22"/>
        </w:rPr>
        <w:t>provided, however</w:t>
      </w:r>
      <w:r>
        <w:rPr>
          <w:rFonts w:ascii="Times New Roman;Times;serif" w:hAnsi="Times New Roman;Times;serif"/>
          <w:sz w:val="22"/>
        </w:rPr>
        <w:t>, that in lieu of such written opinion for subsequent Representation Dates, the Chief Legal Officer may furnish the Agent with a letter to the effect that the Agent may rely on a prior opinion letter delivered by such counsel under this Section 7(o) to the same extent as if it were dated the date of such opinion letter (except that statements in such prior opinion letter shall be deemed to relate to the Registration Statement and the Prospectus as amended or supplemented at such Representation Date).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(p)</w:t>
      </w:r>
      <w:r>
        <w:rPr>
          <w:rFonts w:ascii="Times New Roman;Times;serif" w:hAnsi="Times New Roman;Times;serif"/>
          <w:sz w:val="22"/>
          <w:u w:val="single"/>
        </w:rPr>
        <w:t>Comfort Letter</w:t>
      </w:r>
      <w:r>
        <w:rPr>
          <w:rFonts w:ascii="Times New Roman;Times;serif" w:hAnsi="Times New Roman;Times;serif"/>
          <w:sz w:val="22"/>
        </w:rPr>
        <w:t>. On or prior to the First Placement Notice Date and on any date which the Company is obligated to deliver a certificate pursuant to Section 7(m) for which no waiver is applicable, the Company shall cause its independent registered public accounting firm (and any other independent accountants whose report is included in the Registration Statement or the Prospectus) to furnish the Agent a letter (the “</w:t>
      </w:r>
      <w:r>
        <w:rPr>
          <w:rFonts w:ascii="Times New Roman;Times;serif" w:hAnsi="Times New Roman;Times;serif"/>
          <w:b/>
          <w:sz w:val="22"/>
        </w:rPr>
        <w:t>Comfort Letter</w:t>
      </w:r>
      <w:r>
        <w:rPr>
          <w:rFonts w:ascii="Times New Roman;Times;serif" w:hAnsi="Times New Roman;Times;serif"/>
          <w:sz w:val="22"/>
        </w:rPr>
        <w:t xml:space="preserve">”), dated the date the Comfort Letter is delivered, which shall meet the requirements set forth in this Section 7(p); </w:t>
      </w:r>
      <w:r>
        <w:rPr>
          <w:rFonts w:ascii="Times New Roman;Times;serif" w:hAnsi="Times New Roman;Times;serif"/>
          <w:i/>
          <w:sz w:val="22"/>
        </w:rPr>
        <w:t>provided</w:t>
      </w:r>
      <w:r>
        <w:rPr>
          <w:rFonts w:ascii="Times New Roman;Times;serif" w:hAnsi="Times New Roman;Times;serif"/>
          <w:sz w:val="22"/>
        </w:rPr>
        <w:t>, that if requested by the Agent, the Company shall cause a Comfort Letter to be furnished to the Agent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satisfactory to the Agent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Times;serif" w:hAnsi="Times New Roman;Times;serif"/>
          <w:b/>
          <w:sz w:val="22"/>
        </w:rPr>
        <w:t xml:space="preserve">Initial Comfort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Letter</w:t>
      </w:r>
      <w:r>
        <w:rPr>
          <w:rFonts w:ascii="Times New Roman;Times;serif" w:hAnsi="Times New Roman;Times;serif"/>
          <w:sz w:val="22"/>
        </w:rPr>
        <w:t>”) and (iii) update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(q)</w:t>
      </w:r>
      <w:r>
        <w:rPr>
          <w:rFonts w:ascii="Times New Roman;Times;serif" w:hAnsi="Times New Roman;Times;serif"/>
          <w:sz w:val="22"/>
          <w:u w:val="single"/>
        </w:rPr>
        <w:t>Market Activities</w:t>
      </w:r>
      <w:r>
        <w:rPr>
          <w:rFonts w:ascii="Times New Roman;Times;serif" w:hAnsi="Times New Roman;Times;serif"/>
          <w:sz w:val="22"/>
        </w:rPr>
        <w:t xml:space="preserve">. The Company will not, directly or indirectly, and will cause its officers, directors and Subsidiaries not to (i) take any action designed to cause or result in, or that constitutes or might reasonably be expected to constitute, the stabilization or manipulation of the price of any security of the Company to facilitate the sale or resale of shares of Common Stock or (ii) sell, bid for, or purchase shares of Common Stock in violation of Regulation M, or pay anyone any compensation for soliciting purchases of the Placement Shares other than the Agent;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that the Company may bid for and purchase shares of Common Stock in accordance with Rule 10b-18 under the Exchange 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(r)</w:t>
      </w:r>
      <w:r>
        <w:rPr>
          <w:rFonts w:ascii="Times New Roman;Times;serif" w:hAnsi="Times New Roman;Times;serif"/>
          <w:sz w:val="22"/>
          <w:u w:val="single"/>
        </w:rPr>
        <w:t>Insurance</w:t>
      </w:r>
      <w:r>
        <w:rPr>
          <w:rFonts w:ascii="Times New Roman;Times;serif" w:hAnsi="Times New Roman;Times;serif"/>
          <w:sz w:val="22"/>
        </w:rPr>
        <w:t>. The Company and its Subsidiaries shall maintain, or cause to be maintained, insurance in such amounts and covering such risks as is reasonable and customary for the business for which it is engaged.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(s)</w:t>
      </w:r>
      <w:r>
        <w:rPr>
          <w:rFonts w:ascii="Times New Roman;Times;serif" w:hAnsi="Times New Roman;Times;serif"/>
          <w:sz w:val="22"/>
          <w:u w:val="single"/>
        </w:rPr>
        <w:t>Compliance with Laws</w:t>
      </w:r>
      <w:r>
        <w:rPr>
          <w:rFonts w:ascii="Times New Roman;Times;serif" w:hAnsi="Times New Roman;Times;serif"/>
          <w:sz w:val="22"/>
        </w:rPr>
        <w:t>. The Company and each of its Subsidiaries shall maintain, or cause to be maintained, all material environmental certificates, authorizations or permits required by federal, state and local law in order to conduct their businesses as described in the Prospectus (collectively, “</w:t>
      </w:r>
      <w:r>
        <w:rPr>
          <w:rFonts w:ascii="Times New Roman;Times;serif" w:hAnsi="Times New Roman;Times;serif"/>
          <w:b/>
          <w:sz w:val="22"/>
        </w:rPr>
        <w:t>Permits</w:t>
      </w:r>
      <w:r>
        <w:rPr>
          <w:rFonts w:ascii="Times New Roman;Times;serif" w:hAnsi="Times New Roman;Times;serif"/>
          <w:sz w:val="22"/>
        </w:rPr>
        <w:t>”), and the Company and each of its Subsidiaries shall conduct their businesses, or cause their businesses to be conducted, in substantial compliance with such Permits and with applicable Environmental Laws, except where the failure to maintain or be in compliance with such Permits could not reasonably be expected to result in a Material Adverse Effect.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(t)</w:t>
      </w:r>
      <w:r>
        <w:rPr>
          <w:rFonts w:ascii="Times New Roman;Times;serif" w:hAnsi="Times New Roman;Times;serif"/>
          <w:sz w:val="22"/>
          <w:u w:val="single"/>
        </w:rPr>
        <w:t>Investment Company Act</w:t>
      </w:r>
      <w:r>
        <w:rPr>
          <w:rFonts w:ascii="Times New Roman;Times;serif" w:hAnsi="Times New Roman;Times;serif"/>
          <w:sz w:val="22"/>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(u)</w:t>
      </w:r>
      <w:r>
        <w:rPr>
          <w:rFonts w:ascii="Times New Roman;Times;serif" w:hAnsi="Times New Roman;Times;serif"/>
          <w:sz w:val="22"/>
          <w:u w:val="single"/>
        </w:rPr>
        <w:t>Securities Act and Exchange Act</w:t>
      </w:r>
      <w:r>
        <w:rPr>
          <w:rFonts w:ascii="Times New Roman;Times;serif" w:hAnsi="Times New Roman;Times;serif"/>
          <w:sz w:val="22"/>
        </w:rPr>
        <w:t xml:space="preserve">. The Company will use its best efforts to comply with all requirements imposed upon it by the Securities Act and the Exchange Act as from time to time in force, so far as necessary to permit the sales of, or dealings in, the Placement Shares as contemplated by the provisions hereof and the Prospectus.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(v)</w:t>
      </w:r>
      <w:r>
        <w:rPr>
          <w:rFonts w:ascii="Times New Roman;Times;serif" w:hAnsi="Times New Roman;Times;serif"/>
          <w:sz w:val="22"/>
          <w:u w:val="single"/>
        </w:rPr>
        <w:t>No Offer to Sell</w:t>
      </w:r>
      <w:r>
        <w:rPr>
          <w:rFonts w:ascii="Times New Roman;Times;serif" w:hAnsi="Times New Roman;Times;serif"/>
          <w:sz w:val="22"/>
        </w:rPr>
        <w:t>. Other than a free writing prospectus (as defined in Rule 405 under the Securities Act) approved in advance by the Company and the Agent, neither the Agent nor the Company (including its agents and representatives, other than the Agent in its capacity as agent)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(w)</w:t>
      </w:r>
      <w:r>
        <w:rPr>
          <w:rFonts w:ascii="Times New Roman;Times;serif" w:hAnsi="Times New Roman;Times;serif"/>
          <w:sz w:val="22"/>
          <w:u w:val="single"/>
        </w:rPr>
        <w:t>Blue Sky and Other Qualifications</w:t>
      </w:r>
      <w:r>
        <w:rPr>
          <w:rFonts w:ascii="Times New Roman;Times;serif" w:hAnsi="Times New Roman;Times;serif"/>
          <w:sz w:val="22"/>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Times;serif" w:hAnsi="Times New Roman;Times;serif"/>
          <w:i/>
          <w:sz w:val="22"/>
        </w:rPr>
        <w:t>provided, however</w:t>
      </w:r>
      <w:r>
        <w:rPr>
          <w:rFonts w:ascii="Times New Roman;Times;serif" w:hAnsi="Times New Roman;Times;serif"/>
          <w:sz w:val="22"/>
        </w:rPr>
        <w:t xml:space="preserve">,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(x)</w:t>
      </w:r>
      <w:r>
        <w:rPr>
          <w:rFonts w:ascii="Times New Roman;Times;serif" w:hAnsi="Times New Roman;Times;serif"/>
          <w:sz w:val="22"/>
          <w:u w:val="single"/>
        </w:rPr>
        <w:t>Sarbanes-Oxley Act</w:t>
      </w:r>
      <w:r>
        <w:rPr>
          <w:rFonts w:ascii="Times New Roman;Times;serif" w:hAnsi="Times New Roman;Times;serif"/>
          <w:sz w:val="22"/>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(y)</w:t>
      </w:r>
      <w:r>
        <w:rPr>
          <w:rFonts w:ascii="Times New Roman;Times;serif" w:hAnsi="Times New Roman;Times;serif"/>
          <w:sz w:val="22"/>
        </w:rPr>
        <w:t>[Reserved]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(z)</w:t>
      </w:r>
      <w:r>
        <w:rPr>
          <w:rFonts w:ascii="Times New Roman;Times;serif" w:hAnsi="Times New Roman;Times;serif"/>
          <w:sz w:val="22"/>
          <w:u w:val="single"/>
        </w:rPr>
        <w:t>Renewal of Registration Statement.</w:t>
      </w:r>
      <w:r>
        <w:rPr>
          <w:rFonts w:ascii="Times New Roman;Times;serif" w:hAnsi="Times New Roman;Times;serif"/>
          <w:sz w:val="22"/>
        </w:rPr>
        <w:t xml:space="preserve"> If, immediately prior to the third anniversary of the initial effective date of the Registration Statement (the “</w:t>
      </w:r>
      <w:r>
        <w:rPr>
          <w:rFonts w:ascii="Times New Roman;Times;serif" w:hAnsi="Times New Roman;Times;serif"/>
          <w:b/>
          <w:sz w:val="22"/>
        </w:rPr>
        <w:t>Renewal Date</w:t>
      </w:r>
      <w:r>
        <w:rPr>
          <w:rFonts w:ascii="Times New Roman;Times;serif" w:hAnsi="Times New Roman;Times;serif"/>
          <w:sz w:val="22"/>
        </w:rPr>
        <w:t>”), any of the Placement Shares remain unsold and this Agreement has not been terminated, the Company will, prior to the Renewal Date, file a new shelf registration statement or, if applicable, an automatic shelf registration statement relating to the Common Stock that may be offered and sold pursuant to this Agreement (which shall include a prospectus reflecting the number or amount of Placement Shares that may be offered and sold pursuant to this Agreement), in a form satisfactory to the Agent and its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(aa)</w:t>
      </w:r>
      <w:r>
        <w:rPr>
          <w:rFonts w:ascii="Times New Roman;Times;serif" w:hAnsi="Times New Roman;Times;serif"/>
          <w:sz w:val="22"/>
          <w:u w:val="single"/>
        </w:rPr>
        <w:t>General Instruction I.B.6. of Form S-3</w:t>
      </w:r>
      <w:r>
        <w:rPr>
          <w:rFonts w:ascii="Times New Roman;Times;serif" w:hAnsi="Times New Roman;Times;serif"/>
          <w:sz w:val="22"/>
        </w:rPr>
        <w:t xml:space="preserve">. If, from and after the date of this Agreement, the Company is no longer eligible to use Form S-3 (including pursuant to General Instruction I.B.6.) at the time it files with the Commission an annual report on Form 10-K or any post-effective amendment to the Registration Statement, then it shall promptly notify the Agent and, within two Business Days after the date of filing of such annual report on Form 10-K or amendment to the Registration Statement, the Company shall file a new prospectus supplement with the Commission reflecting the number of shares of Common Stock available to be offered and sold by the Company under this Agreement pursuant to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General Instruction I.B.6. of Form S-3;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xml:space="preserve">, that the Company may delay the filing of any such prospectus supplement for up to 30 days if, in the reasonable judgment of the Company, it is in the best interest of the Company to do so, provided that no Placement Notice is in effect or pending during such time. Until such time as the Company shall have corrected such misstatement or omission or effected such compliance, the Company shall not notify the Agent to resume the offering of Placement Shares. </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(bb)</w:t>
      </w:r>
      <w:r>
        <w:rPr>
          <w:rFonts w:ascii="Times New Roman;Times;serif" w:hAnsi="Times New Roman;Times;serif"/>
          <w:sz w:val="22"/>
          <w:u w:val="single"/>
        </w:rPr>
        <w:t>Tax Indemnity</w:t>
      </w:r>
      <w:r>
        <w:rPr>
          <w:rFonts w:ascii="Times New Roman;Times;serif" w:hAnsi="Times New Roman;Times;serif"/>
          <w:sz w:val="22"/>
        </w:rPr>
        <w:t>. The Company will indemnify and hold harmless the Agent against any documentary, stamp or similar issue tax, including any interest and penalties, on the issue and sale of the Placement Shares.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(cc)</w:t>
      </w:r>
      <w:r>
        <w:rPr>
          <w:rFonts w:ascii="Times New Roman;Times;serif" w:hAnsi="Times New Roman;Times;serif"/>
          <w:sz w:val="22"/>
          <w:u w:val="single"/>
        </w:rPr>
        <w:t>Transfer Agent</w:t>
      </w:r>
      <w:r>
        <w:rPr>
          <w:rFonts w:ascii="Times New Roman;Times;serif" w:hAnsi="Times New Roman;Times;serif"/>
          <w:sz w:val="22"/>
        </w:rPr>
        <w:t>. The Company has engaged and will maintain, at its sole expense, a transfer agent and registrar for the Common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8.</w:t>
      </w:r>
      <w:r>
        <w:rPr>
          <w:rFonts w:ascii="Times New Roman;Times;serif" w:hAnsi="Times New Roman;Times;serif"/>
          <w:sz w:val="22"/>
          <w:u w:val="single"/>
        </w:rPr>
        <w:t>Conditions to the Agent’s Obligations</w:t>
      </w:r>
      <w:r>
        <w:rPr>
          <w:rFonts w:ascii="Times New Roman;Times;serif" w:hAnsi="Times New Roman;Times;serif"/>
          <w:sz w:val="22"/>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Registration Statement Effective</w:t>
      </w:r>
      <w:r>
        <w:rPr>
          <w:rFonts w:ascii="Times New Roman;Times;serif" w:hAnsi="Times New Roman;Times;serif"/>
          <w:sz w:val="22"/>
        </w:rPr>
        <w:t>. The Registration Statement shall be effective and shall be available for all offers and sales of Placement Shares (i) that have been issued pursuant to all prior Placement Notices and (ii) that will be issued pursuant to any Placement Notice.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Prospectus Supplement</w:t>
      </w:r>
      <w:r>
        <w:rPr>
          <w:rFonts w:ascii="Times New Roman;Times;serif" w:hAnsi="Times New Roman;Times;serif"/>
          <w:sz w:val="22"/>
        </w:rPr>
        <w:t>. The Company shall have filed with the Commission the Prospectus Supplement pursuant to Rule 424(b) under the Securities Act not later than the Commission’s close of business on the second Business Day following the date of this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No Material Notices</w:t>
      </w:r>
      <w:r>
        <w:rPr>
          <w:rFonts w:ascii="Times New Roman;Times;serif" w:hAnsi="Times New Roman;Times;serif"/>
          <w:sz w:val="22"/>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No Misstatement or Material Omission</w:t>
      </w:r>
      <w:r>
        <w:rPr>
          <w:rFonts w:ascii="Times New Roman;Times;serif" w:hAnsi="Times New Roman;Times;serif"/>
          <w:sz w:val="22"/>
        </w:rPr>
        <w:t xml:space="preserve">. The Agent shall not have advised the Company that the Registration Statement or Prospectus, or any amendment or supplement thereto, contains an untrue statement of fact that in the Agent’s opinion is material, or omits to state a fact that in the Agent’s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opinion is material and is required to be stated therein or is necessary to make the statements therein not misleading.</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Material Changes</w:t>
      </w:r>
      <w:r>
        <w:rPr>
          <w:rFonts w:ascii="Times New Roman;Times;serif" w:hAnsi="Times New Roman;Times;serif"/>
          <w:sz w:val="22"/>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result in a Material Adverse Effect,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(f)</w:t>
      </w:r>
      <w:r>
        <w:rPr>
          <w:rFonts w:ascii="Times New Roman;Times;serif" w:hAnsi="Times New Roman;Times;serif"/>
          <w:sz w:val="22"/>
          <w:u w:val="single"/>
        </w:rPr>
        <w:t>Company Counsel Legal Opinions</w:t>
      </w:r>
      <w:r>
        <w:rPr>
          <w:rFonts w:ascii="Times New Roman;Times;serif" w:hAnsi="Times New Roman;Times;serif"/>
          <w:sz w:val="22"/>
        </w:rPr>
        <w:t>. The Agent shall have received the opinions and negative assurance letters, as applicable, of Company Counsel and the Chief Legal Officer required to be delivered pursuant to Section 7(n) and Section 7(o), as applicable, on or before the date on which such delivery of such opinions and negative assurance letters are required pursuant to Section 7(n) and Section 7(o), as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(g)</w:t>
      </w:r>
      <w:r>
        <w:rPr>
          <w:rFonts w:ascii="Times New Roman;Times;serif" w:hAnsi="Times New Roman;Times;serif"/>
          <w:sz w:val="22"/>
          <w:u w:val="single"/>
        </w:rPr>
        <w:t>Agent’s Counsel Legal Opinion</w:t>
      </w:r>
      <w:r>
        <w:rPr>
          <w:rFonts w:ascii="Times New Roman;Times;serif" w:hAnsi="Times New Roman;Times;serif"/>
          <w:sz w:val="22"/>
        </w:rPr>
        <w:t>. The Agent shall have received from Davis Polk &amp; Wardwell LLP, counsel for the Agent, such opinion and negative assurance letter, on or before the date on which the delivery of the Company Counsel legal opinion is required pursuant to Section 7(n), with respect to such matters as the Agent may reasonably require, and the Company shall have furnished to such counsel such documents as they may request to enable them to pass upon such matters.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(h)</w:t>
      </w:r>
      <w:r>
        <w:rPr>
          <w:rFonts w:ascii="Times New Roman;Times;serif" w:hAnsi="Times New Roman;Times;serif"/>
          <w:sz w:val="22"/>
          <w:u w:val="single"/>
        </w:rPr>
        <w:t>Comfort Letter</w:t>
      </w:r>
      <w:r>
        <w:rPr>
          <w:rFonts w:ascii="Times New Roman;Times;serif" w:hAnsi="Times New Roman;Times;serif"/>
          <w:sz w:val="22"/>
        </w:rPr>
        <w:t>. The Agent shall have received the Comfort Letters required to be delivered pursuant to Section 7(p) on or before the date on which such delivery of such Comfort Letters are required pursuant to Section 7(p).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w:t>
      </w:r>
      <w:r>
        <w:rPr>
          <w:rFonts w:ascii="Times New Roman;Times;serif" w:hAnsi="Times New Roman;Times;serif"/>
          <w:sz w:val="22"/>
          <w:u w:val="single"/>
        </w:rPr>
        <w:t>Representation Certificate</w:t>
      </w:r>
      <w:r>
        <w:rPr>
          <w:rFonts w:ascii="Times New Roman;Times;serif" w:hAnsi="Times New Roman;Times;serif"/>
          <w:sz w:val="22"/>
        </w:rPr>
        <w:t>. The Agent shall have received the certificate required to be delivered pursuant to Section 7(m) on or before the date on which delivery of such certificate is required pursuant to Section 7(m).</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(j)</w:t>
      </w:r>
      <w:r>
        <w:rPr>
          <w:rFonts w:ascii="Times New Roman;Times;serif" w:hAnsi="Times New Roman;Times;serif"/>
          <w:sz w:val="22"/>
          <w:u w:val="single"/>
        </w:rPr>
        <w:t>Secretary’s Certificate</w:t>
      </w:r>
      <w:r>
        <w:rPr>
          <w:rFonts w:ascii="Times New Roman;Times;serif" w:hAnsi="Times New Roman;Times;serif"/>
          <w:sz w:val="22"/>
        </w:rPr>
        <w:t xml:space="preserve">. On or prior to the First Placement Notice Date, the Agent shall have received a certificate, signed on behalf of the Company by the Secretary of the Company and attested to by an executive officer of the Company, dated as of such date and in form and substance satisfactory to the Agent and its counsel, certifying as to (i) the amended and restated certificate of incorporation of the Company, (ii) the amended and restated bylaws of the Company, (iii) the resolutions of the board of directors of the Company or duly authorized committee thereof authorizing the execution, delivery and performance of this Agreement and the issuance and sale of the Placement Shares and (iv) the incumbency of the officers of the Company duly authorized to execute this Agreement and the other documents contemplated by this Agreement (including each of the officers set forth on </w:t>
      </w:r>
      <w:r>
        <w:rPr>
          <w:rFonts w:ascii="Times New Roman;Times;serif" w:hAnsi="Times New Roman;Times;serif"/>
          <w:b/>
          <w:sz w:val="22"/>
        </w:rPr>
        <w:t>Schedule 2</w:t>
      </w:r>
      <w:r>
        <w:rPr>
          <w:rFonts w:ascii="Times New Roman;Times;serif" w:hAnsi="Times New Roman;Times;serif"/>
          <w:sz w:val="22"/>
        </w:rPr>
        <w:t xml:space="preserve">).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(k)</w:t>
      </w:r>
      <w:r>
        <w:rPr>
          <w:rFonts w:ascii="Times New Roman;Times;serif" w:hAnsi="Times New Roman;Times;serif"/>
          <w:sz w:val="22"/>
          <w:u w:val="single"/>
        </w:rPr>
        <w:t>No Suspension</w:t>
      </w:r>
      <w:r>
        <w:rPr>
          <w:rFonts w:ascii="Times New Roman;Times;serif" w:hAnsi="Times New Roman;Times;serif"/>
          <w:sz w:val="22"/>
        </w:rPr>
        <w:t>. The Common Stock shall be duly listed, and admitted and authorized for trading, subject to official notice of issuance, on Nasdaq. Trading in the Common Stock shall not have been suspended on, and the Common Stock shall not have been delisted from, Nasdaq.</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(l)</w:t>
      </w:r>
      <w:r>
        <w:rPr>
          <w:rFonts w:ascii="Times New Roman;Times;serif" w:hAnsi="Times New Roman;Times;serif"/>
          <w:sz w:val="22"/>
          <w:u w:val="single"/>
        </w:rPr>
        <w:t>Other Materials</w:t>
      </w:r>
      <w:r>
        <w:rPr>
          <w:rFonts w:ascii="Times New Roman;Times;serif" w:hAnsi="Times New Roman;Times;serif"/>
          <w:sz w:val="22"/>
        </w:rPr>
        <w:t xml:space="preserve">. On each date on which the Company is required to deliver a certificate pursuant to Section 7(m), the Company shall have furnished to the Agent such appropriate further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information, opinions, certificates, letters and other documents as the Agent may have reasonably requested. All such information, opinions, certificates, letters and other documents shall have been in compliance with the provisions hereof. The Company shall have furnished the Agent with conformed copies of such opinions, certificates, letters and other documents as the Agent may have reasonably requested.</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(m)</w:t>
      </w:r>
      <w:r>
        <w:rPr>
          <w:rFonts w:ascii="Times New Roman;Times;serif" w:hAnsi="Times New Roman;Times;serif"/>
          <w:sz w:val="22"/>
          <w:u w:val="single"/>
        </w:rPr>
        <w:t>Securities Act Filings Made</w:t>
      </w:r>
      <w:r>
        <w:rPr>
          <w:rFonts w:ascii="Times New Roman;Times;serif" w:hAnsi="Times New Roman;Times;serif"/>
          <w:sz w:val="22"/>
        </w:rPr>
        <w:t>.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(n)</w:t>
      </w:r>
      <w:r>
        <w:rPr>
          <w:rFonts w:ascii="Times New Roman;Times;serif" w:hAnsi="Times New Roman;Times;serif"/>
          <w:sz w:val="22"/>
          <w:u w:val="single"/>
        </w:rPr>
        <w:t>Approval for Listing</w:t>
      </w:r>
      <w:r>
        <w:rPr>
          <w:rFonts w:ascii="Times New Roman;Times;serif" w:hAnsi="Times New Roman;Times;serif"/>
          <w:sz w:val="22"/>
        </w:rPr>
        <w:t>. Either (i) the Placement Shares shall have been approved for listing on Nasdaq, subject only to notice of issuance, or (ii) the Company shall have filed an application for listing of the Placement Shares on Nasdaq at, or prior to, the First Placement Notice Date and Nasdaq shall have reviewed such application and not provided any objections thereto.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(o)</w:t>
      </w:r>
      <w:r>
        <w:rPr>
          <w:rFonts w:ascii="Times New Roman;Times;serif" w:hAnsi="Times New Roman;Times;serif"/>
          <w:sz w:val="22"/>
          <w:u w:val="single"/>
        </w:rPr>
        <w:t>FINRA</w:t>
      </w:r>
      <w:r>
        <w:rPr>
          <w:rFonts w:ascii="Times New Roman;Times;serif" w:hAnsi="Times New Roman;Times;serif"/>
          <w:sz w:val="22"/>
        </w:rPr>
        <w:t>. FINRA shall have raised no objection to the terms of the offering contemplated hereby and the amount of compensation allowable or payable to the Agent as described in the Prospectus.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(p)</w:t>
      </w:r>
      <w:r>
        <w:rPr>
          <w:rFonts w:ascii="Times New Roman;Times;serif" w:hAnsi="Times New Roman;Times;serif"/>
          <w:sz w:val="22"/>
          <w:u w:val="single"/>
        </w:rPr>
        <w:t>No Termination Event</w:t>
      </w:r>
      <w:r>
        <w:rPr>
          <w:rFonts w:ascii="Times New Roman;Times;serif" w:hAnsi="Times New Roman;Times;serif"/>
          <w:sz w:val="22"/>
        </w:rPr>
        <w:t>. There shall not have occurred any event that would permit the Agent to terminate this Agreement pursuant to Section 11(a).</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9.</w:t>
      </w:r>
      <w:r>
        <w:rPr>
          <w:rFonts w:ascii="Times New Roman;Times;serif" w:hAnsi="Times New Roman;Times;serif"/>
          <w:sz w:val="22"/>
          <w:u w:val="single"/>
        </w:rPr>
        <w:t>Indemnification and Contribution</w:t>
      </w:r>
      <w:r>
        <w:rPr>
          <w:rFonts w:ascii="Times New Roman;Times;serif" w:hAnsi="Times New Roman;Times;serif"/>
          <w:sz w:val="22"/>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Company Indemnification</w:t>
      </w:r>
      <w:r>
        <w:rPr>
          <w:rFonts w:ascii="Times New Roman;Times;serif" w:hAnsi="Times New Roman;Times;serif"/>
          <w:sz w:val="22"/>
        </w:rPr>
        <w:t xml:space="preserve">. The Company agrees to indemnify and hold harmless the Agent, its affiliates and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any and all investigative, legal and other expenses reasonably incurred in connection with, and any and all amounts paid in settlement (in accordance with this Section 9)), any action, suit, investigation or proceeding between any of the indemnified parties and any indemnifying parties or between any indemnified party and any third party (including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therein or necessary to make the statements therein (solely with respect to the Prospectus, in light of the circumstances under which they were made) not misleading or (z) any breach by any of the indemnifying parties of any of their respective representations, warranties or agreements contained in this Agreement;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that this indemnity agreement shall not apply to 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the Agent’s Information. This indemnity agreement will be in addition to any liability that the Company might otherwise have.</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Agent Indemnification</w:t>
      </w:r>
      <w:r>
        <w:rPr>
          <w:rFonts w:ascii="Times New Roman;Times;serif" w:hAnsi="Times New Roman;Times;serif"/>
          <w:sz w:val="22"/>
        </w:rPr>
        <w:t>. The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Procedure</w:t>
      </w:r>
      <w:r>
        <w:rPr>
          <w:rFonts w:ascii="Times New Roman;Times;serif" w:hAnsi="Times New Roman;Times;serif"/>
          <w:sz w:val="22"/>
        </w:rPr>
        <w:t xml:space="preserve">.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 (1) includes an unconditional release of each indemnified party,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 form and substance reasonably satisfactory to such indemnified party, from all liability arising out of such claim, action or proceeding and (2) does not include a statement as to or an admission of fault, culpability or a failure to act by or on behalf of any indemnified party.</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Settlement Without Consent if Failure to Reimburse</w:t>
      </w:r>
      <w:r>
        <w:rPr>
          <w:rFonts w:ascii="Times New Roman;Times;serif" w:hAnsi="Times New Roman;Times;serif"/>
          <w:i/>
          <w:sz w:val="22"/>
        </w:rPr>
        <w:t xml:space="preserve">. </w:t>
      </w:r>
      <w:r>
        <w:rPr>
          <w:rFonts w:ascii="Times New Roman;Times;serif" w:hAnsi="Times New Roman;Times;serif"/>
          <w:sz w:val="22"/>
        </w:rPr>
        <w:t>If an indemnified party shall have requested an indemnifying party to reimburse the indemnified party for reasonable fees and expenses of counsel for which it is entitled to be reimbursed under this Section 9, such indemnifying party agrees that it shall be liable for any settlement of the nature contemplated by Section 9(a)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Contribution</w:t>
      </w:r>
      <w:r>
        <w:rPr>
          <w:rFonts w:ascii="Times New Roman;Times;serif" w:hAnsi="Times New Roman;Times;serif"/>
          <w:sz w:val="22"/>
        </w:rPr>
        <w:t xml:space="preserve">.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investigation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9(e) were to be determined by </w:t>
      </w:r>
      <w:r>
        <w:rPr>
          <w:rFonts w:ascii="Times New Roman;Times;serif" w:hAnsi="Times New Roman;Times;serif"/>
          <w:i/>
          <w:sz w:val="22"/>
        </w:rPr>
        <w:t>pro rata</w:t>
      </w:r>
      <w:r>
        <w:rPr>
          <w:rFonts w:ascii="Times New Roman;Times;serif" w:hAnsi="Times New Roman;Times;serif"/>
          <w:sz w:val="22"/>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legal or other expenses reasonably incurred by such indemnified party in connection with investigating or defending any such action, suit, investigation, proceeding or claim to the extent consistent with this Section 9. Notwithstanding the foregoing provisions of this Section 9(e),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10.</w:t>
      </w:r>
      <w:r>
        <w:rPr>
          <w:rFonts w:ascii="Times New Roman;Times;serif" w:hAnsi="Times New Roman;Times;serif"/>
          <w:sz w:val="22"/>
          <w:u w:val="single"/>
        </w:rPr>
        <w:t>Representations and Agreements to Survive Delivery</w:t>
      </w:r>
      <w:r>
        <w:rPr>
          <w:rFonts w:ascii="Times New Roman;Times;serif" w:hAnsi="Times New Roman;Times;serif"/>
          <w:sz w:val="22"/>
        </w:rPr>
        <w:t>.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11.</w:t>
      </w:r>
      <w:r>
        <w:rPr>
          <w:rFonts w:ascii="Times New Roman;Times;serif" w:hAnsi="Times New Roman;Times;serif"/>
          <w:sz w:val="22"/>
          <w:u w:val="single"/>
        </w:rPr>
        <w:t>Termination</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The Agent shall have the right, by giving notice as hereinafter specified, at any time to terminate this Agreement if (i) any Material Adverse Effect, or any development that could reasonably be expected to result in a Material Adverse Effect, has occurred that, in the judgment of the Agent, may materially impair the ability of the Agent to sell the Placement Shares hereunder, (ii) the Company shall have failed, refused or been unable to perform any agreement on its part to be performed hereunder;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in the case of any failure of the Company to deliver (or cause another person to deliver) any certification, opinion or letter required under Section 7(m), Section 7(n), Section 7(o) or Section 7(p), the Agent’s right to terminate shall not arise unless such failure to deliver (or cause to be delivered) continues for more than 15 calendar days from the date such delivery was required, (iii) any other condition of the Agent’s obligations hereunder is not fulfilled, (iv) any suspension or limitation of trading in the Placement Shares or in securities generally on Nasdaq shall have occurred, (v) a general banking moratorium shall have been declared by any of United States federal or New York authorities, or (vi)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Section 7(g), Section 9, Section 10, Section 16 and Section 17 hereof shall remain in full force and effect notwithstanding such termination. If the Agent elects to terminate this Agreement as provided in this Section 11(a), the Agent shall provide the required notice as specified in Section 12.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 Company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The Agent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Unless earlier terminated pursuant to this Section 11, this Agreement shall automatically terminate upon the issuance and sale of all of the Placement Shares through the Agent on the terms and subject to the conditions set forth herein; </w:t>
      </w:r>
      <w:r>
        <w:rPr>
          <w:rFonts w:ascii="Times New Roman;Times;serif" w:hAnsi="Times New Roman;Times;serif"/>
          <w:i/>
          <w:sz w:val="22"/>
        </w:rPr>
        <w:t>provided</w:t>
      </w:r>
      <w:r>
        <w:rPr>
          <w:rFonts w:ascii="Times New Roman;Times;serif" w:hAnsi="Times New Roman;Times;serif"/>
          <w:sz w:val="22"/>
        </w:rPr>
        <w:t xml:space="preserve"> that the provisions of Section 7(g), Section 9, Section 10, Section 11(f), Section 16 and Section 17 hereof shall remain in full force and effect notwithstanding such termination.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w:t>
      </w:r>
      <w:r>
        <w:rPr>
          <w:rFonts w:ascii="Times New Roman;Times;serif" w:hAnsi="Times New Roman;Times;serif"/>
          <w:sz w:val="22"/>
        </w:rPr>
        <w:t xml:space="preserve">This Agreement shall remain in full force and effect unless terminated pursuant to Sections 11(a), (b), (c), or (d) above or otherwise by mutual agreement of the parties;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that any such termination by mutual agreement shall in all cases be deemed to provide that Section 7(g), Section 9, Section 10, Section 11(f), Section 16 and Section 17 shall remain in full force and effect.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(f)</w:t>
      </w:r>
      <w:r>
        <w:rPr>
          <w:rFonts w:ascii="Times New Roman;Times;serif" w:hAnsi="Times New Roman;Times;serif"/>
          <w:sz w:val="22"/>
        </w:rPr>
        <w:t xml:space="preserve">Any termination of this Agreement shall be effective on the date specified in such notice of termination; </w:t>
      </w:r>
      <w:r>
        <w:rPr>
          <w:rFonts w:ascii="Times New Roman;Times;serif" w:hAnsi="Times New Roman;Times;serif"/>
          <w:i/>
          <w:sz w:val="22"/>
        </w:rPr>
        <w:t>provided, however</w:t>
      </w:r>
      <w:r>
        <w:rPr>
          <w:rFonts w:ascii="Times New Roman;Times;serif" w:hAnsi="Times New Roman;Times;serif"/>
          <w:sz w:val="22"/>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that the Company shall remain obligated to reimburse the Agent’s expenses pursuant to Section 7(g).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12.</w:t>
      </w:r>
      <w:r>
        <w:rPr>
          <w:rFonts w:ascii="Times New Roman;Times;serif" w:hAnsi="Times New Roman;Times;serif"/>
          <w:sz w:val="22"/>
          <w:u w:val="single"/>
        </w:rPr>
        <w:t>Notices</w:t>
      </w:r>
      <w:r>
        <w:rPr>
          <w:rFonts w:ascii="Times New Roman;Times;serif" w:hAnsi="Times New Roman;Times;serif"/>
          <w:sz w:val="22"/>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pStyle w:val="TextBody"/>
        <w:bidi w:val="0"/>
        <w:spacing w:before="0" w:after="0"/>
        <w:ind w:left="0" w:right="0" w:hanging="0"/>
        <w:jc w:val="left"/>
        <w:rPr/>
      </w:pPr>
      <w:r>
        <w:rPr/>
        <w:t>​</w:t>
      </w:r>
    </w:p>
    <w:p>
      <w:pPr>
        <w:pStyle w:val="TextBody"/>
        <w:bidi w:val="0"/>
        <w:spacing w:before="0" w:after="0"/>
        <w:ind w:left="634" w:right="0" w:hanging="0"/>
        <w:jc w:val="left"/>
        <w:rPr>
          <w:rFonts w:ascii="Times New Roman;Times;serif" w:hAnsi="Times New Roman;Times;serif"/>
          <w:sz w:val="22"/>
        </w:rPr>
      </w:pPr>
      <w:r>
        <w:rPr>
          <w:rFonts w:ascii="Times New Roman;Times;serif" w:hAnsi="Times New Roman;Times;serif"/>
          <w:sz w:val="22"/>
        </w:rPr>
        <w:t>Leerink Partners LLC</w:t>
      </w:r>
    </w:p>
    <w:p>
      <w:pPr>
        <w:pStyle w:val="TextBody"/>
        <w:bidi w:val="0"/>
        <w:spacing w:before="0" w:after="0"/>
        <w:ind w:left="634" w:right="0" w:hanging="0"/>
        <w:jc w:val="left"/>
        <w:rPr>
          <w:rFonts w:ascii="Times New Roman;Times;serif" w:hAnsi="Times New Roman;Times;serif"/>
          <w:sz w:val="22"/>
        </w:rPr>
      </w:pPr>
      <w:r>
        <w:rPr>
          <w:rFonts w:ascii="Times New Roman;Times;serif" w:hAnsi="Times New Roman;Times;serif"/>
          <w:sz w:val="22"/>
        </w:rPr>
        <w:t>1301 Avenue of the Americas, 5</w:t>
      </w:r>
      <w:r>
        <w:rPr>
          <w:rFonts w:ascii="Times New Roman;Times;serif" w:hAnsi="Times New Roman;Times;serif"/>
          <w:sz w:val="17"/>
        </w:rPr>
        <w:t>th</w:t>
      </w:r>
      <w:r>
        <w:rPr>
          <w:rFonts w:ascii="Times New Roman;Times;serif" w:hAnsi="Times New Roman;Times;serif"/>
          <w:sz w:val="22"/>
        </w:rPr>
        <w:t xml:space="preserve"> Floor</w:t>
      </w:r>
    </w:p>
    <w:p>
      <w:pPr>
        <w:pStyle w:val="TextBody"/>
        <w:bidi w:val="0"/>
        <w:spacing w:before="0" w:after="0"/>
        <w:ind w:left="634" w:right="0" w:hanging="0"/>
        <w:jc w:val="left"/>
        <w:rPr>
          <w:rFonts w:ascii="Times New Roman;Times;serif" w:hAnsi="Times New Roman;Times;serif"/>
          <w:sz w:val="22"/>
        </w:rPr>
      </w:pPr>
      <w:r>
        <w:rPr>
          <w:rFonts w:ascii="Times New Roman;Times;serif" w:hAnsi="Times New Roman;Times;serif"/>
          <w:sz w:val="22"/>
        </w:rPr>
        <w:t>New York, New York 10019</w:t>
      </w:r>
    </w:p>
    <w:p>
      <w:pPr>
        <w:pStyle w:val="TextBody"/>
        <w:bidi w:val="0"/>
        <w:spacing w:before="0" w:after="0"/>
        <w:ind w:left="634" w:right="0" w:hanging="0"/>
        <w:jc w:val="left"/>
        <w:rPr>
          <w:rFonts w:ascii="Times New Roman;Times;serif" w:hAnsi="Times New Roman;Times;serif"/>
          <w:sz w:val="22"/>
        </w:rPr>
      </w:pPr>
      <w:r>
        <w:rPr>
          <w:rFonts w:ascii="Times New Roman;Times;serif" w:hAnsi="Times New Roman;Times;serif"/>
          <w:sz w:val="22"/>
        </w:rPr>
        <w:t>Attention: Peter M. Fry</w:t>
      </w:r>
    </w:p>
    <w:p>
      <w:pPr>
        <w:pStyle w:val="TextBody"/>
        <w:bidi w:val="0"/>
        <w:spacing w:before="0" w:after="0"/>
        <w:ind w:left="630" w:right="0" w:hanging="0"/>
        <w:jc w:val="left"/>
        <w:rPr>
          <w:rFonts w:ascii="Times New Roman;Times;serif" w:hAnsi="Times New Roman;Times;serif"/>
          <w:sz w:val="22"/>
        </w:rPr>
      </w:pPr>
      <w:r>
        <w:rPr>
          <w:rFonts w:ascii="Times New Roman;Times;serif" w:hAnsi="Times New Roman;Times;serif"/>
          <w:sz w:val="22"/>
        </w:rPr>
        <w:t>E-mail: peter.fry@leerink.com</w:t>
      </w:r>
    </w:p>
    <w:p>
      <w:pPr>
        <w:pStyle w:val="TextBody"/>
        <w:bidi w:val="0"/>
        <w:spacing w:before="0" w:after="0"/>
        <w:ind w:left="63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with a copy (which shall not constitute notice) to:</w:t>
      </w:r>
    </w:p>
    <w:p>
      <w:pPr>
        <w:pStyle w:val="TextBody"/>
        <w:bidi w:val="0"/>
        <w:spacing w:before="0" w:after="0"/>
        <w:ind w:left="630" w:right="0" w:hanging="0"/>
        <w:jc w:val="left"/>
        <w:rPr/>
      </w:pPr>
      <w:r>
        <w:rPr/>
        <w:t>​</w:t>
      </w:r>
    </w:p>
    <w:p>
      <w:pPr>
        <w:pStyle w:val="TextBody"/>
        <w:bidi w:val="0"/>
        <w:spacing w:before="0" w:after="0"/>
        <w:ind w:left="630" w:right="0" w:hanging="0"/>
        <w:jc w:val="left"/>
        <w:rPr>
          <w:rFonts w:ascii="Times New Roman;Times;serif" w:hAnsi="Times New Roman;Times;serif"/>
          <w:sz w:val="22"/>
        </w:rPr>
      </w:pPr>
      <w:r>
        <w:rPr>
          <w:rFonts w:ascii="Times New Roman;Times;serif" w:hAnsi="Times New Roman;Times;serif"/>
          <w:sz w:val="22"/>
        </w:rPr>
        <w:t>Leerink Partners LLC</w:t>
      </w:r>
    </w:p>
    <w:p>
      <w:pPr>
        <w:pStyle w:val="TextBody"/>
        <w:bidi w:val="0"/>
        <w:spacing w:before="0" w:after="0"/>
        <w:ind w:left="630" w:right="0" w:hanging="0"/>
        <w:jc w:val="left"/>
        <w:rPr>
          <w:rFonts w:ascii="Times New Roman;Times;serif" w:hAnsi="Times New Roman;Times;serif"/>
          <w:sz w:val="22"/>
        </w:rPr>
      </w:pPr>
      <w:r>
        <w:rPr>
          <w:rFonts w:ascii="Times New Roman;Times;serif" w:hAnsi="Times New Roman;Times;serif"/>
          <w:sz w:val="22"/>
        </w:rPr>
        <w:t>1301 Avenue of the Americas, 5</w:t>
      </w:r>
      <w:r>
        <w:rPr>
          <w:rFonts w:ascii="Times New Roman;Times;serif" w:hAnsi="Times New Roman;Times;serif"/>
          <w:sz w:val="17"/>
        </w:rPr>
        <w:t>th</w:t>
      </w:r>
      <w:r>
        <w:rPr>
          <w:rFonts w:ascii="Times New Roman;Times;serif" w:hAnsi="Times New Roman;Times;serif"/>
          <w:sz w:val="22"/>
        </w:rPr>
        <w:t xml:space="preserve"> Floor</w:t>
      </w:r>
    </w:p>
    <w:p>
      <w:pPr>
        <w:pStyle w:val="TextBody"/>
        <w:bidi w:val="0"/>
        <w:spacing w:before="0" w:after="0"/>
        <w:ind w:left="630" w:right="0" w:hanging="0"/>
        <w:jc w:val="left"/>
        <w:rPr>
          <w:rFonts w:ascii="Times New Roman;Times;serif" w:hAnsi="Times New Roman;Times;serif"/>
          <w:sz w:val="22"/>
        </w:rPr>
      </w:pPr>
      <w:r>
        <w:rPr>
          <w:rFonts w:ascii="Times New Roman;Times;serif" w:hAnsi="Times New Roman;Times;serif"/>
          <w:sz w:val="22"/>
        </w:rPr>
        <w:t>New York, New York 10019</w:t>
      </w:r>
    </w:p>
    <w:p>
      <w:pPr>
        <w:pStyle w:val="TextBody"/>
        <w:bidi w:val="0"/>
        <w:spacing w:before="0" w:after="0"/>
        <w:ind w:left="630" w:right="0" w:hanging="0"/>
        <w:jc w:val="left"/>
        <w:rPr>
          <w:rFonts w:ascii="Times New Roman;Times;serif" w:hAnsi="Times New Roman;Times;serif"/>
          <w:sz w:val="22"/>
        </w:rPr>
      </w:pPr>
      <w:r>
        <w:rPr>
          <w:rFonts w:ascii="Times New Roman;Times;serif" w:hAnsi="Times New Roman;Times;serif"/>
          <w:sz w:val="22"/>
        </w:rPr>
        <w:t>Attention: Legal Department</w:t>
      </w:r>
    </w:p>
    <w:p>
      <w:pPr>
        <w:pStyle w:val="TextBody"/>
        <w:bidi w:val="0"/>
        <w:spacing w:before="0" w:after="0"/>
        <w:ind w:left="630" w:right="0" w:hanging="0"/>
        <w:jc w:val="left"/>
        <w:rPr>
          <w:rFonts w:ascii="Times New Roman;Times;serif" w:hAnsi="Times New Roman;Times;serif"/>
          <w:sz w:val="22"/>
        </w:rPr>
      </w:pPr>
      <w:r>
        <w:rPr>
          <w:rFonts w:ascii="Times New Roman;Times;serif" w:hAnsi="Times New Roman;Times;serif"/>
          <w:sz w:val="22"/>
        </w:rPr>
        <w:t>E-mail: LegalNotice@leerink.com</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and if to the Company, shall be delivered to:</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sz w:val="22"/>
        </w:rPr>
        <w:t>Coherus Oncology, Inc.</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sz w:val="22"/>
        </w:rPr>
        <w:t>333 Twin Dolphin Drive, Suite 600</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sz w:val="22"/>
        </w:rPr>
        <w:t>Redwood City, California 94065</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sz w:val="22"/>
        </w:rPr>
        <w:t>Attention: Dennis M. Lanfear</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sz w:val="22"/>
        </w:rPr>
        <w:t>E-mail: DML152@coherus.com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with copies (which shall not constitute notice) to:</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sz w:val="22"/>
        </w:rPr>
        <w:t>Latham &amp; Watkins LLP</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sz w:val="22"/>
        </w:rPr>
        <w:t>Attention: Benjamin Potter; Drew Capurro</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sz w:val="22"/>
        </w:rPr>
        <w:t>E-mail: benjamin.potter@lw.com; drew.capurro@lw.com</w:t>
      </w:r>
    </w:p>
    <w:p>
      <w:pPr>
        <w:pStyle w:val="TextBody"/>
        <w:bidi w:val="0"/>
        <w:spacing w:before="0" w:after="0"/>
        <w:ind w:left="72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Each party to this Agreement may change such address for notices by sending to the parties to this Agreement written notice of a new address for such purpose. Each such notice or other communication shall be deemed given (i) when delivered personally on or before 4:30 P.M., New York City time, on a Business Day, or, if such day is not a Business Day, on the next succeeding Business Day, (ii) by Electronic Notice as set forth in the next paragraph, (iii) 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Times New Roman;Times;serif" w:hAnsi="Times New Roman;Times;serif"/>
          <w:b/>
          <w:sz w:val="22"/>
        </w:rPr>
        <w:t>Business Day</w:t>
      </w:r>
      <w:r>
        <w:rPr>
          <w:rFonts w:ascii="Times New Roman;Times;serif" w:hAnsi="Times New Roman;Times;serif"/>
          <w:sz w:val="22"/>
        </w:rPr>
        <w:t>” shall mean any day on which the Nasdaq and commercial banks in the City of New York are open for business.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An electronic communication (“</w:t>
      </w:r>
      <w:r>
        <w:rPr>
          <w:rFonts w:ascii="Times New Roman;Times;serif" w:hAnsi="Times New Roman;Times;serif"/>
          <w:b/>
          <w:sz w:val="22"/>
        </w:rPr>
        <w:t>Electronic Notice</w:t>
      </w:r>
      <w:r>
        <w:rPr>
          <w:rFonts w:ascii="Times New Roman;Times;serif" w:hAnsi="Times New Roman;Times;serif"/>
          <w:sz w:val="22"/>
        </w:rPr>
        <w:t>”) shall be deemed written notice for purposes of this Section 12 if sent to the electronic mail address specified by the receiving party in Section 12.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Times New Roman;Times;serif" w:hAnsi="Times New Roman;Times;serif"/>
          <w:b/>
          <w:sz w:val="22"/>
        </w:rPr>
        <w:t>Nonelectronic Notice</w:t>
      </w:r>
      <w:r>
        <w:rPr>
          <w:rFonts w:ascii="Times New Roman;Times;serif" w:hAnsi="Times New Roman;Times;serif"/>
          <w:sz w:val="22"/>
        </w:rPr>
        <w:t>”), which shall be sent to the requesting party within 10 days of receipt of the written request for Nonelectronic Notice.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13.</w:t>
      </w:r>
      <w:r>
        <w:rPr>
          <w:rFonts w:ascii="Times New Roman;Times;serif" w:hAnsi="Times New Roman;Times;serif"/>
          <w:sz w:val="22"/>
          <w:u w:val="single"/>
        </w:rPr>
        <w:t>Successors and Assigns</w:t>
      </w:r>
      <w:r>
        <w:rPr>
          <w:rFonts w:ascii="Times New Roman;Times;serif" w:hAnsi="Times New Roman;Times;serif"/>
          <w:sz w:val="22"/>
        </w:rPr>
        <w:t xml:space="preserve">. This Agreement shall inure to the benefit of and be binding upon the Company and the Agent and their respective successors and the affiliates, controlling persons, officers, directors and other persons referred to in Section 9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Times;serif" w:hAnsi="Times New Roman;Times;serif"/>
          <w:i/>
          <w:sz w:val="22"/>
        </w:rPr>
        <w:t>provided, however</w:t>
      </w:r>
      <w:r>
        <w:rPr>
          <w:rFonts w:ascii="Times New Roman;Times;serif" w:hAnsi="Times New Roman;Times;serif"/>
          <w:sz w:val="22"/>
        </w:rPr>
        <w:t>, that the Agent may assign its rights and obligations hereunder to an affiliate of the Agent without obtaining the Company’s consent, so long as such affiliate is a registered broker-dealer.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14.</w:t>
      </w:r>
      <w:r>
        <w:rPr>
          <w:rFonts w:ascii="Times New Roman;Times;serif" w:hAnsi="Times New Roman;Times;serif"/>
          <w:sz w:val="22"/>
          <w:u w:val="single"/>
        </w:rPr>
        <w:t>Adjustments for Share Splits</w:t>
      </w:r>
      <w:r>
        <w:rPr>
          <w:rFonts w:ascii="Times New Roman;Times;serif" w:hAnsi="Times New Roman;Times;serif"/>
          <w:sz w:val="22"/>
        </w:rPr>
        <w:t>. The parties acknowledge and agree that all share-related numbers contained in this Agreement shall be adjusted to take into account any share split, share dividend or similar event effected with respect to the Common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15.</w:t>
      </w:r>
      <w:r>
        <w:rPr>
          <w:rFonts w:ascii="Times New Roman;Times;serif" w:hAnsi="Times New Roman;Times;serif"/>
          <w:sz w:val="22"/>
          <w:u w:val="single"/>
        </w:rPr>
        <w:t>Entire Agreement; Amendment; Severability; Waiver</w:t>
      </w:r>
      <w:r>
        <w:rPr>
          <w:rFonts w:ascii="Times New Roman;Times;serif" w:hAnsi="Times New Roman;Times;serif"/>
          <w:sz w:val="22"/>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xml:space="preserve">, that </w:t>
      </w:r>
      <w:r>
        <w:rPr>
          <w:rFonts w:ascii="Times New Roman;Times;serif" w:hAnsi="Times New Roman;Times;serif"/>
          <w:b/>
          <w:sz w:val="22"/>
        </w:rPr>
        <w:t>Schedule 2</w:t>
      </w:r>
      <w:r>
        <w:rPr>
          <w:rFonts w:ascii="Times New Roman;Times;serif" w:hAnsi="Times New Roman;Times;serif"/>
          <w:sz w:val="22"/>
        </w:rPr>
        <w:t xml:space="preserve"> of this Agreement may be amended by either party from time to time by sending a notice containing a revised </w:t>
      </w:r>
      <w:r>
        <w:rPr>
          <w:rFonts w:ascii="Times New Roman;Times;serif" w:hAnsi="Times New Roman;Times;serif"/>
          <w:b/>
          <w:sz w:val="22"/>
        </w:rPr>
        <w:t>Schedule 2</w:t>
      </w:r>
      <w:r>
        <w:rPr>
          <w:rFonts w:ascii="Times New Roman;Times;serif" w:hAnsi="Times New Roman;Times;serif"/>
          <w:sz w:val="22"/>
        </w:rPr>
        <w:t xml:space="preserve"> to the other party in the manner provided in Section 12 and, upon such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amendment, all references herein to </w:t>
      </w:r>
      <w:r>
        <w:rPr>
          <w:rFonts w:ascii="Times New Roman;Times;serif" w:hAnsi="Times New Roman;Times;serif"/>
          <w:b/>
          <w:sz w:val="22"/>
        </w:rPr>
        <w:t>Schedule 2</w:t>
      </w:r>
      <w:r>
        <w:rPr>
          <w:rFonts w:ascii="Times New Roman;Times;serif" w:hAnsi="Times New Roman;Times;serif"/>
          <w:sz w:val="22"/>
        </w:rPr>
        <w:t xml:space="preserve"> shall automatically be deemed to refer to such amended </w:t>
      </w:r>
      <w:r>
        <w:rPr>
          <w:rFonts w:ascii="Times New Roman;Times;serif" w:hAnsi="Times New Roman;Times;serif"/>
          <w:b/>
          <w:sz w:val="22"/>
        </w:rPr>
        <w:t>Schedule 2</w:t>
      </w:r>
      <w:r>
        <w:rPr>
          <w:rFonts w:ascii="Times New Roman;Times;serif" w:hAnsi="Times New Roman;Times;serif"/>
          <w:sz w:val="22"/>
        </w:rPr>
        <w: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16.</w:t>
      </w:r>
      <w:r>
        <w:rPr>
          <w:rFonts w:ascii="Times New Roman;Times;serif" w:hAnsi="Times New Roman;Times;serif"/>
          <w:b/>
          <w:sz w:val="22"/>
        </w:rPr>
        <w:t>GOVERNING LAW AND TIME; WAIVER OF JURY TRIAL.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17.</w:t>
      </w:r>
      <w:r>
        <w:rPr>
          <w:rFonts w:ascii="Times New Roman;Times;serif" w:hAnsi="Times New Roman;Times;serif"/>
          <w:sz w:val="22"/>
          <w:u w:val="single"/>
        </w:rPr>
        <w:t>Consent to Jurisdiction</w:t>
      </w:r>
      <w:r>
        <w:rPr>
          <w:rFonts w:ascii="Times New Roman;Times;serif" w:hAnsi="Times New Roman;Times;serif"/>
          <w:sz w:val="22"/>
        </w:rPr>
        <w:t xml:space="preserve">.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(certified or registered mail, return receipt requested) to such party at the address in effect for notices under Section 12 of this Agreement and agrees that such service shall constitute good and sufficient notice of process and notice thereof. Nothing contained herein shall be deemed to limit in any way any right to serve process in any manner permitted by law.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18.</w:t>
      </w:r>
      <w:r>
        <w:rPr>
          <w:rFonts w:ascii="Times New Roman;Times;serif" w:hAnsi="Times New Roman;Times;serif"/>
          <w:sz w:val="22"/>
          <w:u w:val="single"/>
        </w:rPr>
        <w:t>Construction</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section and exhibit headings herein are for convenience only and shall not affect the construction hereof.</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Words defined in the singular shall have a comparable meaning when used in the plural, and vice versa.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The words “hereof,” “hereto,” “herein” and “hereunder” and words of similar import, when used in this Agreement, shall refer to this Agreement as a whole and not to any particular provision of this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rPr>
        <w:t>Wherever the word “include,” “includes” or “including” is used in this Agreement, it shall be deemed to be followed by the words “without limitation.”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w:t>
      </w:r>
      <w:r>
        <w:rPr>
          <w:rFonts w:ascii="Times New Roman;Times;serif" w:hAnsi="Times New Roman;Times;serif"/>
          <w:sz w:val="22"/>
        </w:rPr>
        <w:t>References herein to any gender shall include each other gender.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(f)</w:t>
      </w:r>
      <w:r>
        <w:rPr>
          <w:rFonts w:ascii="Times New Roman;Times;serif" w:hAnsi="Times New Roman;Times;serif"/>
          <w:sz w:val="22"/>
        </w:rPr>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19.</w:t>
      </w:r>
      <w:r>
        <w:rPr>
          <w:rFonts w:ascii="Times New Roman;Times;serif" w:hAnsi="Times New Roman;Times;serif"/>
          <w:sz w:val="22"/>
          <w:u w:val="single"/>
        </w:rPr>
        <w:t>Permitted Free Writing Prospectuses</w:t>
      </w:r>
      <w:r>
        <w:rPr>
          <w:rFonts w:ascii="Times New Roman;Times;serif" w:hAnsi="Times New Roman;Times;serif"/>
          <w:sz w:val="22"/>
        </w:rPr>
        <w:t>. Each of the Company and the Agent represents, warrants and agrees that, unless it obtains the prior written consent of the other party,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Times New Roman;Times;serif" w:hAnsi="Times New Roman;Times;serif"/>
          <w:b/>
          <w:sz w:val="22"/>
        </w:rPr>
        <w:t>Permitted Free Writing Prospectus</w:t>
      </w:r>
      <w:r>
        <w:rPr>
          <w:rFonts w:ascii="Times New Roman;Times;serif" w:hAnsi="Times New Roman;Times;serif"/>
          <w:sz w:val="22"/>
        </w:rPr>
        <w:t>.”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20.</w:t>
      </w:r>
      <w:r>
        <w:rPr>
          <w:rFonts w:ascii="Times New Roman;Times;serif" w:hAnsi="Times New Roman;Times;serif"/>
          <w:sz w:val="22"/>
          <w:u w:val="single"/>
        </w:rPr>
        <w:t>Absence of Fiduciary Relationship</w:t>
      </w:r>
      <w:r>
        <w:rPr>
          <w:rFonts w:ascii="Times New Roman;Times;serif" w:hAnsi="Times New Roman;Times;serif"/>
          <w:sz w:val="22"/>
        </w:rPr>
        <w:t>. The Company acknowledges and agrees that: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Agent has been retained to act as sales agent in connection with the sale of the Placement Shares, the Agent has acted at arms’ length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 Company is capable of evaluating, and understanding and understands and accepts, the terms, risks and conditions of the transactions contemplated by this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rPr>
        <w:t>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w:t>
      </w:r>
      <w:r>
        <w:rPr>
          <w:rFonts w:ascii="Times New Roman;Times;serif" w:hAnsi="Times New Roman;Times;serif"/>
          <w:sz w:val="22"/>
        </w:rPr>
        <w:t>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stockholders (or other equity holders), creditors or employees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21.</w:t>
      </w:r>
      <w:r>
        <w:rPr>
          <w:rFonts w:ascii="Times New Roman;Times;serif" w:hAnsi="Times New Roman;Times;serif"/>
          <w:sz w:val="22"/>
          <w:u w:val="single"/>
        </w:rPr>
        <w:t>Recognition of the U.S. Special Resolution Regimes</w:t>
      </w:r>
      <w:r>
        <w:rPr>
          <w:rFonts w:ascii="Times New Roman;Times;serif" w:hAnsi="Times New Roman;Times;serif"/>
          <w:sz w:val="22"/>
        </w:rPr>
        <w:t xml:space="preserve">. In the event that the Agent is a Covered Entity and becomes subject to a proceeding under a U.S. Special Resolution Regime, the transfer from the Agent of this Agreement, and any interest and obligation in or under this Agreement, will be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22.</w:t>
      </w:r>
      <w:r>
        <w:rPr>
          <w:rFonts w:ascii="Times New Roman;Times;serif" w:hAnsi="Times New Roman;Times;serif"/>
          <w:sz w:val="22"/>
          <w:u w:val="single"/>
        </w:rPr>
        <w:t>Counterparts</w:t>
      </w:r>
      <w:r>
        <w:rPr>
          <w:rFonts w:ascii="Times New Roman;Times;serif" w:hAnsi="Times New Roman;Times;serif"/>
          <w:sz w:val="22"/>
        </w:rPr>
        <w:t xml:space="preserve">.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w:t>
      </w:r>
      <w:r>
        <w:rPr>
          <w:rFonts w:ascii="Times New Roman;Times;serif" w:hAnsi="Times New Roman;Times;serif"/>
          <w:sz w:val="24"/>
        </w:rPr>
        <w:t>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23.</w:t>
      </w:r>
      <w:r>
        <w:rPr>
          <w:rFonts w:ascii="Times New Roman;Times;serif" w:hAnsi="Times New Roman;Times;serif"/>
          <w:sz w:val="22"/>
          <w:u w:val="single"/>
        </w:rPr>
        <w:t>Use of Information</w:t>
      </w:r>
      <w:r>
        <w:rPr>
          <w:rFonts w:ascii="Times New Roman;Times;serif" w:hAnsi="Times New Roman;Times;serif"/>
          <w:sz w:val="22"/>
        </w:rPr>
        <w:t>.The Agent may not provide any information gained in connection with this Agreement and the transactions contemplated by this Agreement, including due diligence, to any third party other than its legal counsel advising it on this Agreement and the transactions contemplated by this Agreement unless expressly approved by the Company in writing.</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24.</w:t>
      </w:r>
      <w:r>
        <w:rPr>
          <w:rFonts w:ascii="Times New Roman;Times;serif" w:hAnsi="Times New Roman;Times;serif"/>
          <w:sz w:val="22"/>
          <w:u w:val="single"/>
        </w:rPr>
        <w:t>Agent’s Information</w:t>
      </w:r>
      <w:r>
        <w:rPr>
          <w:rFonts w:ascii="Times New Roman;Times;serif" w:hAnsi="Times New Roman;Times;serif"/>
          <w:sz w:val="22"/>
        </w:rPr>
        <w:t>. As used in this Agreement, “</w:t>
      </w:r>
      <w:r>
        <w:rPr>
          <w:rFonts w:ascii="Times New Roman;Times;serif" w:hAnsi="Times New Roman;Times;serif"/>
          <w:b/>
          <w:sz w:val="22"/>
        </w:rPr>
        <w:t>Agent’s Information</w:t>
      </w:r>
      <w:r>
        <w:rPr>
          <w:rFonts w:ascii="Times New Roman;Times;serif" w:hAnsi="Times New Roman;Times;serif"/>
          <w:sz w:val="22"/>
        </w:rPr>
        <w:t xml:space="preserve">” means solely the following information in the Registration Statement and the Prospectus: the [ninth] paragraph under the heading “Plan of Distribution” in the Prospectus Supplement.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All references in this Agreement to “supplements” to the Prospectus shall include any supplements, “wrappers” or similar materials prepared in connection with any offering, sale or private placement of any Placement Shares by the Agent outside of the United States.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[Remainder of Page Intentionally Blank]</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If the foregoing correctly sets forth the understanding between the Company and the Agent, please so indicate in the space provided below for that purpose, whereupon this letter shall constitute a binding agreement between the Company and the Agent.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5040" w:right="0" w:hanging="0"/>
        <w:jc w:val="left"/>
        <w:rPr>
          <w:rFonts w:ascii="Times New Roman;Times;serif" w:hAnsi="Times New Roman;Times;serif"/>
          <w:sz w:val="22"/>
        </w:rPr>
      </w:pPr>
      <w:r>
        <w:rPr>
          <w:rFonts w:ascii="Times New Roman;Times;serif" w:hAnsi="Times New Roman;Times;serif"/>
          <w:sz w:val="22"/>
        </w:rPr>
        <w:t>Very truly yours,</w:t>
      </w:r>
    </w:p>
    <w:p>
      <w:pPr>
        <w:pStyle w:val="TextBody"/>
        <w:bidi w:val="0"/>
        <w:spacing w:before="0" w:after="0"/>
        <w:ind w:left="5040" w:right="0" w:hanging="0"/>
        <w:jc w:val="left"/>
        <w:rPr/>
      </w:pPr>
      <w:r>
        <w:rPr/>
        <w:t>​</w:t>
      </w:r>
    </w:p>
    <w:p>
      <w:pPr>
        <w:pStyle w:val="TextBody"/>
        <w:bidi w:val="0"/>
        <w:spacing w:before="0" w:after="0"/>
        <w:ind w:left="5040" w:right="0" w:hanging="0"/>
        <w:jc w:val="left"/>
        <w:rPr/>
      </w:pPr>
      <w:r>
        <w:rPr/>
        <w:t>​</w:t>
      </w:r>
    </w:p>
    <w:p>
      <w:pPr>
        <w:pStyle w:val="TextBody"/>
        <w:bidi w:val="0"/>
        <w:spacing w:before="0" w:after="0"/>
        <w:ind w:left="5040" w:right="0" w:hanging="0"/>
        <w:jc w:val="left"/>
        <w:rPr>
          <w:rFonts w:ascii="Times New Roman;Times;serif" w:hAnsi="Times New Roman;Times;serif"/>
          <w:b/>
          <w:sz w:val="22"/>
        </w:rPr>
      </w:pPr>
      <w:r>
        <w:rPr>
          <w:rFonts w:ascii="Times New Roman;Times;serif" w:hAnsi="Times New Roman;Times;serif"/>
          <w:b/>
          <w:sz w:val="22"/>
        </w:rPr>
        <w:t>COHERUS ONCOLOGY, INC.</w:t>
      </w:r>
    </w:p>
    <w:p>
      <w:pPr>
        <w:pStyle w:val="TextBody"/>
        <w:bidi w:val="0"/>
        <w:spacing w:before="0" w:after="0"/>
        <w:ind w:left="5040" w:right="0" w:hanging="0"/>
        <w:jc w:val="left"/>
        <w:rPr/>
      </w:pPr>
      <w:r>
        <w:rPr/>
        <w:t>​</w:t>
      </w:r>
    </w:p>
    <w:p>
      <w:pPr>
        <w:pStyle w:val="TextBody"/>
        <w:bidi w:val="0"/>
        <w:spacing w:before="0" w:after="0"/>
        <w:ind w:left="5040" w:right="0" w:hanging="0"/>
        <w:jc w:val="left"/>
        <w:rPr/>
      </w:pPr>
      <w:r>
        <w:rPr/>
        <w:t>​</w:t>
      </w:r>
    </w:p>
    <w:p>
      <w:pPr>
        <w:pStyle w:val="TextBody"/>
        <w:bidi w:val="0"/>
        <w:spacing w:before="0" w:after="0"/>
        <w:ind w:left="5040" w:right="0" w:hanging="0"/>
        <w:jc w:val="left"/>
        <w:rPr/>
      </w:pPr>
      <w:r>
        <w:rPr/>
        <w:t>​</w:t>
      </w:r>
    </w:p>
    <w:p>
      <w:pPr>
        <w:pStyle w:val="TextBody"/>
        <w:bidi w:val="0"/>
        <w:spacing w:before="0" w:after="0"/>
        <w:ind w:left="5040" w:right="0" w:hanging="0"/>
        <w:jc w:val="left"/>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xml:space="preserve">  /s/ Dennis M. Lanfear __     </w:t>
      </w:r>
    </w:p>
    <w:p>
      <w:pPr>
        <w:pStyle w:val="TextBody"/>
        <w:bidi w:val="0"/>
        <w:spacing w:before="0" w:after="0"/>
        <w:ind w:left="5040" w:right="0" w:hanging="0"/>
        <w:jc w:val="left"/>
        <w:rPr>
          <w:rFonts w:ascii="Times New Roman;Times;serif" w:hAnsi="Times New Roman;Times;serif"/>
          <w:sz w:val="22"/>
        </w:rPr>
      </w:pPr>
      <w:r>
        <w:rPr>
          <w:rFonts w:ascii="Times New Roman;Times;serif" w:hAnsi="Times New Roman;Times;serif"/>
          <w:sz w:val="22"/>
        </w:rPr>
        <w:t>Name: Dennis M. Lanfear</w:t>
      </w:r>
    </w:p>
    <w:p>
      <w:pPr>
        <w:pStyle w:val="TextBody"/>
        <w:bidi w:val="0"/>
        <w:spacing w:before="0" w:after="0"/>
        <w:ind w:left="5040" w:right="0" w:hanging="0"/>
        <w:jc w:val="left"/>
        <w:rPr>
          <w:rFonts w:ascii="Times New Roman;Times;serif" w:hAnsi="Times New Roman;Times;serif"/>
          <w:sz w:val="22"/>
        </w:rPr>
      </w:pPr>
      <w:r>
        <w:rPr>
          <w:rFonts w:ascii="Times New Roman;Times;serif" w:hAnsi="Times New Roman;Times;serif"/>
          <w:sz w:val="22"/>
        </w:rPr>
        <w:t xml:space="preserve">Title: Chief Executive Officer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5040" w:right="0" w:hanging="0"/>
        <w:jc w:val="left"/>
        <w:rPr>
          <w:rFonts w:ascii="Times New Roman;Times;serif" w:hAnsi="Times New Roman;Times;serif"/>
          <w:b/>
          <w:sz w:val="22"/>
        </w:rPr>
      </w:pPr>
      <w:r>
        <w:rPr>
          <w:rFonts w:ascii="Times New Roman;Times;serif" w:hAnsi="Times New Roman;Times;serif"/>
          <w:b/>
          <w:sz w:val="22"/>
        </w:rPr>
        <w:t>ACCEPTED as of the date</w:t>
      </w:r>
    </w:p>
    <w:p>
      <w:pPr>
        <w:pStyle w:val="TextBody"/>
        <w:bidi w:val="0"/>
        <w:spacing w:before="0" w:after="0"/>
        <w:ind w:left="5040" w:right="0" w:hanging="0"/>
        <w:jc w:val="left"/>
        <w:rPr>
          <w:rFonts w:ascii="Times New Roman;Times;serif" w:hAnsi="Times New Roman;Times;serif"/>
          <w:b/>
          <w:sz w:val="22"/>
        </w:rPr>
      </w:pPr>
      <w:r>
        <w:rPr>
          <w:rFonts w:ascii="Times New Roman;Times;serif" w:hAnsi="Times New Roman;Times;serif"/>
          <w:b/>
          <w:sz w:val="22"/>
        </w:rPr>
        <w:t>first-above written:</w:t>
      </w:r>
    </w:p>
    <w:p>
      <w:pPr>
        <w:pStyle w:val="TextBody"/>
        <w:bidi w:val="0"/>
        <w:spacing w:before="0" w:after="0"/>
        <w:ind w:left="5040" w:right="0" w:hanging="0"/>
        <w:jc w:val="left"/>
        <w:rPr/>
      </w:pPr>
      <w:r>
        <w:rPr/>
        <w:t>​</w:t>
      </w:r>
    </w:p>
    <w:p>
      <w:pPr>
        <w:pStyle w:val="TextBody"/>
        <w:bidi w:val="0"/>
        <w:spacing w:before="0" w:after="0"/>
        <w:ind w:left="5040" w:right="0" w:hanging="0"/>
        <w:jc w:val="left"/>
        <w:rPr>
          <w:rFonts w:ascii="Times New Roman;Times;serif" w:hAnsi="Times New Roman;Times;serif"/>
          <w:b/>
          <w:sz w:val="22"/>
        </w:rPr>
      </w:pPr>
      <w:r>
        <w:rPr>
          <w:rFonts w:ascii="Times New Roman;Times;serif" w:hAnsi="Times New Roman;Times;serif"/>
          <w:b/>
          <w:sz w:val="22"/>
        </w:rPr>
        <w:t>LEERINK PARTNERS LLC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5040" w:right="0" w:hanging="0"/>
        <w:jc w:val="left"/>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_/s/ Peter M. Fry    </w:t>
      </w:r>
    </w:p>
    <w:p>
      <w:pPr>
        <w:pStyle w:val="TextBody"/>
        <w:bidi w:val="0"/>
        <w:spacing w:before="0" w:after="0"/>
        <w:ind w:left="5040" w:right="0" w:hanging="0"/>
        <w:jc w:val="left"/>
        <w:rPr>
          <w:rFonts w:ascii="Times New Roman;Times;serif" w:hAnsi="Times New Roman;Times;serif"/>
          <w:sz w:val="22"/>
        </w:rPr>
      </w:pPr>
      <w:r>
        <w:rPr>
          <w:rFonts w:ascii="Times New Roman;Times;serif" w:hAnsi="Times New Roman;Times;serif"/>
          <w:sz w:val="22"/>
        </w:rPr>
        <w:t>Name: Peter M. Fry</w:t>
      </w:r>
      <w:r>
        <w:rPr>
          <w:rFonts w:ascii="Times New Roman;Times;serif" w:hAnsi="Times New Roman;Times;serif"/>
          <w:sz w:val="22"/>
          <w:shd w:fill="FFFF00" w:val="clear"/>
        </w:rPr>
        <w:t xml:space="preserve"> </w:t>
      </w:r>
    </w:p>
    <w:p>
      <w:pPr>
        <w:pStyle w:val="TextBody"/>
        <w:bidi w:val="0"/>
        <w:spacing w:before="0" w:after="0"/>
        <w:ind w:left="5040" w:right="0" w:hanging="0"/>
        <w:jc w:val="left"/>
        <w:rPr>
          <w:rFonts w:ascii="Times New Roman;Times;serif" w:hAnsi="Times New Roman;Times;serif"/>
          <w:sz w:val="22"/>
        </w:rPr>
      </w:pPr>
      <w:r>
        <w:rPr>
          <w:rFonts w:ascii="Times New Roman;Times;serif" w:hAnsi="Times New Roman;Times;serif"/>
          <w:sz w:val="22"/>
        </w:rPr>
        <w:t>Title: Senior Managing Director,</w:t>
      </w:r>
    </w:p>
    <w:p>
      <w:pPr>
        <w:pStyle w:val="TextBody"/>
        <w:bidi w:val="0"/>
        <w:spacing w:before="0" w:after="0"/>
        <w:ind w:left="5040" w:right="0" w:hanging="0"/>
        <w:jc w:val="left"/>
        <w:rPr>
          <w:rFonts w:ascii="Times New Roman;Times;serif" w:hAnsi="Times New Roman;Times;serif"/>
          <w:sz w:val="22"/>
        </w:rPr>
      </w:pPr>
      <w:r>
        <w:rPr>
          <w:rFonts w:ascii="Times New Roman;Times;serif" w:hAnsi="Times New Roman;Times;serif"/>
          <w:sz w:val="22"/>
        </w:rPr>
        <w:t>Head of Alternative Equities</w:t>
      </w:r>
    </w:p>
    <w:p>
      <w:pPr>
        <w:pStyle w:val="TextBody"/>
        <w:bidi w:val="0"/>
        <w:spacing w:before="0" w:after="0"/>
        <w:ind w:left="5760" w:right="0" w:hanging="0"/>
        <w:jc w:val="left"/>
        <w:rPr/>
      </w:pPr>
      <w:r>
        <w:rPr/>
        <w:t>​</w:t>
      </w:r>
    </w:p>
    <w:p>
      <w:pPr>
        <w:pStyle w:val="TextBody"/>
        <w:bidi w:val="0"/>
        <w:spacing w:before="0" w:after="0"/>
        <w:ind w:left="5760" w:right="0" w:hanging="0"/>
        <w:jc w:val="left"/>
        <w:rPr/>
      </w:pPr>
      <w: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SCHEDULE 1</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FORM OF PLACEMENT NOTICE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From:</w:t>
      </w:r>
      <w:r>
        <w:rPr>
          <w:rFonts w:ascii="Times New Roman;Times;serif" w:hAnsi="Times New Roman;Times;serif"/>
          <w:sz w:val="22"/>
        </w:rPr>
        <w:t>[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Coherus Oncology, Inc.</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Cc:</w:t>
      </w:r>
      <w:r>
        <w:rPr>
          <w:rFonts w:ascii="Times New Roman;Times;serif" w:hAnsi="Times New Roman;Times;serif"/>
          <w:sz w:val="22"/>
        </w:rPr>
        <w:t>[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To:</w:t>
      </w:r>
      <w:r>
        <w:rPr>
          <w:rFonts w:ascii="Times New Roman;Times;serif" w:hAnsi="Times New Roman;Times;serif"/>
          <w:sz w:val="22"/>
        </w:rPr>
        <w:t>Leerink Partners LLC</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Subject:</w:t>
      </w:r>
      <w:r>
        <w:rPr>
          <w:rFonts w:ascii="Times New Roman;Times;serif" w:hAnsi="Times New Roman;Times;serif"/>
          <w:sz w:val="22"/>
        </w:rPr>
        <w:t>Leerink Partners —At the Market Offering—Placement Notice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Ladies and Gentlemen: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Pursuant to the terms and subject to the conditions contained in the Sales Agreement, dated August [●], 2026 (the “</w:t>
      </w:r>
      <w:r>
        <w:rPr>
          <w:rFonts w:ascii="Times New Roman;Times;serif" w:hAnsi="Times New Roman;Times;serif"/>
          <w:b/>
          <w:sz w:val="22"/>
        </w:rPr>
        <w:t>Agreement</w:t>
      </w:r>
      <w:r>
        <w:rPr>
          <w:rFonts w:ascii="Times New Roman;Times;serif" w:hAnsi="Times New Roman;Times;serif"/>
          <w:sz w:val="22"/>
        </w:rPr>
        <w:t>”), by and between Coherus Oncology, Inc., a Delaware corporation (the “</w:t>
      </w:r>
      <w:r>
        <w:rPr>
          <w:rFonts w:ascii="Times New Roman;Times;serif" w:hAnsi="Times New Roman;Times;serif"/>
          <w:b/>
          <w:sz w:val="22"/>
        </w:rPr>
        <w:t>Company</w:t>
      </w:r>
      <w:r>
        <w:rPr>
          <w:rFonts w:ascii="Times New Roman;Times;serif" w:hAnsi="Times New Roman;Times;serif"/>
          <w:sz w:val="22"/>
        </w:rPr>
        <w:t>”), and Leerink Partners LLC (“</w:t>
      </w:r>
      <w:r>
        <w:rPr>
          <w:rFonts w:ascii="Times New Roman;Times;serif" w:hAnsi="Times New Roman;Times;serif"/>
          <w:b/>
          <w:sz w:val="22"/>
        </w:rPr>
        <w:t>Leerink Partners</w:t>
      </w:r>
      <w:r>
        <w:rPr>
          <w:rFonts w:ascii="Times New Roman;Times;serif" w:hAnsi="Times New Roman;Times;serif"/>
          <w:sz w:val="22"/>
        </w:rPr>
        <w:t>”), I hereby request on behalf of the Company that Leerink Partners sell up to [ ] shares of common stock, $0.0001 par value per share, of the Company (the “</w:t>
      </w:r>
      <w:r>
        <w:rPr>
          <w:rFonts w:ascii="Times New Roman;Times;serif" w:hAnsi="Times New Roman;Times;serif"/>
          <w:b/>
          <w:sz w:val="22"/>
        </w:rPr>
        <w:t>Shares</w:t>
      </w:r>
      <w:r>
        <w:rPr>
          <w:rFonts w:ascii="Times New Roman;Times;serif" w:hAnsi="Times New Roman;Times;serif"/>
          <w:sz w:val="22"/>
        </w:rPr>
        <w:t xml:space="preserve">”), at a minimum market price of $      per share[; </w:t>
      </w:r>
      <w:r>
        <w:rPr>
          <w:rFonts w:ascii="Times New Roman;Times;serif" w:hAnsi="Times New Roman;Times;serif"/>
          <w:i/>
          <w:sz w:val="22"/>
        </w:rPr>
        <w:t>provided</w:t>
      </w:r>
      <w:r>
        <w:rPr>
          <w:rFonts w:ascii="Times New Roman;Times;serif" w:hAnsi="Times New Roman;Times;serif"/>
          <w:sz w:val="22"/>
        </w:rPr>
        <w:t xml:space="preserve"> that no more than [ ] Shares shall be sold in any one Trading Day (as such term is defined in Section 3 of the Agreement)]. Sales should begin [on the date of this Placement Notice] and end on [DATE] [until all Shares that are the subject of this Placement Notice are sold].</w:t>
      </w:r>
    </w:p>
    <w:p>
      <w:pPr>
        <w:pStyle w:val="TextBody"/>
        <w:bidi w:val="0"/>
        <w:spacing w:before="0" w:after="0"/>
        <w:ind w:left="0" w:right="0" w:hanging="0"/>
        <w:jc w:val="left"/>
        <w:rPr/>
      </w:pPr>
      <w: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SCHEDULE 2</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Dennis M. Lanfear, Chief Executive Officer</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Bryan McMichael, Chief Financial Officer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 xml:space="preserve">Leerink Partners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Tom Davidson (Tom.Davidson@leerink.com)</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Joseph Winningham (Joseph.Winningham@leerink.com)</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atm@leerink.com</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SCHEDULE 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Compensation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The Company shall pay Leerink Partners compensation in cash up to 3.0% of the gross proceeds from the sales of Placement Shares pursuant to the terms of the Sales Agreement of which this </w:t>
      </w:r>
      <w:r>
        <w:rPr>
          <w:rFonts w:ascii="Times New Roman;Times;serif" w:hAnsi="Times New Roman;Times;serif"/>
          <w:b/>
          <w:sz w:val="22"/>
        </w:rPr>
        <w:t>Schedule 3</w:t>
      </w:r>
      <w:r>
        <w:rPr>
          <w:rFonts w:ascii="Times New Roman;Times;serif" w:hAnsi="Times New Roman;Times;serif"/>
          <w:sz w:val="22"/>
        </w:rPr>
        <w:t xml:space="preserve"> forms a part.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Exhibit 7(m)</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OFFICERS’ CERTIFICATE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Each of Dennis M. Lanfear, the duly qualified and elected Chief Executive Officer of Coherus Oncology, Inc., a Delaware corporation (the “</w:t>
      </w:r>
      <w:r>
        <w:rPr>
          <w:rFonts w:ascii="Times New Roman;Times;serif" w:hAnsi="Times New Roman;Times;serif"/>
          <w:b/>
          <w:sz w:val="22"/>
        </w:rPr>
        <w:t>Company</w:t>
      </w:r>
      <w:r>
        <w:rPr>
          <w:rFonts w:ascii="Times New Roman;Times;serif" w:hAnsi="Times New Roman;Times;serif"/>
          <w:sz w:val="22"/>
        </w:rPr>
        <w:t>”), and Bryan McMichael, the duly qualified and elected Chief Financial Officer of the Company, does hereby certify in his respective capacity and on behalf of the Company, pursuant to Section 7(m) of the Sales Agreement, dated August [●], 2026 (the “</w:t>
      </w:r>
      <w:r>
        <w:rPr>
          <w:rFonts w:ascii="Times New Roman;Times;serif" w:hAnsi="Times New Roman;Times;serif"/>
          <w:b/>
          <w:sz w:val="22"/>
        </w:rPr>
        <w:t>Sales Agreement</w:t>
      </w:r>
      <w:r>
        <w:rPr>
          <w:rFonts w:ascii="Times New Roman;Times;serif" w:hAnsi="Times New Roman;Times;serif"/>
          <w:sz w:val="22"/>
        </w:rPr>
        <w:t>”), by and between the Company and Leerink Partners LLC, that, after due inquiry, to the best of the knowledge of the undersigned:</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w:t>
      </w:r>
      <w:r>
        <w:rPr>
          <w:rFonts w:ascii="Times New Roman;Times;serif" w:hAnsi="Times New Roman;Times;serif"/>
          <w:sz w:val="22"/>
        </w:rPr>
        <w:t>The representations and warranties of the Company in Section 6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and (B) to the extent such representations and warranties are not subject to any qualifications or exceptions relating to materiality or Material Adverse Effect, are true and correct in all material respects as of the date hereof as if made on and as of the date hereof with the same force and effect as if expressly made on and as of the date hereof.</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(ii)</w:t>
      </w:r>
      <w:r>
        <w:rPr>
          <w:rFonts w:ascii="Times New Roman;Times;serif" w:hAnsi="Times New Roman;Times;serif"/>
          <w:sz w:val="22"/>
        </w:rPr>
        <w:t>The Company has complied with all agreements and satisfied all conditions on its part to be performed or satisfied pursuant to the Sales Agreement at or prior to the date hereof.</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(iii)</w:t>
      </w:r>
      <w:r>
        <w:rPr>
          <w:rFonts w:ascii="Times New Roman;Times;serif" w:hAnsi="Times New Roman;Times;serif"/>
          <w:sz w:val="22"/>
        </w:rPr>
        <w:t>As of the date hereof, (A) the Registration Statement complies in all material respects with the requirements of the Securities Act and does not contain any untrue statement of a material fact or omit to state a material fact required to be stated therein or necessary in order to make the statements therein not misleading, (B) the Prospectus complies in all material respects with the requirements of the Securities Act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or for clauses (A) and (B) above, to be true and correct.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(iv)</w:t>
      </w:r>
      <w:r>
        <w:rPr>
          <w:rFonts w:ascii="Times New Roman;Times;serif" w:hAnsi="Times New Roman;Times;serif"/>
          <w:sz w:val="22"/>
        </w:rPr>
        <w:t>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since the date as of which information is given in the Prospectus, as amended or supplemented to the date hereof.</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(v)</w:t>
      </w:r>
      <w:r>
        <w:rPr>
          <w:rFonts w:ascii="Times New Roman;Times;serif" w:hAnsi="Times New Roman;Times;serif"/>
          <w:sz w:val="22"/>
        </w:rPr>
        <w:t xml:space="preserve">The Company does not possess any material non-public information.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(vi)</w:t>
      </w:r>
      <w:r>
        <w:rPr>
          <w:rFonts w:ascii="Times New Roman;Times;serif" w:hAnsi="Times New Roman;Times;serif"/>
          <w:sz w:val="22"/>
        </w:rPr>
        <w:t>The maximum amount of Placement Shares that may be sold pursuant to the Sales Agreement has been duly authorized by the Company’s board of directors or a duly authorized committee thereof pursuant to a resolution or unanimous written consent in accordance with the Company’s amended and restated articles of incorporation, amended and restated bylaws and applicable law.</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Capitalized terms used but not defined herein shall have the meanings ascribed to them in the Sales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 xml:space="preserve">IN WITNESS WHEREOF, each of the undersigned, in such individual’s respective capacity as Chief Executive Officer or Chief Financial Officer of the Company, has executed this Officers’ Certificate on behalf of the Company.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5040" w:right="0" w:hanging="0"/>
        <w:jc w:val="left"/>
        <w:rPr>
          <w:rFonts w:ascii="Times New Roman;Times;serif" w:hAnsi="Times New Roman;Times;serif"/>
          <w:sz w:val="24"/>
        </w:rPr>
      </w:pPr>
      <w:r>
        <w:rPr>
          <w:rFonts w:ascii="Times New Roman;Times;serif" w:hAnsi="Times New Roman;Times;serif"/>
          <w:sz w:val="22"/>
        </w:rPr>
        <w:t xml:space="preserve">By: </w:t>
      </w:r>
      <w:r>
        <w:rPr>
          <w:rFonts w:ascii="Times New Roman;Times;serif" w:hAnsi="Times New Roman;Times;serif"/>
          <w:sz w:val="24"/>
          <w:u w:val="single"/>
        </w:rPr>
        <w:t> </w:t>
      </w:r>
      <w:r>
        <w:rPr>
          <w:rFonts w:ascii="Times New Roman;Times;serif" w:hAnsi="Times New Roman;Times;serif"/>
          <w:sz w:val="22"/>
          <w:u w:val="single"/>
        </w:rPr>
        <w:t>________________                       </w:t>
      </w:r>
    </w:p>
    <w:p>
      <w:pPr>
        <w:pStyle w:val="TextBody"/>
        <w:bidi w:val="0"/>
        <w:spacing w:before="0" w:after="0"/>
        <w:ind w:left="5040" w:right="0" w:hanging="0"/>
        <w:jc w:val="left"/>
        <w:rPr>
          <w:rFonts w:ascii="Times New Roman;Times;serif" w:hAnsi="Times New Roman;Times;serif"/>
          <w:sz w:val="22"/>
        </w:rPr>
      </w:pPr>
      <w:r>
        <w:rPr>
          <w:rFonts w:ascii="Times New Roman;Times;serif" w:hAnsi="Times New Roman;Times;serif"/>
          <w:sz w:val="22"/>
        </w:rPr>
        <w:t>Name: Dennis M. Lanfear</w:t>
      </w:r>
    </w:p>
    <w:p>
      <w:pPr>
        <w:pStyle w:val="TextBody"/>
        <w:bidi w:val="0"/>
        <w:spacing w:before="0" w:after="0"/>
        <w:ind w:left="5040" w:right="0" w:hanging="0"/>
        <w:jc w:val="left"/>
        <w:rPr>
          <w:rFonts w:ascii="Times New Roman;Times;serif" w:hAnsi="Times New Roman;Times;serif"/>
          <w:sz w:val="22"/>
        </w:rPr>
      </w:pPr>
      <w:r>
        <w:rPr>
          <w:rFonts w:ascii="Times New Roman;Times;serif" w:hAnsi="Times New Roman;Times;serif"/>
          <w:sz w:val="22"/>
        </w:rPr>
        <w:t>Title: Chief Executive Officer</w:t>
      </w:r>
    </w:p>
    <w:p>
      <w:pPr>
        <w:pStyle w:val="TextBody"/>
        <w:bidi w:val="0"/>
        <w:spacing w:before="0" w:after="0"/>
        <w:ind w:left="5040" w:right="0" w:hanging="0"/>
        <w:jc w:val="left"/>
        <w:rPr>
          <w:rFonts w:ascii="Times New Roman;Times;serif" w:hAnsi="Times New Roman;Times;serif"/>
          <w:sz w:val="22"/>
        </w:rPr>
      </w:pPr>
      <w:r>
        <w:rPr>
          <w:rFonts w:ascii="Times New Roman;Times;serif" w:hAnsi="Times New Roman;Times;serif"/>
          <w:sz w:val="22"/>
        </w:rPr>
        <w:t>Date:</w:t>
      </w:r>
    </w:p>
    <w:p>
      <w:pPr>
        <w:pStyle w:val="TextBody"/>
        <w:bidi w:val="0"/>
        <w:spacing w:before="0" w:after="0"/>
        <w:ind w:left="0" w:right="0" w:hanging="0"/>
        <w:jc w:val="left"/>
        <w:rPr/>
      </w:pPr>
      <w: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5040" w:right="0" w:hanging="0"/>
        <w:jc w:val="left"/>
        <w:rPr>
          <w:rFonts w:ascii="Times New Roman;Times;serif" w:hAnsi="Times New Roman;Times;serif"/>
          <w:sz w:val="24"/>
        </w:rPr>
      </w:pPr>
      <w:r>
        <w:rPr>
          <w:rFonts w:ascii="Times New Roman;Times;serif" w:hAnsi="Times New Roman;Times;serif"/>
          <w:sz w:val="22"/>
        </w:rPr>
        <w:t xml:space="preserve">By: </w:t>
      </w:r>
      <w:r>
        <w:rPr>
          <w:rFonts w:ascii="Times New Roman;Times;serif" w:hAnsi="Times New Roman;Times;serif"/>
          <w:sz w:val="24"/>
          <w:u w:val="single"/>
        </w:rPr>
        <w:t> </w:t>
      </w:r>
      <w:r>
        <w:rPr>
          <w:rFonts w:ascii="Times New Roman;Times;serif" w:hAnsi="Times New Roman;Times;serif"/>
          <w:sz w:val="22"/>
          <w:u w:val="single"/>
        </w:rPr>
        <w:t>______________                        </w:t>
      </w:r>
    </w:p>
    <w:p>
      <w:pPr>
        <w:pStyle w:val="TextBody"/>
        <w:bidi w:val="0"/>
        <w:spacing w:before="0" w:after="0"/>
        <w:ind w:left="5040" w:right="0" w:hanging="0"/>
        <w:jc w:val="left"/>
        <w:rPr>
          <w:rFonts w:ascii="Times New Roman;Times;serif" w:hAnsi="Times New Roman;Times;serif"/>
          <w:sz w:val="22"/>
        </w:rPr>
      </w:pPr>
      <w:r>
        <w:rPr>
          <w:rFonts w:ascii="Times New Roman;Times;serif" w:hAnsi="Times New Roman;Times;serif"/>
          <w:sz w:val="22"/>
        </w:rPr>
        <w:t>Name: Bryan McMichael</w:t>
      </w:r>
    </w:p>
    <w:p>
      <w:pPr>
        <w:pStyle w:val="TextBody"/>
        <w:bidi w:val="0"/>
        <w:spacing w:before="0" w:after="0"/>
        <w:ind w:left="5040" w:right="0" w:hanging="0"/>
        <w:jc w:val="left"/>
        <w:rPr>
          <w:rFonts w:ascii="Times New Roman;Times;serif" w:hAnsi="Times New Roman;Times;serif"/>
          <w:sz w:val="22"/>
        </w:rPr>
      </w:pPr>
      <w:r>
        <w:rPr>
          <w:rFonts w:ascii="Times New Roman;Times;serif" w:hAnsi="Times New Roman;Times;serif"/>
          <w:sz w:val="22"/>
        </w:rPr>
        <w:t>Title: Chief Financial Officer</w:t>
      </w:r>
    </w:p>
    <w:p>
      <w:pPr>
        <w:pStyle w:val="TextBody"/>
        <w:bidi w:val="0"/>
        <w:spacing w:before="0" w:after="0"/>
        <w:ind w:left="5040" w:right="0" w:hanging="0"/>
        <w:jc w:val="left"/>
        <w:rPr>
          <w:rFonts w:ascii="Times New Roman;Times;serif" w:hAnsi="Times New Roman;Times;serif"/>
          <w:sz w:val="22"/>
        </w:rPr>
      </w:pPr>
      <w:r>
        <w:rPr>
          <w:rFonts w:ascii="Times New Roman;Times;serif" w:hAnsi="Times New Roman;Times;serif"/>
          <w:sz w:val="22"/>
        </w:rPr>
        <w:t>Date:</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r>
        <w:rPr>
          <w:rFonts w:ascii="Times New Roman;Times;serif" w:hAnsi="Times New Roman;Times;serif"/>
          <w:i/>
          <w:sz w:val="22"/>
        </w:rPr>
        <w:t>Company Signature Page to Officers’ Certificate</w:t>
      </w:r>
      <w:r>
        <w:rPr>
          <w:rFonts w:ascii="Times New Roman;Times;serif" w:hAnsi="Times New Roman;Times;serif"/>
          <w:sz w:val="22"/>
        </w:rPr>
        <w:t>]</w:t>
      </w:r>
    </w:p>
    <w:p>
      <w:pPr>
        <w:pStyle w:val="TextBody"/>
        <w:bidi w:val="0"/>
        <w:spacing w:before="0" w:after="0"/>
        <w:ind w:left="0" w:right="0" w:hanging="0"/>
        <w:jc w:val="left"/>
        <w:rPr/>
      </w:pPr>
      <w:r>
        <w:rPr/>
        <w:t>​</w:t>
      </w:r>
      <w:r>
        <mc:AlternateContent>
          <mc:Choice Requires="wps">
            <w:drawing>
              <wp:anchor behindDoc="0" distT="0" distB="0" distL="0" distR="0" simplePos="0" locked="0" layoutInCell="1" allowOverlap="1" relativeHeight="13">
                <wp:simplePos x="0" y="0"/>
                <wp:positionH relativeFrom="page">
                  <wp:posOffset>0</wp:posOffset>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35" w:name="chrs-20260828xex5d1.htm"/>
      <w:bookmarkStart w:id="36" w:name="kschrs20260828xex5d1"/>
      <w:bookmarkEnd w:id="35"/>
      <w:bookmarkEnd w:id="36"/>
      <w:r>
        <w:rPr/>
        <w:t>​</w:t>
      </w:r>
      <w:r>
        <w:br w:type="page"/>
      </w:r>
    </w:p>
    <w:p>
      <w:pPr>
        <w:pStyle w:val="TextBody"/>
        <w:bidi w:val="0"/>
        <w:spacing w:before="0" w:after="0"/>
        <w:ind w:left="0" w:right="0" w:hanging="0"/>
        <w:jc w:val="right"/>
        <w:rPr>
          <w:rFonts w:ascii="Helvetica;sans-serif" w:hAnsi="Helvetica;sans-serif"/>
          <w:b/>
          <w:sz w:val="20"/>
        </w:rPr>
      </w:pPr>
      <w:r>
        <w:rPr>
          <w:rFonts w:ascii="Helvetica;sans-serif" w:hAnsi="Helvetica;sans-serif"/>
          <w:b/>
          <w:sz w:val="20"/>
        </w:rPr>
        <w:t>Exhibit 5.1</w:t>
      </w:r>
    </w:p>
    <w:p>
      <w:pPr>
        <w:pStyle w:val="TextBody"/>
        <w:bidi w:val="0"/>
        <w:spacing w:before="0" w:after="0"/>
        <w:ind w:left="0" w:right="0" w:hanging="0"/>
        <w:jc w:val="left"/>
        <w:rPr/>
      </w:pPr>
      <w:r>
        <w:rPr/>
        <w:t>​</w:t>
      </w:r>
    </w:p>
    <w:p>
      <w:pPr>
        <w:pStyle w:val="TextBody"/>
        <w:bidi w:val="0"/>
        <w:spacing w:before="0" w:after="0"/>
        <w:ind w:left="0" w:right="0" w:hanging="0"/>
        <w:jc w:val="left"/>
        <w:rPr/>
      </w:pPr>
      <w:r>
        <w:rPr/>
        <w:drawing>
          <wp:inline distT="0" distB="0" distL="0" distR="0">
            <wp:extent cx="2286000" cy="15176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2286000" cy="151765"/>
                    </a:xfrm>
                    <a:prstGeom prst="rect">
                      <a:avLst/>
                    </a:prstGeom>
                  </pic:spPr>
                </pic:pic>
              </a:graphicData>
            </a:graphic>
          </wp:inline>
        </w:drawing>
      </w:r>
    </w:p>
    <w:p>
      <w:pPr>
        <w:pStyle w:val="TextBody"/>
        <w:bidi w:val="0"/>
        <w:spacing w:before="0" w:after="0"/>
        <w:ind w:left="0" w:right="0" w:hanging="0"/>
        <w:jc w:val="left"/>
        <w:rPr/>
      </w:pPr>
      <w:r>
        <w:rPr/>
        <w:t>​</w:t>
      </w:r>
    </w:p>
    <w:tbl>
      <w:tblPr>
        <w:tblW w:w="7021" w:type="dxa"/>
        <w:jc w:val="center"/>
        <w:tblInd w:w="0" w:type="dxa"/>
        <w:tblLayout w:type="fixed"/>
        <w:tblCellMar>
          <w:top w:w="0" w:type="dxa"/>
          <w:left w:w="0" w:type="dxa"/>
          <w:bottom w:w="0" w:type="dxa"/>
          <w:right w:w="0" w:type="dxa"/>
        </w:tblCellMar>
      </w:tblPr>
      <w:tblGrid>
        <w:gridCol w:w="3061"/>
        <w:gridCol w:w="1638"/>
        <w:gridCol w:w="2322"/>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943735" cy="175260"/>
                      <wp:effectExtent l="0" t="0" r="0" b="0"/>
                      <wp:wrapNone/>
                      <wp:docPr id="12" name="Frame11"/>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040130" cy="175260"/>
                      <wp:effectExtent l="0" t="0" r="0" b="0"/>
                      <wp:wrapNone/>
                      <wp:docPr id="13" name="Frame12"/>
                      <a:graphic xmlns:a="http://schemas.openxmlformats.org/drawingml/2006/main">
                        <a:graphicData uri="http://schemas.microsoft.com/office/word/2010/wordprocessingShape">
                          <wps:wsp>
                            <wps:cNvSpPr txBox="1"/>
                            <wps:spPr>
                              <a:xfrm>
                                <a:off x="0" y="0"/>
                                <a:ext cx="1040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74470" cy="175260"/>
                      <wp:effectExtent l="0" t="0" r="0" b="0"/>
                      <wp:wrapNone/>
                      <wp:docPr id="14" name="Frame13"/>
                      <a:graphic xmlns:a="http://schemas.openxmlformats.org/drawingml/2006/main">
                        <a:graphicData uri="http://schemas.microsoft.com/office/word/2010/wordprocessingShape">
                          <wps:wsp>
                            <wps:cNvSpPr txBox="1"/>
                            <wps:spPr>
                              <a:xfrm>
                                <a:off x="0" y="0"/>
                                <a:ext cx="147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9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sans-serif" w:hAnsi="Helvetica;sans-serif"/>
                <w:sz w:val="20"/>
              </w:rPr>
              <w:t>650 Town Center Drive, 20</w:t>
            </w:r>
            <w:r>
              <w:rPr>
                <w:rFonts w:ascii="Helvetica;sans-serif" w:hAnsi="Helvetica;sans-serif"/>
                <w:sz w:val="15"/>
              </w:rPr>
              <w:t>th</w:t>
            </w:r>
            <w:r>
              <w:rPr>
                <w:rFonts w:ascii="Times New Roman;Times;serif" w:hAnsi="Times New Roman;Times;serif"/>
                <w:sz w:val="20"/>
              </w:rPr>
              <w:t xml:space="preserve"> </w:t>
            </w:r>
            <w:r>
              <w:rPr>
                <w:rFonts w:ascii="Helvetica;sans-serif" w:hAnsi="Helvetica;sans-serif"/>
                <w:sz w:val="20"/>
              </w:rPr>
              <w:t>Floor</w:t>
            </w:r>
          </w:p>
        </w:tc>
      </w:tr>
      <w:tr>
        <w:trPr/>
        <w:tc>
          <w:tcPr>
            <w:tcW w:w="3061" w:type="dxa"/>
            <w:tcBorders/>
            <w:vAlign w:val="center"/>
          </w:tcPr>
          <w:p>
            <w:pPr>
              <w:pStyle w:val="TableContents"/>
              <w:bidi w:val="0"/>
              <w:spacing w:before="0" w:after="0"/>
              <w:ind w:left="0" w:right="0" w:hanging="0"/>
              <w:jc w:val="left"/>
              <w:rPr/>
            </w:pPr>
            <w:r>
              <w:rPr/>
              <w:t>​</w:t>
            </w:r>
          </w:p>
        </w:tc>
        <w:tc>
          <w:tcPr>
            <w:tcW w:w="3960" w:type="dxa"/>
            <w:gridSpan w:val="2"/>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Costa Mesa, California 92626-1925</w:t>
            </w:r>
          </w:p>
        </w:tc>
      </w:tr>
      <w:tr>
        <w:trPr/>
        <w:tc>
          <w:tcPr>
            <w:tcW w:w="3061" w:type="dxa"/>
            <w:tcBorders/>
            <w:vAlign w:val="center"/>
          </w:tcPr>
          <w:p>
            <w:pPr>
              <w:pStyle w:val="TableContents"/>
              <w:bidi w:val="0"/>
              <w:spacing w:before="0" w:after="0"/>
              <w:ind w:left="0" w:right="0" w:hanging="0"/>
              <w:jc w:val="left"/>
              <w:rPr/>
            </w:pPr>
            <w:r>
              <w:rPr/>
              <w:t>​</w:t>
            </w:r>
          </w:p>
        </w:tc>
        <w:tc>
          <w:tcPr>
            <w:tcW w:w="3960" w:type="dxa"/>
            <w:gridSpan w:val="2"/>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Tel: +1.715.540.1235 Fax: +1.714.755.8290</w:t>
            </w:r>
          </w:p>
        </w:tc>
      </w:tr>
      <w:tr>
        <w:trPr/>
        <w:tc>
          <w:tcPr>
            <w:tcW w:w="3061" w:type="dxa"/>
            <w:tcBorders/>
            <w:vAlign w:val="center"/>
          </w:tcPr>
          <w:p>
            <w:pPr>
              <w:pStyle w:val="TableContents"/>
              <w:bidi w:val="0"/>
              <w:spacing w:before="0" w:after="0"/>
              <w:ind w:left="0" w:right="0" w:hanging="0"/>
              <w:jc w:val="left"/>
              <w:rPr/>
            </w:pPr>
            <w:r>
              <w:rPr/>
              <w:t>​</w:t>
            </w:r>
          </w:p>
        </w:tc>
        <w:tc>
          <w:tcPr>
            <w:tcW w:w="3960" w:type="dxa"/>
            <w:gridSpan w:val="2"/>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www.lw.com</w:t>
            </w:r>
          </w:p>
        </w:tc>
      </w:tr>
      <w:tr>
        <w:trPr/>
        <w:tc>
          <w:tcPr>
            <w:tcW w:w="3061" w:type="dxa"/>
            <w:tcBorders/>
            <w:vAlign w:val="center"/>
          </w:tcPr>
          <w:p>
            <w:pPr>
              <w:pStyle w:val="TableContents"/>
              <w:bidi w:val="0"/>
              <w:spacing w:before="0" w:after="0"/>
              <w:ind w:left="0" w:right="0" w:hanging="0"/>
              <w:jc w:val="left"/>
              <w:rPr/>
            </w:pPr>
            <w:r>
              <w:rPr/>
              <w:t>​</w:t>
            </w:r>
          </w:p>
        </w:tc>
        <w:tc>
          <w:tcPr>
            <w:tcW w:w="3960" w:type="dxa"/>
            <w:gridSpan w:val="2"/>
            <w:tcBorders/>
            <w:vAlign w:val="center"/>
          </w:tcPr>
          <w:p>
            <w:pPr>
              <w:pStyle w:val="TableContents"/>
              <w:bidi w:val="0"/>
              <w:spacing w:before="0" w:after="0"/>
              <w:ind w:left="0" w:right="0" w:hanging="0"/>
              <w:jc w:val="left"/>
              <w:rPr/>
            </w:pPr>
            <w:r>
              <w:rPr/>
              <w:t>​</w:t>
            </w:r>
          </w:p>
        </w:tc>
      </w:tr>
      <w:tr>
        <w:trPr/>
        <w:tc>
          <w:tcPr>
            <w:tcW w:w="3061" w:type="dxa"/>
            <w:tcBorders/>
            <w:vAlign w:val="center"/>
          </w:tcPr>
          <w:p>
            <w:pPr>
              <w:pStyle w:val="TableContents"/>
              <w:bidi w:val="0"/>
              <w:spacing w:before="0" w:after="0"/>
              <w:ind w:left="0" w:right="0" w:hanging="0"/>
              <w:jc w:val="left"/>
              <w:rPr/>
            </w:pPr>
            <w:r>
              <w:rPr/>
              <w:t>​</w:t>
            </w:r>
          </w:p>
        </w:tc>
        <w:tc>
          <w:tcPr>
            <w:tcW w:w="3960" w:type="dxa"/>
            <w:gridSpan w:val="2"/>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FIRM / AFFILIATE OFFICES</w:t>
            </w:r>
          </w:p>
        </w:tc>
      </w:tr>
      <w:tr>
        <w:trPr/>
        <w:tc>
          <w:tcPr>
            <w:tcW w:w="306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Austin</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Milan</w:t>
            </w:r>
          </w:p>
        </w:tc>
      </w:tr>
      <w:tr>
        <w:trPr/>
        <w:tc>
          <w:tcPr>
            <w:tcW w:w="306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Beijing</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Munich</w:t>
            </w:r>
          </w:p>
        </w:tc>
      </w:tr>
      <w:tr>
        <w:trPr/>
        <w:tc>
          <w:tcPr>
            <w:tcW w:w="306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Boston</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New York</w:t>
            </w:r>
          </w:p>
        </w:tc>
      </w:tr>
      <w:tr>
        <w:trPr/>
        <w:tc>
          <w:tcPr>
            <w:tcW w:w="306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Brussels</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Orange County</w:t>
            </w:r>
          </w:p>
        </w:tc>
      </w:tr>
      <w:tr>
        <w:trPr/>
        <w:tc>
          <w:tcPr>
            <w:tcW w:w="306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Chicago</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Paris</w:t>
            </w:r>
          </w:p>
        </w:tc>
      </w:tr>
      <w:tr>
        <w:trPr/>
        <w:tc>
          <w:tcPr>
            <w:tcW w:w="306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Dubai</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Riyadh</w:t>
            </w:r>
          </w:p>
        </w:tc>
      </w:tr>
      <w:tr>
        <w:trPr/>
        <w:tc>
          <w:tcPr>
            <w:tcW w:w="306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August 28, 2026</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Düsseldorf</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San Diego</w:t>
            </w:r>
          </w:p>
        </w:tc>
      </w:tr>
      <w:tr>
        <w:trPr/>
        <w:tc>
          <w:tcPr>
            <w:tcW w:w="306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Frankfurt</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San Francisco</w:t>
            </w:r>
          </w:p>
        </w:tc>
      </w:tr>
      <w:tr>
        <w:trPr/>
        <w:tc>
          <w:tcPr>
            <w:tcW w:w="306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Hamburg</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Seoul</w:t>
            </w:r>
          </w:p>
        </w:tc>
      </w:tr>
      <w:tr>
        <w:trPr/>
        <w:tc>
          <w:tcPr>
            <w:tcW w:w="306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Coherus Oncology, Inc.</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Hong Kong</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Silicon Valley</w:t>
            </w:r>
          </w:p>
        </w:tc>
      </w:tr>
      <w:tr>
        <w:trPr/>
        <w:tc>
          <w:tcPr>
            <w:tcW w:w="306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333 Twin Dolphin Drive, Suite 600</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Houston</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Singapore</w:t>
            </w:r>
          </w:p>
        </w:tc>
      </w:tr>
      <w:tr>
        <w:trPr/>
        <w:tc>
          <w:tcPr>
            <w:tcW w:w="306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Redwood City, CA 94065</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London</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Tel Aviv</w:t>
            </w:r>
          </w:p>
        </w:tc>
      </w:tr>
      <w:tr>
        <w:trPr/>
        <w:tc>
          <w:tcPr>
            <w:tcW w:w="306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Los Angeles</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Tokyo</w:t>
            </w:r>
          </w:p>
        </w:tc>
      </w:tr>
      <w:tr>
        <w:trPr/>
        <w:tc>
          <w:tcPr>
            <w:tcW w:w="306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Madrid</w:t>
            </w:r>
          </w:p>
        </w:tc>
        <w:tc>
          <w:tcPr>
            <w:tcW w:w="2322"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Washington, D.C.</w:t>
            </w:r>
          </w:p>
        </w:tc>
      </w:tr>
      <w:tr>
        <w:trPr/>
        <w:tc>
          <w:tcPr>
            <w:tcW w:w="3061" w:type="dxa"/>
            <w:tcBorders/>
            <w:vAlign w:val="center"/>
          </w:tcPr>
          <w:p>
            <w:pPr>
              <w:pStyle w:val="TableContents"/>
              <w:bidi w:val="0"/>
              <w:spacing w:before="0" w:after="0"/>
              <w:ind w:left="0" w:right="0" w:hanging="0"/>
              <w:jc w:val="left"/>
              <w:rPr/>
            </w:pPr>
            <w:r>
              <w:rPr/>
              <w:t>​</w:t>
            </w:r>
          </w:p>
        </w:tc>
        <w:tc>
          <w:tcPr>
            <w:tcW w:w="1638" w:type="dxa"/>
            <w:tcBorders/>
            <w:vAlign w:val="center"/>
          </w:tcPr>
          <w:p>
            <w:pPr>
              <w:pStyle w:val="TableContents"/>
              <w:bidi w:val="0"/>
              <w:spacing w:before="0" w:after="0"/>
              <w:ind w:left="0" w:right="0" w:hanging="0"/>
              <w:jc w:val="left"/>
              <w:rPr/>
            </w:pPr>
            <w:r>
              <w:rPr/>
              <w:t>​</w:t>
            </w:r>
          </w:p>
        </w:tc>
        <w:tc>
          <w:tcPr>
            <w:tcW w:w="232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20"/>
        </w:rPr>
      </w:pPr>
      <w:r>
        <w:rPr>
          <w:rFonts w:ascii="Helvetica;sans-serif" w:hAnsi="Helvetica;sans-serif"/>
          <w:sz w:val="20"/>
        </w:rPr>
        <w:t>Re:    </w:t>
      </w:r>
      <w:r>
        <w:rPr>
          <w:rFonts w:ascii="Helvetica;sans-serif" w:hAnsi="Helvetica;sans-serif"/>
          <w:sz w:val="20"/>
          <w:u w:val="single"/>
        </w:rPr>
        <w:t>S</w:t>
      </w:r>
      <w:r>
        <w:rPr>
          <w:rFonts w:ascii="Times New Roman;Times;serif" w:hAnsi="Times New Roman;Times;serif"/>
          <w:sz w:val="20"/>
          <w:u w:val="single"/>
        </w:rPr>
        <w:t>hares of Common Stock, $0.0001 par value per share, having an aggregate offering price of up to $50,000,000</w:t>
      </w:r>
    </w:p>
    <w:p>
      <w:pPr>
        <w:pStyle w:val="TextBody"/>
        <w:bidi w:val="0"/>
        <w:spacing w:before="0" w:after="0"/>
        <w:ind w:left="0" w:right="0" w:hanging="0"/>
        <w:jc w:val="both"/>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To the addressee set forth above: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acted as special counsel to Coherus Oncology, Inc., a Delaware corporation (the “</w:t>
      </w:r>
      <w:r>
        <w:rPr>
          <w:rFonts w:ascii="Times New Roman;Times;serif" w:hAnsi="Times New Roman;Times;serif"/>
          <w:b/>
          <w:i/>
          <w:sz w:val="20"/>
        </w:rPr>
        <w:t>Company</w:t>
      </w:r>
      <w:r>
        <w:rPr>
          <w:rFonts w:ascii="Times New Roman;Times;serif" w:hAnsi="Times New Roman;Times;serif"/>
          <w:sz w:val="20"/>
        </w:rPr>
        <w:t>”), in connection with the proposed issuance from time to time of shares of common stock of the Company, $0.0001 par value per share (the “</w:t>
      </w:r>
      <w:r>
        <w:rPr>
          <w:rFonts w:ascii="Times New Roman;Times;serif" w:hAnsi="Times New Roman;Times;serif"/>
          <w:b/>
          <w:i/>
          <w:sz w:val="20"/>
        </w:rPr>
        <w:t>Common Stock</w:t>
      </w:r>
      <w:r>
        <w:rPr>
          <w:rFonts w:ascii="Times New Roman;Times;serif" w:hAnsi="Times New Roman;Times;serif"/>
          <w:sz w:val="20"/>
        </w:rPr>
        <w:t>”), with an aggregate offering price of up to $50,000,000 (the “</w:t>
      </w:r>
      <w:r>
        <w:rPr>
          <w:rFonts w:ascii="Times New Roman;Times;serif" w:hAnsi="Times New Roman;Times;serif"/>
          <w:b/>
          <w:i/>
          <w:sz w:val="20"/>
        </w:rPr>
        <w:t>Shares</w:t>
      </w:r>
      <w:r>
        <w:rPr>
          <w:rFonts w:ascii="Times New Roman;Times;serif" w:hAnsi="Times New Roman;Times;serif"/>
          <w:sz w:val="20"/>
        </w:rPr>
        <w:t>”). The Shares are included in a registration statement on Form S-3 under the Securities Act of 1933, as amended (the “Act”), filed with the Securities and Exchange Commission (the “</w:t>
      </w:r>
      <w:r>
        <w:rPr>
          <w:rFonts w:ascii="Times New Roman;Times;serif" w:hAnsi="Times New Roman;Times;serif"/>
          <w:b/>
          <w:i/>
          <w:sz w:val="20"/>
        </w:rPr>
        <w:t>Commission</w:t>
      </w:r>
      <w:r>
        <w:rPr>
          <w:rFonts w:ascii="Times New Roman;Times;serif" w:hAnsi="Times New Roman;Times;serif"/>
          <w:sz w:val="20"/>
        </w:rPr>
        <w:t>”) on November 13, 2025 (Registration No. 333-291520) (the “</w:t>
      </w:r>
      <w:r>
        <w:rPr>
          <w:rFonts w:ascii="Times New Roman;Times;serif" w:hAnsi="Times New Roman;Times;serif"/>
          <w:b/>
          <w:i/>
          <w:sz w:val="20"/>
        </w:rPr>
        <w:t>Registration Statement</w:t>
      </w:r>
      <w:r>
        <w:rPr>
          <w:rFonts w:ascii="Times New Roman;Times;serif" w:hAnsi="Times New Roman;Times;serif"/>
          <w:sz w:val="20"/>
        </w:rPr>
        <w:t>”) and are being offered pursuant to a base prospectus dated December 8, 2025 (the “</w:t>
      </w:r>
      <w:r>
        <w:rPr>
          <w:rFonts w:ascii="Times New Roman;Times;serif" w:hAnsi="Times New Roman;Times;serif"/>
          <w:b/>
          <w:i/>
          <w:sz w:val="20"/>
        </w:rPr>
        <w:t>Base Prospectus</w:t>
      </w:r>
      <w:r>
        <w:rPr>
          <w:rFonts w:ascii="Times New Roman;Times;serif" w:hAnsi="Times New Roman;Times;serif"/>
          <w:sz w:val="20"/>
        </w:rPr>
        <w:t>”) and a prospectus supplement dated August 28, 2026 filed with the Commission pursuant to Rule 424(b) under the Act (together with the Base Prospectus, the “</w:t>
      </w:r>
      <w:r>
        <w:rPr>
          <w:rFonts w:ascii="Times New Roman;Times;serif" w:hAnsi="Times New Roman;Times;serif"/>
          <w:b/>
          <w:i/>
          <w:sz w:val="20"/>
        </w:rPr>
        <w:t>Prospectus</w:t>
      </w:r>
      <w:r>
        <w:rPr>
          <w:rFonts w:ascii="Times New Roman;Times;serif" w:hAnsi="Times New Roman;Times;serif"/>
          <w:sz w:val="20"/>
        </w:rPr>
        <w:t>”). The Shares are being sold pursuant to a Sales Agreement, dated August 28, 2026, by and between the Company and Leerink Partners LLC (the “</w:t>
      </w:r>
      <w:r>
        <w:rPr>
          <w:rFonts w:ascii="Times New Roman;Times;serif" w:hAnsi="Times New Roman;Times;serif"/>
          <w:b/>
          <w:i/>
          <w:sz w:val="20"/>
        </w:rPr>
        <w:t>Sales Agreement</w:t>
      </w:r>
      <w:r>
        <w:rPr>
          <w:rFonts w:ascii="Times New Roman;Times;serif" w:hAnsi="Times New Roman;Times;serif"/>
          <w:sz w:val="20"/>
        </w:rPr>
        <w:t xml:space="preserve">”).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Times;serif" w:hAnsi="Times New Roman;Times;serif"/>
          <w:b/>
          <w:i/>
          <w:sz w:val="20"/>
        </w:rPr>
        <w:t>DGCL</w:t>
      </w:r>
      <w:r>
        <w:rPr>
          <w:rFonts w:ascii="Times New Roman;Times;serif" w:hAnsi="Times New Roman;Times;serif"/>
          <w:sz w:val="20"/>
        </w:rPr>
        <w:t>”), and we express no opinion with respect to the applicability thereto, or the effect thereon, of the laws of any other jurisdiction or, in the case of Delaware, any other laws, or as to any matters of municipal law or the laws of any local agencies within any state.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Subject to the foregoing and the other matters set forth herein, it is our opinion that, as of the date hereof, upon the completion of all Corporate Proceedings (as defined below) relating to the Shares, when the Shares shall have been duly registered on the books of the transfer agent and registrar therefor in the name or on behalf of the purchasers, or certificates representing the Shares have been manually signed by an authorized officer of the transfer agent and registrar therefor, upon issuance, delivery and payment therefor (not less than par value) in accordance with the Corporate Proceedings and the circumstances contemplated by the Sales Agreement, the issue and sale of the Shares will have been duly authorized by all necessary corporate action of the Company and the Shares will be validly issued, fully paid and nonassessable. In rendering the foregoing opinion, we have assumed that (i) the Company will comply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Helvetica;sans-serif" w:hAnsi="Helvetica;sans-serif"/>
          <w:sz w:val="14"/>
        </w:rPr>
      </w:pPr>
      <w:r>
        <w:rPr>
          <w:rFonts w:ascii="Helvetica;sans-serif" w:hAnsi="Helvetica;sans-serif"/>
          <w:sz w:val="14"/>
        </w:rPr>
        <w:t>August 28, 2026</w:t>
      </w:r>
    </w:p>
    <w:p>
      <w:pPr>
        <w:pStyle w:val="TextBody"/>
        <w:bidi w:val="0"/>
        <w:spacing w:before="0" w:after="0"/>
        <w:ind w:left="0" w:right="0" w:hanging="0"/>
        <w:jc w:val="left"/>
        <w:rPr>
          <w:rFonts w:ascii="Helvetica;sans-serif" w:hAnsi="Helvetica;sans-serif"/>
          <w:sz w:val="14"/>
        </w:rPr>
      </w:pPr>
      <w:r>
        <w:rPr>
          <w:rFonts w:ascii="Helvetica;sans-serif" w:hAnsi="Helvetica;sans-serif"/>
          <w:sz w:val="14"/>
        </w:rPr>
        <w:t>Page 2</w:t>
      </w:r>
    </w:p>
    <w:p>
      <w:pPr>
        <w:pStyle w:val="TextBody"/>
        <w:bidi w:val="0"/>
        <w:spacing w:before="0" w:after="0"/>
        <w:ind w:left="0" w:right="0" w:hanging="0"/>
        <w:jc w:val="left"/>
        <w:rPr/>
      </w:pPr>
      <w:r>
        <w:rPr/>
        <w:t>​</w:t>
      </w:r>
    </w:p>
    <w:p>
      <w:pPr>
        <w:pStyle w:val="TextBody"/>
        <w:bidi w:val="0"/>
        <w:spacing w:before="0" w:after="0"/>
        <w:ind w:left="0" w:right="0" w:hanging="0"/>
        <w:jc w:val="left"/>
        <w:rPr/>
      </w:pPr>
      <w:r>
        <w:rPr/>
        <w:drawing>
          <wp:inline distT="0" distB="0" distL="0" distR="0">
            <wp:extent cx="1600200" cy="106045"/>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1600200" cy="10604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 all applicable notice requirements regarding uncertificated shares provided in the DGCL, (ii) upon the issue of any of the Shares, the total number of shares of Common Stock issued and outstanding will not exceed the total number of shares of Common Stock that the Company is then authorized to issue under its certificate of incorporation and (iii) certain terms of the Shares to be issued by the Company from time to time will be authorized and approved by the board of directors (the “</w:t>
      </w:r>
      <w:r>
        <w:rPr>
          <w:rFonts w:ascii="Times New Roman;Times;serif" w:hAnsi="Times New Roman;Times;serif"/>
          <w:b/>
          <w:i/>
          <w:sz w:val="20"/>
        </w:rPr>
        <w:t>Board</w:t>
      </w:r>
      <w:r>
        <w:rPr>
          <w:rFonts w:ascii="Times New Roman;Times;serif" w:hAnsi="Times New Roman;Times;serif"/>
          <w:sz w:val="20"/>
        </w:rPr>
        <w:t>”) of the Company or one or more committees thereof established by the Board, or other person or body designated by the Board or one or more committees thereof, as having the authority to issue and sell Shares pursuant to the Sales Agreement in accordance with the DGCL, the certificate of incorporation and the bylaws of the Company and certain resolutions of the Board and one or more committees thereof (with such approvals referred to herein as the “</w:t>
      </w:r>
      <w:r>
        <w:rPr>
          <w:rFonts w:ascii="Times New Roman;Times;serif" w:hAnsi="Times New Roman;Times;serif"/>
          <w:b/>
          <w:i/>
          <w:sz w:val="20"/>
        </w:rPr>
        <w:t>Corporate Proceedings</w:t>
      </w:r>
      <w:r>
        <w:rPr>
          <w:rFonts w:ascii="Times New Roman;Times;serif" w:hAnsi="Times New Roman;Times;serif"/>
          <w:sz w:val="20"/>
        </w:rPr>
        <w:t>”) prior to issuance thereof.</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opinion is for your benefit in connection with the Registration Statement and may be relied upon by you and by persons entitled to rely upon it pursuant to the applicable provisions of the Act. We consent to your filing this opinion as an exhibit to the Company’s Current Report on Form 8-K dated August 28, 2026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pStyle w:val="TextBody"/>
        <w:bidi w:val="0"/>
        <w:spacing w:before="0" w:after="0"/>
        <w:ind w:left="0" w:right="0" w:hanging="0"/>
        <w:jc w:val="both"/>
        <w:rPr/>
      </w:pPr>
      <w:r>
        <w:rPr/>
        <w:t>​</w:t>
      </w:r>
    </w:p>
    <w:p>
      <w:pPr>
        <w:pStyle w:val="TextBody"/>
        <w:bidi w:val="0"/>
        <w:spacing w:before="0" w:after="240"/>
        <w:ind w:left="3600" w:right="0" w:firstLine="720"/>
        <w:jc w:val="left"/>
        <w:rPr>
          <w:rFonts w:ascii="Helvetica;sans-serif" w:hAnsi="Helvetica;sans-serif"/>
          <w:sz w:val="20"/>
        </w:rPr>
      </w:pPr>
      <w:r>
        <w:rPr>
          <w:rFonts w:ascii="Helvetica;sans-serif" w:hAnsi="Helvetica;sans-serif"/>
          <w:sz w:val="20"/>
        </w:rPr>
        <w:t>Sincerely,</w:t>
      </w:r>
    </w:p>
    <w:p>
      <w:pPr>
        <w:pStyle w:val="TextBody"/>
        <w:bidi w:val="0"/>
        <w:spacing w:before="0" w:after="0"/>
        <w:ind w:left="4320" w:right="0" w:hanging="0"/>
        <w:jc w:val="left"/>
        <w:rPr>
          <w:rFonts w:ascii="Times New Roman;Times;serif" w:hAnsi="Times New Roman;Times;serif"/>
          <w:sz w:val="20"/>
        </w:rPr>
      </w:pPr>
      <w:r>
        <w:rPr>
          <w:rFonts w:ascii="Helvetica;sans-serif" w:hAnsi="Helvetica;sans-serif"/>
          <w:sz w:val="20"/>
        </w:rPr>
        <w:t>/s/ Latham &amp; Watkins LLP</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28127</Words>
  <Characters>148438</Characters>
  <CharactersWithSpaces>176770</CharactersWithSpaces>
  <Paragraphs>820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