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Coherus Oncology,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Thomas A. Satterfield, Jr.</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8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865,000.00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6,065,000.00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865,000.00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6,065,000.00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6,930,000.00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100" w:space="60"/>
            <w:col w:w="9580"/>
          </w:cols>
          <w:pgMar w:left="320" w:top="111" w:right="839" w:bottom="0" w:gutter="0" w:footer="0" w:header="0"/>
        </w:sectPr>
      </w:pPr>
    </w:p>
    <w:p>
      <w:pPr>
        <w:spacing w:after="0" w:line="7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 Based on 149,889,902 shares of common stock of the issuer outstanding as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February 28, 2026, as reported by the issuer on its Annual Report on Form 10-K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Coherus Oncology,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333 Twin Dolphin Drive, Suite 600, Redwood City, CA 94065</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Thomas A. Satterfield, Jr.</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15 Colley Cove Drive Gulf Breeze, FL 32561</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Incorporated by reference from Item 4 of the Cover Page.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Common Stock, $0.0001 par value per share</w:t>
      </w:r>
    </w:p>
    <w:p>
      <w:pPr>
        <w:ind w:left="960" w:hanging="912"/>
        <w:spacing w:after="0" w:line="180" w:lineRule="auto"/>
        <w:tabs>
          <w:tab w:leader="none" w:pos="96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60" w:hanging="912"/>
        <w:spacing w:after="0"/>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ectPr>
          <w:pgSz w:w="11900" w:h="16838" w:orient="portrait"/>
          <w:cols w:equalWidth="0" w:num="1">
            <w:col w:w="10740"/>
          </w:cols>
          <w:pgMar w:left="320" w:top="111" w:right="83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1"/>
          <w:szCs w:val="21"/>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Incorporated by reference from Item 9 of the Cover Page.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Incorporated by reference from Item 11 of the Cover Page. %</w:t>
      </w:r>
    </w:p>
    <w:p>
      <w:pPr>
        <w:spacing w:after="0" w:line="44" w:lineRule="exact"/>
        <w:rPr>
          <w:sz w:val="20"/>
          <w:szCs w:val="20"/>
          <w:color w:val="auto"/>
        </w:rPr>
      </w:pPr>
    </w:p>
    <w:p>
      <w:pPr>
        <w:sectPr>
          <w:pgSz w:w="11900" w:h="16838" w:orient="portrait"/>
          <w:cols w:equalWidth="0" w:num="2">
            <w:col w:w="620" w:space="300"/>
            <w:col w:w="10220"/>
          </w:cols>
          <w:pgMar w:left="360" w:top="111" w:right="399" w:bottom="0" w:gutter="0" w:footer="0" w:header="0"/>
        </w:sect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Incorporated by reference from Item 5 of the Cover Page.</w:t>
      </w:r>
    </w:p>
    <w:p>
      <w:pPr>
        <w:spacing w:after="0" w:line="287" w:lineRule="exact"/>
        <w:rPr>
          <w:sz w:val="20"/>
          <w:szCs w:val="20"/>
          <w:color w:val="auto"/>
        </w:rPr>
      </w:pPr>
    </w:p>
    <w:p>
      <w:pPr>
        <w:ind w:left="920" w:right="5240" w:firstLine="6"/>
        <w:spacing w:after="0" w:line="509" w:lineRule="auto"/>
        <w:tabs>
          <w:tab w:leader="none" w:pos="1238"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vote or to direct the vote: Incorporated by reference from Item 6 of the Cover Page.</w:t>
      </w:r>
    </w:p>
    <w:p>
      <w:pPr>
        <w:spacing w:after="0" w:line="1" w:lineRule="exact"/>
        <w:rPr>
          <w:rFonts w:ascii="Times New Roman" w:cs="Times New Roman" w:eastAsia="Times New Roman" w:hAnsi="Times New Roman"/>
          <w:sz w:val="21"/>
          <w:szCs w:val="21"/>
          <w:color w:val="auto"/>
        </w:rPr>
      </w:pPr>
    </w:p>
    <w:p>
      <w:pPr>
        <w:ind w:left="920" w:right="5240" w:firstLine="6"/>
        <w:spacing w:after="0" w:line="509" w:lineRule="auto"/>
        <w:tabs>
          <w:tab w:leader="none" w:pos="1298"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dispose or to direct the disposition of: Incorporated by reference from Item 7 of the Cover Page.</w:t>
      </w:r>
    </w:p>
    <w:p>
      <w:pPr>
        <w:spacing w:after="0" w:line="1" w:lineRule="exact"/>
        <w:rPr>
          <w:rFonts w:ascii="Times New Roman" w:cs="Times New Roman" w:eastAsia="Times New Roman" w:hAnsi="Times New Roman"/>
          <w:sz w:val="21"/>
          <w:szCs w:val="21"/>
          <w:color w:val="auto"/>
        </w:rPr>
      </w:pPr>
    </w:p>
    <w:p>
      <w:pPr>
        <w:ind w:left="920" w:right="5120" w:firstLine="6"/>
        <w:spacing w:after="0" w:line="509" w:lineRule="auto"/>
        <w:tabs>
          <w:tab w:leader="none" w:pos="1286"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dispose or to direct the disposition of: Incorporated by reference from Item 8 of the Cover Page.</w:t>
      </w:r>
    </w:p>
    <w:p>
      <w:pPr>
        <w:spacing w:after="0" w:line="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ectPr>
          <w:pgSz w:w="11900" w:h="16838" w:orient="portrait"/>
          <w:cols w:equalWidth="0" w:num="1">
            <w:col w:w="11140"/>
          </w:cols>
          <w:pgMar w:left="360" w:top="111" w:right="399" w:bottom="0" w:gutter="0" w:footer="0" w:header="0"/>
          <w:type w:val="continuous"/>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color w:val="auto"/>
        </w:rPr>
        <w:t>With respect to the beneficial ownership reported for Thomas A. Satterfield, Jr., 115,000 shares are held jointly with Rebecca S. Satterfield, Mr. Satterfield's spouse; 800,000 shares are held by Tomsat Investment &amp; Trading Co., Inc., a corporation controlled by Mr. Satterfield and of which he serves as President; 2,100,000 shares are held by Caldwell Mill Opportunity Fund, which fund is managed by an entity of which Mr. Satterfield owns a 50% interest and serves as Chief Investment Manager; and 1,750,000 shares are held by A.G. Family L.P., a partnership managed by a general partner controlled by Mr. Satterfield. Additionally, Mr. Satterfield has limited powers of attorney for voting and disposition purposes with respect to the following shares: Thomas A. Satterfield, Sr. (400,000 shares); Rebecca S. Satterfield (100,000); Parker Satterfield (32,000 shares); Jeanette Satterfield Kaiser (230,000 shares); Richard W. Kaiser (100,000 shares); Parker Little Trust (20,000 shares); Lola Little Trust (20,000 shares); Milyn Little (25,000); Henry Beck (75,000 shares); Pam Beck (20,000); John and Angela Picton (100,000); Christy Beard (20,000); Paula and Gene Colley (75,000); Glenna and Jesse Colley (75,000); Alex Flannery (4,000); and Camile Richards (4,000). These individuals and entities have the right to receive or the power to direct the receipt of the proceeds from the sale of their respective shares.</w:t>
      </w:r>
    </w:p>
    <w:p>
      <w:pPr>
        <w:spacing w:after="0" w:line="20"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ectPr>
          <w:pgSz w:w="11900" w:h="16838" w:orient="portrait"/>
          <w:cols w:equalWidth="0" w:num="2">
            <w:col w:w="620" w:space="300"/>
            <w:col w:w="10220"/>
          </w:cols>
          <w:pgMar w:left="360" w:top="111" w:right="399" w:bottom="0" w:gutter="0" w:footer="0" w:header="0"/>
          <w:type w:val="continuous"/>
        </w:sectPr>
      </w:pPr>
    </w:p>
    <w:bookmarkStart w:id="3" w:name="page4"/>
    <w:bookmarkEnd w:id="3"/>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22"/>
          <w:szCs w:val="22"/>
          <w:color w:val="auto"/>
        </w:rPr>
        <w:t>Thomas A. Satterfield, Jr.</w:t>
      </w:r>
    </w:p>
    <w:p>
      <w:pPr>
        <w:spacing w:after="0" w:line="152" w:lineRule="exact"/>
        <w:rPr>
          <w:sz w:val="20"/>
          <w:szCs w:val="20"/>
          <w:color w:val="auto"/>
        </w:rPr>
      </w:pPr>
    </w:p>
    <w:p>
      <w:pPr>
        <w:ind w:left="3760"/>
        <w:spacing w:after="0"/>
        <w:tabs>
          <w:tab w:leader="none" w:pos="4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Thomas A. Satterfield, Jr.</w:t>
      </w:r>
    </w:p>
    <w:p>
      <w:pPr>
        <w:spacing w:after="0" w:line="4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color w:val="auto"/>
        </w:rPr>
        <w:t>Name/Title: Thomas A. Satterfield, Jr.</w:t>
      </w:r>
    </w:p>
    <w:p>
      <w:pPr>
        <w:spacing w:after="0" w:line="44" w:lineRule="exact"/>
        <w:rPr>
          <w:sz w:val="20"/>
          <w:szCs w:val="20"/>
          <w:color w:val="auto"/>
        </w:rPr>
      </w:pPr>
    </w:p>
    <w:p>
      <w:pPr>
        <w:ind w:left="3760"/>
        <w:spacing w:after="0"/>
        <w:tabs>
          <w:tab w:leader="none" w:pos="48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5"/>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2026-04-29T20:04:52Z</dcterms:created>
  <dcterms:modified xsi:type="dcterms:W3CDTF">2026-04-29T20:04:52Z</dcterms:modified>
</cp:coreProperties>
</file>