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0"/>
        <w:ind w:left="0" w:right="0" w:hanging="0"/>
        <w:jc w:val="center"/>
        <w:rPr/>
      </w:pPr>
      <w:bookmarkStart w:id="0" w:name="chrs-20260817x8k.htm"/>
      <w:bookmarkStart w:id="1" w:name="kschrs20260817x8k"/>
      <w:bookmarkEnd w:id="0"/>
      <w:bookmarkEnd w:id="1"/>
      <w:r>
        <w:rPr/>
        <w:t>​</w:t>
      </w:r>
    </w:p>
    <w:p>
      <w:pPr>
        <w:pStyle w:val="TextBody"/>
        <w:bidi w:val="0"/>
        <w:spacing w:before="0" w:after="0"/>
        <w:ind w:left="0" w:right="0" w:hanging="0"/>
        <w:jc w:val="center"/>
        <w:rPr>
          <w:rFonts w:ascii="Helvetica;sans-serif" w:hAnsi="Helvetica;sans-serif"/>
          <w:b/>
          <w:sz w:val="36"/>
        </w:rPr>
      </w:pPr>
      <w:bookmarkStart w:id="2" w:name="_ee84b374_6812_4a6e_a238_3144079d6703"/>
      <w:bookmarkEnd w:id="2"/>
      <w:r>
        <w:rPr>
          <w:rFonts w:ascii="Helvetica;sans-serif" w:hAnsi="Helvetica;sans-serif"/>
          <w:b/>
          <w:sz w:val="36"/>
        </w:rPr>
        <w:t>UNITED STATES</w:t>
      </w:r>
    </w:p>
    <w:p>
      <w:pPr>
        <w:pStyle w:val="TextBody"/>
        <w:bidi w:val="0"/>
        <w:spacing w:before="0" w:after="0"/>
        <w:ind w:left="0" w:right="0" w:hanging="0"/>
        <w:jc w:val="center"/>
        <w:rPr>
          <w:rFonts w:ascii="Helvetica;sans-serif" w:hAnsi="Helvetica;sans-serif"/>
          <w:b/>
          <w:sz w:val="36"/>
        </w:rPr>
      </w:pPr>
      <w:r>
        <w:rPr>
          <w:rFonts w:ascii="Helvetica;sans-serif" w:hAnsi="Helvetica;sans-serif"/>
          <w:b/>
          <w:sz w:val="36"/>
        </w:rPr>
        <w:t>SECURITIES AND EXCHANGE COMMISSION</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Washington, D.C. 20549</w:t>
      </w:r>
    </w:p>
    <w:p>
      <w:pPr>
        <w:pStyle w:val="TextBody"/>
        <w:bidi w:val="0"/>
        <w:spacing w:before="0" w:after="0"/>
        <w:ind w:left="0" w:right="0" w:hanging="0"/>
        <w:jc w:val="center"/>
        <w:rPr/>
      </w:pPr>
      <w:r>
        <w:rPr/>
        <w:t>​</w:t>
      </w:r>
    </w:p>
    <w:p>
      <w:pPr>
        <w:pStyle w:val="TextBody"/>
        <w:shd w:fill="000000" w:val="clear"/>
        <w:bidi w:val="0"/>
        <w:spacing w:before="0" w:after="0"/>
        <w:ind w:left="0" w:right="0" w:hanging="0"/>
        <w:jc w:val="left"/>
        <w:rPr>
          <w:color w:val="FFFFFF"/>
        </w:rPr>
      </w:pPr>
      <w:r>
        <w:rPr>
          <w:color w:val="FFFFFF"/>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36"/>
        </w:rPr>
      </w:pPr>
      <w:r>
        <w:rPr>
          <w:rFonts w:ascii="Helvetica;sans-serif" w:hAnsi="Helvetica;sans-serif"/>
          <w:b/>
          <w:sz w:val="36"/>
        </w:rPr>
        <w:t>FORM 8-K</w:t>
      </w:r>
    </w:p>
    <w:p>
      <w:pPr>
        <w:pStyle w:val="TextBody"/>
        <w:bidi w:val="0"/>
        <w:spacing w:before="0" w:after="0"/>
        <w:ind w:left="0" w:right="0" w:hanging="0"/>
        <w:jc w:val="center"/>
        <w:rPr/>
      </w:pPr>
      <w:r>
        <w:rPr/>
        <w:t>​</w:t>
      </w:r>
    </w:p>
    <w:p>
      <w:pPr>
        <w:pStyle w:val="TextBody"/>
        <w:shd w:fill="000000" w:val="clear"/>
        <w:bidi w:val="0"/>
        <w:spacing w:before="0" w:after="0"/>
        <w:ind w:left="0" w:right="0" w:hanging="0"/>
        <w:jc w:val="left"/>
        <w:rPr>
          <w:color w:val="FFFFFF"/>
        </w:rPr>
      </w:pPr>
      <w:r>
        <w:rPr>
          <w:color w:val="FFFFFF"/>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CURRENT REPORT</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Pursuant to Section 13 or 15(d)</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Date of Report (Date of earliest event reported): August 17, 2026</w:t>
      </w:r>
    </w:p>
    <w:p>
      <w:pPr>
        <w:pStyle w:val="TextBody"/>
        <w:bidi w:val="0"/>
        <w:spacing w:before="0" w:after="0"/>
        <w:ind w:left="0" w:right="0" w:hanging="0"/>
        <w:jc w:val="center"/>
        <w:rPr/>
      </w:pPr>
      <w:r>
        <w:rPr/>
        <w:t>​</w:t>
      </w:r>
    </w:p>
    <w:p>
      <w:pPr>
        <w:pStyle w:val="TextBody"/>
        <w:shd w:fill="000000" w:val="clear"/>
        <w:bidi w:val="0"/>
        <w:spacing w:before="0" w:after="0"/>
        <w:ind w:left="0" w:right="0" w:hanging="0"/>
        <w:jc w:val="left"/>
        <w:rPr>
          <w:color w:val="FFFFFF"/>
        </w:rPr>
      </w:pPr>
      <w:r>
        <w:rPr>
          <w:color w:val="FFFFFF"/>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48"/>
        </w:rPr>
      </w:pPr>
      <w:r>
        <w:rPr>
          <w:rFonts w:ascii="Helvetica;sans-serif" w:hAnsi="Helvetica;sans-serif"/>
          <w:b/>
          <w:sz w:val="48"/>
        </w:rPr>
        <w:t>COHERUS ONCOLOGY, INC.</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(Exact name of registrant as specified in its charter)</w:t>
      </w:r>
    </w:p>
    <w:p>
      <w:pPr>
        <w:pStyle w:val="TextBody"/>
        <w:bidi w:val="0"/>
        <w:spacing w:before="0" w:after="0"/>
        <w:ind w:left="0" w:right="0" w:hanging="0"/>
        <w:jc w:val="center"/>
        <w:rPr/>
      </w:pPr>
      <w:r>
        <w:rPr/>
        <w:t>​</w:t>
      </w:r>
    </w:p>
    <w:p>
      <w:pPr>
        <w:pStyle w:val="TextBody"/>
        <w:shd w:fill="000000" w:val="clear"/>
        <w:bidi w:val="0"/>
        <w:spacing w:before="0" w:after="0"/>
        <w:ind w:left="0" w:right="0" w:hanging="0"/>
        <w:jc w:val="left"/>
        <w:rPr>
          <w:color w:val="FFFFFF"/>
        </w:rPr>
      </w:pPr>
      <w:r>
        <w:rPr>
          <w:color w:val="FFFFFF"/>
        </w:rPr>
        <w:t>​</w:t>
      </w:r>
    </w:p>
    <w:p>
      <w:pPr>
        <w:pStyle w:val="TextBody"/>
        <w:bidi w:val="0"/>
        <w:spacing w:before="0" w:after="0"/>
        <w:ind w:left="0" w:right="0" w:hanging="0"/>
        <w:jc w:val="left"/>
        <w:rPr/>
      </w:pPr>
      <w:bookmarkStart w:id="3" w:name="Tc_ewB6m7MzokSgFj1s1SPK7Q_1_4"/>
      <w:bookmarkStart w:id="4" w:name="Tc_Ay7YkEXH8UqUPJwOxFK4YA_1_2"/>
      <w:bookmarkStart w:id="5" w:name="Tc_WIM11zoLjEiVTrVu65pqFw_1_0"/>
      <w:bookmarkEnd w:id="3"/>
      <w:bookmarkEnd w:id="4"/>
      <w:bookmarkEnd w:id="5"/>
      <w:r>
        <w:rPr/>
        <w:t>​</w:t>
      </w:r>
    </w:p>
    <w:p>
      <w:pPr>
        <w:pStyle w:val="Normal"/>
        <w:bidi w:val="0"/>
        <w:spacing w:before="0" w:after="0"/>
        <w:jc w:val="left"/>
        <w:rPr>
          <w:sz w:val="4"/>
          <w:szCs w:val="4"/>
        </w:rPr>
      </w:pPr>
      <w:r>
        <w:rPr>
          <w:sz w:val="4"/>
          <w:szCs w:val="4"/>
        </w:rPr>
      </w:r>
      <w:bookmarkStart w:id="6" w:name="Tc_W9l-cewJYUeFrEygcqTjVQ_2_4"/>
      <w:bookmarkStart w:id="7" w:name="Tc_Y1ouUCrPCEawQye6xJQezA_2_2"/>
      <w:bookmarkStart w:id="8" w:name="Tc_C7ylYTRyNU-mkLBavJRuEQ_2_0"/>
      <w:bookmarkStart w:id="9" w:name="_e8d13536_6580_4964_b229_3111a57d92d7"/>
      <w:bookmarkStart w:id="10" w:name="Tc_W9l-cewJYUeFrEygcqTjVQ_2_4"/>
      <w:bookmarkStart w:id="11" w:name="Tc_Y1ouUCrPCEawQye6xJQezA_2_2"/>
      <w:bookmarkStart w:id="12" w:name="Tc_C7ylYTRyNU-mkLBavJRuEQ_2_0"/>
      <w:bookmarkStart w:id="13" w:name="_e8d13536_6580_4964_b229_3111a57d92d7"/>
      <w:bookmarkEnd w:id="10"/>
      <w:bookmarkEnd w:id="11"/>
      <w:bookmarkEnd w:id="12"/>
      <w:bookmarkEnd w:id="13"/>
    </w:p>
    <w:tbl>
      <w:tblPr>
        <w:tblW w:w="5605" w:type="dxa"/>
        <w:jc w:val="left"/>
        <w:tblInd w:w="0" w:type="dxa"/>
        <w:tblLayout w:type="fixed"/>
        <w:tblCellMar>
          <w:top w:w="0" w:type="dxa"/>
          <w:left w:w="0" w:type="dxa"/>
          <w:bottom w:w="0" w:type="dxa"/>
          <w:right w:w="0" w:type="dxa"/>
        </w:tblCellMar>
      </w:tblPr>
      <w:tblGrid>
        <w:gridCol w:w="2206"/>
        <w:gridCol w:w="146"/>
        <w:gridCol w:w="1171"/>
        <w:gridCol w:w="146"/>
        <w:gridCol w:w="1936"/>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92710" cy="29210"/>
                      <wp:effectExtent l="0" t="0" r="0" b="0"/>
                      <wp:wrapNone/>
                      <wp:docPr id="1" name="Frame1"/>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2710" cy="29210"/>
                      <wp:effectExtent l="0" t="0" r="0" b="0"/>
                      <wp:wrapNone/>
                      <wp:docPr id="2" name="Frame2"/>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36" w:type="dxa"/>
            <w:tcBorders/>
            <w:vAlign w:val="center"/>
          </w:tcPr>
          <w:p>
            <w:pPr>
              <w:pStyle w:val="TableContents"/>
              <w:bidi w:val="0"/>
              <w:spacing w:before="0" w:after="283"/>
              <w:ind w:left="0" w:right="0" w:hanging="0"/>
              <w:jc w:val="left"/>
              <w:rPr>
                <w:sz w:val="4"/>
                <w:szCs w:val="4"/>
              </w:rPr>
            </w:pPr>
            <w:r>
              <w:rPr>
                <w:sz w:val="4"/>
                <w:szCs w:val="4"/>
              </w:rPr>
            </w:r>
          </w:p>
        </w:tc>
      </w:tr>
      <w:tr>
        <w:trPr/>
        <w:tc>
          <w:tcPr>
            <w:tcW w:w="2206" w:type="dxa"/>
            <w:tcBorders/>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Delaware</w:t>
            </w:r>
          </w:p>
        </w:tc>
        <w:tc>
          <w:tcPr>
            <w:tcW w:w="1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001-36721</w:t>
            </w:r>
          </w:p>
        </w:tc>
        <w:tc>
          <w:tcPr>
            <w:tcW w:w="146" w:type="dxa"/>
            <w:tcBorders/>
            <w:vAlign w:val="center"/>
          </w:tcPr>
          <w:p>
            <w:pPr>
              <w:pStyle w:val="TableContents"/>
              <w:bidi w:val="0"/>
              <w:spacing w:before="0" w:after="0"/>
              <w:ind w:left="0" w:right="0" w:hanging="0"/>
              <w:jc w:val="left"/>
              <w:rPr/>
            </w:pPr>
            <w:r>
              <w:rPr/>
              <w:t> </w:t>
            </w:r>
          </w:p>
        </w:tc>
        <w:tc>
          <w:tcPr>
            <w:tcW w:w="1936" w:type="dxa"/>
            <w:tcBorders/>
            <w:vAlign w:val="center"/>
          </w:tcPr>
          <w:p>
            <w:pPr>
              <w:pStyle w:val="TableContents"/>
              <w:bidi w:val="0"/>
              <w:spacing w:before="0" w:after="0"/>
              <w:ind w:left="0" w:right="0" w:hanging="0"/>
              <w:jc w:val="center"/>
              <w:rPr>
                <w:rFonts w:ascii="Helvetica;sans-serif" w:hAnsi="Helvetica;sans-serif"/>
                <w:b/>
                <w:sz w:val="18"/>
              </w:rPr>
            </w:pPr>
            <w:r>
              <w:rPr>
                <w:rFonts w:ascii="Helvetica;sans-serif" w:hAnsi="Helvetica;sans-serif"/>
                <w:b/>
                <w:sz w:val="18"/>
              </w:rPr>
              <w:t>27-3615821</w:t>
            </w:r>
          </w:p>
        </w:tc>
      </w:tr>
      <w:tr>
        <w:trPr/>
        <w:tc>
          <w:tcPr>
            <w:tcW w:w="2206" w:type="dxa"/>
            <w:tcBorders/>
            <w:vAlign w:val="center"/>
          </w:tcPr>
          <w:p>
            <w:pPr>
              <w:pStyle w:val="TableContents"/>
              <w:bidi w:val="0"/>
              <w:spacing w:before="0" w:after="0"/>
              <w:ind w:left="0" w:right="0" w:hanging="0"/>
              <w:jc w:val="center"/>
              <w:rPr>
                <w:rFonts w:ascii="Helvetica;sans-serif" w:hAnsi="Helvetica;sans-serif"/>
                <w:sz w:val="16"/>
              </w:rPr>
            </w:pPr>
            <w:r>
              <w:rPr>
                <w:rFonts w:ascii="Helvetica;sans-serif" w:hAnsi="Helvetica;sans-serif"/>
                <w:b/>
                <w:sz w:val="16"/>
              </w:rPr>
              <w:t>(State or other jurisdiction</w:t>
            </w:r>
            <w:r>
              <w:rPr>
                <w:rFonts w:ascii="Helvetica;sans-serif" w:hAnsi="Helvetica;sans-serif"/>
                <w:sz w:val="16"/>
              </w:rPr>
              <w:br/>
            </w:r>
            <w:r>
              <w:rPr>
                <w:rFonts w:ascii="Helvetica;sans-serif" w:hAnsi="Helvetica;sans-serif"/>
                <w:b/>
                <w:sz w:val="16"/>
              </w:rPr>
              <w:t>of incorporation)</w:t>
            </w:r>
          </w:p>
        </w:tc>
        <w:tc>
          <w:tcPr>
            <w:tcW w:w="1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center"/>
              <w:rPr>
                <w:rFonts w:ascii="Helvetica;sans-serif" w:hAnsi="Helvetica;sans-serif"/>
                <w:sz w:val="16"/>
              </w:rPr>
            </w:pPr>
            <w:r>
              <w:rPr>
                <w:rFonts w:ascii="Helvetica;sans-serif" w:hAnsi="Helvetica;sans-serif"/>
                <w:b/>
                <w:sz w:val="16"/>
              </w:rPr>
              <w:t>(Commission</w:t>
            </w:r>
            <w:r>
              <w:rPr>
                <w:rFonts w:ascii="Helvetica;sans-serif" w:hAnsi="Helvetica;sans-serif"/>
                <w:sz w:val="16"/>
              </w:rPr>
              <w:br/>
            </w:r>
            <w:r>
              <w:rPr>
                <w:rFonts w:ascii="Helvetica;sans-serif" w:hAnsi="Helvetica;sans-serif"/>
                <w:b/>
                <w:sz w:val="16"/>
              </w:rPr>
              <w:t>File Number)</w:t>
            </w:r>
          </w:p>
        </w:tc>
        <w:tc>
          <w:tcPr>
            <w:tcW w:w="146" w:type="dxa"/>
            <w:tcBorders/>
            <w:vAlign w:val="center"/>
          </w:tcPr>
          <w:p>
            <w:pPr>
              <w:pStyle w:val="TableContents"/>
              <w:bidi w:val="0"/>
              <w:spacing w:before="0" w:after="0"/>
              <w:ind w:left="0" w:right="0" w:hanging="0"/>
              <w:jc w:val="left"/>
              <w:rPr/>
            </w:pPr>
            <w:r>
              <w:rPr/>
              <w:t> </w:t>
            </w:r>
          </w:p>
        </w:tc>
        <w:tc>
          <w:tcPr>
            <w:tcW w:w="1936" w:type="dxa"/>
            <w:tcBorders/>
            <w:vAlign w:val="center"/>
          </w:tcPr>
          <w:p>
            <w:pPr>
              <w:pStyle w:val="TableContents"/>
              <w:bidi w:val="0"/>
              <w:spacing w:before="0" w:after="0"/>
              <w:ind w:left="0" w:right="0" w:hanging="0"/>
              <w:jc w:val="center"/>
              <w:rPr>
                <w:rFonts w:ascii="Helvetica;sans-serif" w:hAnsi="Helvetica;sans-serif"/>
                <w:sz w:val="16"/>
              </w:rPr>
            </w:pPr>
            <w:r>
              <w:rPr>
                <w:rFonts w:ascii="Helvetica;sans-serif" w:hAnsi="Helvetica;sans-serif"/>
                <w:b/>
                <w:sz w:val="16"/>
              </w:rPr>
              <w:t>(IRS Employer</w:t>
            </w:r>
            <w:r>
              <w:rPr>
                <w:rFonts w:ascii="Helvetica;sans-serif" w:hAnsi="Helvetica;sans-serif"/>
                <w:sz w:val="16"/>
              </w:rPr>
              <w:br/>
            </w:r>
            <w:r>
              <w:rPr>
                <w:rFonts w:ascii="Helvetica;sans-serif" w:hAnsi="Helvetica;sans-serif"/>
                <w:b/>
                <w:sz w:val="16"/>
              </w:rPr>
              <w:t>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333 Twin Dolphin Drive, Suite 600</w:t>
      </w:r>
    </w:p>
    <w:p>
      <w:pPr>
        <w:pStyle w:val="TextBody"/>
        <w:bidi w:val="0"/>
        <w:spacing w:before="0" w:after="0"/>
        <w:ind w:left="0" w:right="0" w:hanging="0"/>
        <w:jc w:val="center"/>
        <w:rPr>
          <w:rFonts w:ascii="Helvetica;sans-serif" w:hAnsi="Helvetica;sans-serif"/>
          <w:sz w:val="20"/>
        </w:rPr>
      </w:pPr>
      <w:r>
        <w:rPr>
          <w:rFonts w:ascii="Helvetica;sans-serif" w:hAnsi="Helvetica;sans-serif"/>
          <w:b/>
          <w:sz w:val="20"/>
        </w:rPr>
        <w:t>Redwood City, CA</w:t>
      </w:r>
      <w:r>
        <w:rPr>
          <w:rFonts w:ascii="Helvetica;sans-serif" w:hAnsi="Helvetica;sans-serif"/>
          <w:sz w:val="20"/>
        </w:rPr>
        <w:t> </w:t>
      </w:r>
      <w:r>
        <w:rPr>
          <w:rFonts w:ascii="Helvetica;sans-serif" w:hAnsi="Helvetica;sans-serif"/>
          <w:b/>
          <w:sz w:val="20"/>
        </w:rPr>
        <w:t>94065</w:t>
      </w:r>
    </w:p>
    <w:p>
      <w:pPr>
        <w:pStyle w:val="TextBody"/>
        <w:bidi w:val="0"/>
        <w:spacing w:before="0" w:after="0"/>
        <w:ind w:left="0" w:right="0" w:hanging="0"/>
        <w:jc w:val="center"/>
        <w:rPr>
          <w:rFonts w:ascii="Helvetica;sans-serif" w:hAnsi="Helvetica;sans-serif"/>
          <w:b/>
          <w:sz w:val="16"/>
        </w:rPr>
      </w:pPr>
      <w:r>
        <w:rPr>
          <w:rFonts w:ascii="Helvetica;sans-serif" w:hAnsi="Helvetica;sans-serif"/>
          <w:b/>
          <w:sz w:val="16"/>
        </w:rPr>
        <w:t>(Address of principal executive offices, including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Registrant’s telephone number, including area code: (650) 649-3530</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Helvetica;sans-serif" w:hAnsi="Helvetica;sans-serif"/>
          <w:b/>
          <w:sz w:val="28"/>
        </w:rPr>
      </w:pPr>
      <w:r>
        <w:rPr>
          <w:rFonts w:ascii="Helvetica;sans-serif" w:hAnsi="Helvetica;sans-serif"/>
          <w:b/>
          <w:sz w:val="28"/>
        </w:rPr>
        <w:t>N/A</w:t>
      </w:r>
    </w:p>
    <w:p>
      <w:pPr>
        <w:pStyle w:val="TextBody"/>
        <w:bidi w:val="0"/>
        <w:spacing w:before="0" w:after="0"/>
        <w:ind w:left="0" w:right="0" w:hanging="0"/>
        <w:jc w:val="center"/>
        <w:rPr>
          <w:rFonts w:ascii="Helvetica;sans-serif" w:hAnsi="Helvetica;sans-serif"/>
          <w:b/>
          <w:sz w:val="20"/>
        </w:rPr>
      </w:pPr>
      <w:r>
        <w:rPr>
          <w:rFonts w:ascii="Helvetica;sans-serif" w:hAnsi="Helvetica;sans-serif"/>
          <w:b/>
          <w:sz w:val="20"/>
        </w:rPr>
        <w:t>(Former name or former address, if changed since last report)</w:t>
      </w:r>
    </w:p>
    <w:p>
      <w:pPr>
        <w:pStyle w:val="TextBody"/>
        <w:bidi w:val="0"/>
        <w:spacing w:before="0" w:after="0"/>
        <w:ind w:left="0" w:right="0" w:hanging="0"/>
        <w:jc w:val="center"/>
        <w:rPr/>
      </w:pPr>
      <w:r>
        <w:rPr/>
        <w:t>​</w:t>
      </w:r>
    </w:p>
    <w:p>
      <w:pPr>
        <w:pStyle w:val="TextBody"/>
        <w:shd w:fill="000000" w:val="clear"/>
        <w:bidi w:val="0"/>
        <w:spacing w:before="0" w:after="0"/>
        <w:ind w:left="0" w:right="0" w:hanging="0"/>
        <w:jc w:val="left"/>
        <w:rPr>
          <w:color w:val="FFFFFF"/>
        </w:rPr>
      </w:pPr>
      <w:r>
        <w:rPr>
          <w:color w:val="FFFFFF"/>
        </w:rPr>
        <w:t>​</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bookmarkStart w:id="14" w:name="Tc_hQOHBUPQika-3iKZEgAlHA_6_1"/>
      <w:bookmarkStart w:id="15" w:name="Tc_ABiTbNGhT0iSYkDtzn-pqg_4_1"/>
      <w:bookmarkStart w:id="16" w:name="Tc_Ncb419vHXUyP7oL4oQ6-AQ_2_1"/>
      <w:bookmarkStart w:id="17" w:name="Tc_63NyB6JBXkqQWUT5w0J7WA_0_1"/>
      <w:bookmarkEnd w:id="14"/>
      <w:bookmarkEnd w:id="15"/>
      <w:bookmarkEnd w:id="16"/>
      <w:bookmarkEnd w:id="17"/>
      <w:r>
        <w:rPr/>
        <w:t>​</w:t>
      </w:r>
    </w:p>
    <w:p>
      <w:pPr>
        <w:pStyle w:val="Normal"/>
        <w:bidi w:val="0"/>
        <w:spacing w:before="0" w:after="0"/>
        <w:jc w:val="left"/>
        <w:rPr>
          <w:sz w:val="4"/>
          <w:szCs w:val="4"/>
        </w:rPr>
      </w:pPr>
      <w:r>
        <w:rPr>
          <w:sz w:val="4"/>
          <w:szCs w:val="4"/>
        </w:rPr>
      </w:r>
      <w:bookmarkStart w:id="18" w:name="Tc_a0cZv7qQiUGNK1QZroNNvg_7_1"/>
      <w:bookmarkStart w:id="19" w:name="Tc__mms9mDuw0aoiDyEEJo3SQ_6_1"/>
      <w:bookmarkStart w:id="20" w:name="Tc_ZDgM8u9JVkWIV5WAY1E8OQ_6_0"/>
      <w:bookmarkStart w:id="21" w:name="Tc_pcvAygdkxEuCtOKcHz56Mg_5_1"/>
      <w:bookmarkStart w:id="22" w:name="Tc_c41s7tJ3sUuZaq5o1zB8Pg_4_1"/>
      <w:bookmarkStart w:id="23" w:name="Tc_-wY2DEWOuEOIKoTG4-UBNA_4_0"/>
      <w:bookmarkStart w:id="24" w:name="Tc_zd4N9-DgFka97lqe5L30xg_3_1"/>
      <w:bookmarkStart w:id="25" w:name="Tc_Kee4FN7iq06xLHPAleRdiA_2_1"/>
      <w:bookmarkStart w:id="26" w:name="Tc_OTN5qGBBQ0WEAJ57KdPP3w_2_0"/>
      <w:bookmarkStart w:id="27" w:name="Tc__OHejeB4BEmPyi0J1Lo7zA_1_1"/>
      <w:bookmarkStart w:id="28" w:name="_5043f0ed_33dd_4c00_bd08_d800befbcc60"/>
      <w:bookmarkStart w:id="29" w:name="Tc_a0cZv7qQiUGNK1QZroNNvg_7_1"/>
      <w:bookmarkStart w:id="30" w:name="Tc__mms9mDuw0aoiDyEEJo3SQ_6_1"/>
      <w:bookmarkStart w:id="31" w:name="Tc_ZDgM8u9JVkWIV5WAY1E8OQ_6_0"/>
      <w:bookmarkStart w:id="32" w:name="Tc_pcvAygdkxEuCtOKcHz56Mg_5_1"/>
      <w:bookmarkStart w:id="33" w:name="Tc_c41s7tJ3sUuZaq5o1zB8Pg_4_1"/>
      <w:bookmarkStart w:id="34" w:name="Tc_-wY2DEWOuEOIKoTG4-UBNA_4_0"/>
      <w:bookmarkStart w:id="35" w:name="Tc_zd4N9-DgFka97lqe5L30xg_3_1"/>
      <w:bookmarkStart w:id="36" w:name="Tc_Kee4FN7iq06xLHPAleRdiA_2_1"/>
      <w:bookmarkStart w:id="37" w:name="Tc_OTN5qGBBQ0WEAJ57KdPP3w_2_0"/>
      <w:bookmarkStart w:id="38" w:name="Tc__OHejeB4BEmPyi0J1Lo7zA_1_1"/>
      <w:bookmarkStart w:id="39" w:name="_5043f0ed_33dd_4c00_bd08_d800befbcc60"/>
      <w:bookmarkEnd w:id="29"/>
      <w:bookmarkEnd w:id="30"/>
      <w:bookmarkEnd w:id="31"/>
      <w:bookmarkEnd w:id="32"/>
      <w:bookmarkEnd w:id="33"/>
      <w:bookmarkEnd w:id="34"/>
      <w:bookmarkEnd w:id="35"/>
      <w:bookmarkEnd w:id="36"/>
      <w:bookmarkEnd w:id="37"/>
      <w:bookmarkEnd w:id="38"/>
      <w:bookmarkEnd w:id="39"/>
    </w:p>
    <w:tbl>
      <w:tblPr>
        <w:tblW w:w="10112" w:type="dxa"/>
        <w:jc w:val="left"/>
        <w:tblInd w:w="0" w:type="dxa"/>
        <w:tblLayout w:type="fixed"/>
        <w:tblCellMar>
          <w:top w:w="0" w:type="dxa"/>
          <w:left w:w="0" w:type="dxa"/>
          <w:bottom w:w="0" w:type="dxa"/>
          <w:right w:w="0" w:type="dxa"/>
        </w:tblCellMar>
      </w:tblPr>
      <w:tblGrid>
        <w:gridCol w:w="331"/>
        <w:gridCol w:w="9781"/>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781"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Written communications pursuant to Rule 425 under the Securities Act (17 CFR 230.425)</w:t>
            </w:r>
          </w:p>
        </w:tc>
      </w:tr>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Soliciting material pursuant to Rule 14a-12 under the Exchange Act (17 CFR 240.14a-12)</w:t>
            </w:r>
          </w:p>
        </w:tc>
      </w:tr>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Pre-commencement communications pursuant to Rule 14d-2(b) under the Exchange Act (17 CFR 240.14d-2(b))</w:t>
            </w:r>
          </w:p>
        </w:tc>
      </w:tr>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78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Securities registered pursuant to Section 12(b) of the Act:</w:t>
      </w:r>
    </w:p>
    <w:p>
      <w:pPr>
        <w:pStyle w:val="TextBody"/>
        <w:bidi w:val="0"/>
        <w:spacing w:before="0" w:after="0"/>
        <w:ind w:left="0" w:right="0" w:hanging="0"/>
        <w:jc w:val="left"/>
        <w:rPr/>
      </w:pPr>
      <w:bookmarkStart w:id="40" w:name="Tc_f3jsbriAIka9GfZ1s-VkXg_0_4"/>
      <w:bookmarkStart w:id="41" w:name="Tc_0ST2HxemmEqR788gNby02w_0_2"/>
      <w:bookmarkStart w:id="42" w:name="Tc_bZ9naoeZmU6OinMHvtllLA_0_0"/>
      <w:bookmarkEnd w:id="40"/>
      <w:bookmarkEnd w:id="41"/>
      <w:bookmarkEnd w:id="42"/>
      <w:r>
        <w:rPr/>
        <w:t>​</w:t>
      </w:r>
    </w:p>
    <w:p>
      <w:pPr>
        <w:pStyle w:val="Normal"/>
        <w:bidi w:val="0"/>
        <w:spacing w:before="0" w:after="0"/>
        <w:jc w:val="left"/>
        <w:rPr>
          <w:sz w:val="4"/>
          <w:szCs w:val="4"/>
        </w:rPr>
      </w:pPr>
      <w:r>
        <w:rPr>
          <w:sz w:val="4"/>
          <w:szCs w:val="4"/>
        </w:rPr>
      </w:r>
      <w:bookmarkStart w:id="43" w:name="Tc_KawVUmNqu06GdevaRBvGZA_1_4"/>
      <w:bookmarkStart w:id="44" w:name="Tc_cHjCt3REUE-YhCXXAkS8Nw_1_3"/>
      <w:bookmarkStart w:id="45" w:name="Tc_U83sYIqhNkKeGo6j5_R1Hw_1_2"/>
      <w:bookmarkStart w:id="46" w:name="Tc_2OWI2r-6hEOBu6m10q84Yw_1_1"/>
      <w:bookmarkStart w:id="47" w:name="Tc_BLkvE69qJk6PVw8XCu_xeA_1_0"/>
      <w:bookmarkStart w:id="48" w:name="_39ff2b7c_958f_4a09_8eb3_b9d24f3dc293"/>
      <w:bookmarkStart w:id="49" w:name="Tc_KawVUmNqu06GdevaRBvGZA_1_4"/>
      <w:bookmarkStart w:id="50" w:name="Tc_cHjCt3REUE-YhCXXAkS8Nw_1_3"/>
      <w:bookmarkStart w:id="51" w:name="Tc_U83sYIqhNkKeGo6j5_R1Hw_1_2"/>
      <w:bookmarkStart w:id="52" w:name="Tc_2OWI2r-6hEOBu6m10q84Yw_1_1"/>
      <w:bookmarkStart w:id="53" w:name="Tc_BLkvE69qJk6PVw8XCu_xeA_1_0"/>
      <w:bookmarkStart w:id="54" w:name="_39ff2b7c_958f_4a09_8eb3_b9d24f3dc293"/>
      <w:bookmarkEnd w:id="49"/>
      <w:bookmarkEnd w:id="50"/>
      <w:bookmarkEnd w:id="51"/>
      <w:bookmarkEnd w:id="52"/>
      <w:bookmarkEnd w:id="53"/>
      <w:bookmarkEnd w:id="54"/>
    </w:p>
    <w:tbl>
      <w:tblPr>
        <w:tblW w:w="8180" w:type="dxa"/>
        <w:jc w:val="left"/>
        <w:tblInd w:w="0" w:type="dxa"/>
        <w:tblLayout w:type="fixed"/>
        <w:tblCellMar>
          <w:top w:w="0" w:type="dxa"/>
          <w:left w:w="0" w:type="dxa"/>
          <w:bottom w:w="0" w:type="dxa"/>
          <w:right w:w="0" w:type="dxa"/>
        </w:tblCellMar>
      </w:tblPr>
      <w:tblGrid>
        <w:gridCol w:w="4216"/>
        <w:gridCol w:w="226"/>
        <w:gridCol w:w="916"/>
        <w:gridCol w:w="226"/>
        <w:gridCol w:w="2596"/>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677160" cy="29210"/>
                      <wp:effectExtent l="0" t="0" r="0" b="0"/>
                      <wp:wrapNone/>
                      <wp:docPr id="3" name="Frame3"/>
                      <a:graphic xmlns:a="http://schemas.openxmlformats.org/drawingml/2006/main">
                        <a:graphicData uri="http://schemas.microsoft.com/office/word/2010/wordprocessingShape">
                          <wps:wsp>
                            <wps:cNvSpPr txBox="1"/>
                            <wps:spPr>
                              <a:xfrm>
                                <a:off x="0" y="0"/>
                                <a:ext cx="26771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43510" cy="29210"/>
                      <wp:effectExtent l="0" t="0" r="0" b="0"/>
                      <wp:wrapNone/>
                      <wp:docPr id="4" name="Frame4"/>
                      <a:graphic xmlns:a="http://schemas.openxmlformats.org/drawingml/2006/main">
                        <a:graphicData uri="http://schemas.microsoft.com/office/word/2010/wordprocessingShape">
                          <wps:wsp>
                            <wps:cNvSpPr txBox="1"/>
                            <wps:spPr>
                              <a:xfrm>
                                <a:off x="0" y="0"/>
                                <a:ext cx="143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81660" cy="29210"/>
                      <wp:effectExtent l="0" t="0" r="0" b="0"/>
                      <wp:wrapNone/>
                      <wp:docPr id="5" name="Frame5"/>
                      <a:graphic xmlns:a="http://schemas.openxmlformats.org/drawingml/2006/main">
                        <a:graphicData uri="http://schemas.microsoft.com/office/word/2010/wordprocessingShape">
                          <wps:wsp>
                            <wps:cNvSpPr txBox="1"/>
                            <wps:spPr>
                              <a:xfrm>
                                <a:off x="0" y="0"/>
                                <a:ext cx="5816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43510" cy="29210"/>
                      <wp:effectExtent l="0" t="0" r="0" b="0"/>
                      <wp:wrapNone/>
                      <wp:docPr id="6" name="Frame6"/>
                      <a:graphic xmlns:a="http://schemas.openxmlformats.org/drawingml/2006/main">
                        <a:graphicData uri="http://schemas.microsoft.com/office/word/2010/wordprocessingShape">
                          <wps:wsp>
                            <wps:cNvSpPr txBox="1"/>
                            <wps:spPr>
                              <a:xfrm>
                                <a:off x="0" y="0"/>
                                <a:ext cx="143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648460" cy="29210"/>
                      <wp:effectExtent l="0" t="0" r="0" b="0"/>
                      <wp:wrapNone/>
                      <wp:docPr id="7" name="Frame7"/>
                      <a:graphic xmlns:a="http://schemas.openxmlformats.org/drawingml/2006/main">
                        <a:graphicData uri="http://schemas.microsoft.com/office/word/2010/wordprocessingShape">
                          <wps:wsp>
                            <wps:cNvSpPr txBox="1"/>
                            <wps:spPr>
                              <a:xfrm>
                                <a:off x="0" y="0"/>
                                <a:ext cx="16484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216" w:type="dxa"/>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b/>
                <w:sz w:val="16"/>
              </w:rPr>
            </w:pPr>
            <w:r>
              <w:rPr>
                <w:rFonts w:ascii="Helvetica;sans-serif" w:hAnsi="Helvetica;sans-serif"/>
                <w:b/>
                <w:sz w:val="16"/>
              </w:rPr>
              <w:t>Title of each class</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sz w:val="16"/>
              </w:rPr>
            </w:pPr>
            <w:r>
              <w:rPr>
                <w:rFonts w:ascii="Helvetica;sans-serif" w:hAnsi="Helvetica;sans-serif"/>
                <w:b/>
                <w:sz w:val="16"/>
              </w:rPr>
              <w:t>Trading</w:t>
            </w:r>
            <w:r>
              <w:rPr>
                <w:rFonts w:ascii="Helvetica;sans-serif" w:hAnsi="Helvetica;sans-serif"/>
                <w:sz w:val="16"/>
              </w:rPr>
              <w:br/>
            </w:r>
            <w:r>
              <w:rPr>
                <w:rFonts w:ascii="Helvetica;sans-serif" w:hAnsi="Helvetica;sans-serif"/>
                <w:b/>
                <w:sz w:val="16"/>
              </w:rPr>
              <w:t>Symbol(s)</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 ​</w:t>
            </w:r>
          </w:p>
        </w:tc>
        <w:tc>
          <w:tcPr>
            <w:tcW w:w="2596" w:type="dxa"/>
            <w:tcBorders>
              <w:bottom w:val="single" w:sz="2" w:space="0" w:color="000000"/>
            </w:tcBorders>
            <w:tcMar>
              <w:bottom w:w="28" w:type="dxa"/>
            </w:tcMar>
            <w:vAlign w:val="center"/>
          </w:tcPr>
          <w:p>
            <w:pPr>
              <w:pStyle w:val="TableContents"/>
              <w:bidi w:val="0"/>
              <w:spacing w:before="0" w:after="0"/>
              <w:ind w:left="0" w:right="0" w:hanging="0"/>
              <w:jc w:val="center"/>
              <w:rPr>
                <w:rFonts w:ascii="Helvetica;sans-serif" w:hAnsi="Helvetica;sans-serif"/>
                <w:sz w:val="16"/>
              </w:rPr>
            </w:pPr>
            <w:r>
              <w:rPr>
                <w:rFonts w:ascii="Helvetica;sans-serif" w:hAnsi="Helvetica;sans-serif"/>
                <w:b/>
                <w:sz w:val="16"/>
              </w:rPr>
              <w:t>Name of each exchange</w:t>
            </w:r>
            <w:r>
              <w:rPr>
                <w:rFonts w:ascii="Helvetica;sans-serif" w:hAnsi="Helvetica;sans-serif"/>
                <w:sz w:val="16"/>
              </w:rPr>
              <w:br/>
            </w:r>
            <w:r>
              <w:rPr>
                <w:rFonts w:ascii="Helvetica;sans-serif" w:hAnsi="Helvetica;sans-serif"/>
                <w:b/>
                <w:sz w:val="16"/>
              </w:rPr>
              <w:t>on which registered</w:t>
            </w:r>
          </w:p>
        </w:tc>
      </w:tr>
      <w:tr>
        <w:trPr/>
        <w:tc>
          <w:tcPr>
            <w:tcW w:w="4216" w:type="dxa"/>
            <w:tcBorders/>
            <w:vAlign w:val="center"/>
          </w:tcPr>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Common Stock, $0.0001 par value per share</w:t>
            </w:r>
          </w:p>
        </w:tc>
        <w:tc>
          <w:tcPr>
            <w:tcW w:w="2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CHRS</w:t>
            </w:r>
          </w:p>
        </w:tc>
        <w:tc>
          <w:tcPr>
            <w:tcW w:w="226" w:type="dxa"/>
            <w:tcBorders/>
            <w:vAlign w:val="center"/>
          </w:tcPr>
          <w:p>
            <w:pPr>
              <w:pStyle w:val="TableContents"/>
              <w:bidi w:val="0"/>
              <w:spacing w:before="0" w:after="0"/>
              <w:ind w:left="0" w:right="0" w:hanging="0"/>
              <w:jc w:val="left"/>
              <w:rPr/>
            </w:pPr>
            <w:r>
              <w:rPr/>
              <w:t> </w:t>
            </w:r>
          </w:p>
        </w:tc>
        <w:tc>
          <w:tcPr>
            <w:tcW w:w="2596" w:type="dxa"/>
            <w:tcBorders/>
            <w:vAlign w:val="center"/>
          </w:tcPr>
          <w:p>
            <w:pPr>
              <w:pStyle w:val="TableContents"/>
              <w:bidi w:val="0"/>
              <w:spacing w:before="0" w:after="0"/>
              <w:ind w:left="0" w:right="0" w:hanging="0"/>
              <w:jc w:val="center"/>
              <w:rPr>
                <w:rFonts w:ascii="Helvetica;sans-serif" w:hAnsi="Helvetica;sans-serif"/>
                <w:b/>
                <w:sz w:val="20"/>
              </w:rPr>
            </w:pPr>
            <w:r>
              <w:rPr>
                <w:rFonts w:ascii="Helvetica;sans-serif" w:hAnsi="Helvetica;sans-serif"/>
                <w:b/>
                <w:sz w:val="20"/>
              </w:rPr>
              <w:t>The Nasdaq Global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Emerging growth company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0"/>
        </w:rPr>
      </w:pPr>
      <w:r>
        <w:rPr>
          <w:rFonts w:ascii="Helvetica;sans-serif" w:hAnsi="Helvetica;san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shd w:fill="000000" w:val="clear"/>
        <w:bidi w:val="0"/>
        <w:spacing w:before="0" w:after="0"/>
        <w:ind w:left="0" w:right="0" w:hanging="0"/>
        <w:jc w:val="left"/>
        <w:rPr/>
      </w:pPr>
      <w:r>
        <w:rPr/>
        <w:t>​</w:t>
      </w:r>
    </w:p>
    <w:p>
      <w:pPr>
        <w:pStyle w:val="TextBody"/>
        <w:bidi w:val="0"/>
        <w:spacing w:before="0" w:after="120"/>
        <w:ind w:left="0" w:right="0" w:hanging="0"/>
        <w:jc w:val="left"/>
        <w:rPr>
          <w:rFonts w:ascii="Helvetica;sans-serif" w:hAnsi="Helvetica;sans-serif"/>
          <w:b/>
          <w:sz w:val="20"/>
        </w:rPr>
      </w:pPr>
      <w:bookmarkStart w:id="55" w:name="_fbb267b6_ec5e_401c_9afe_6b27b7fe6845"/>
      <w:bookmarkEnd w:id="55"/>
      <w:r>
        <w:rPr>
          <w:rFonts w:ascii="Helvetica;sans-serif" w:hAnsi="Helvetica;sans-serif"/>
          <w:b/>
          <w:sz w:val="20"/>
        </w:rPr>
        <w:t>Item 7.01 Regulation FD Disclosure.</w:t>
      </w:r>
    </w:p>
    <w:p>
      <w:pPr>
        <w:pStyle w:val="TextBody"/>
        <w:bidi w:val="0"/>
        <w:spacing w:before="0" w:after="240"/>
        <w:ind w:left="0" w:right="0" w:firstLine="450"/>
        <w:jc w:val="both"/>
        <w:rPr>
          <w:rFonts w:ascii="Helvetica;sans-serif" w:hAnsi="Helvetica;sans-serif"/>
          <w:sz w:val="20"/>
        </w:rPr>
      </w:pPr>
      <w:r>
        <w:rPr>
          <w:rFonts w:ascii="Helvetica;sans-serif" w:hAnsi="Helvetica;sans-serif"/>
          <w:sz w:val="20"/>
        </w:rPr>
        <w:t xml:space="preserve">On August 17, 2026, Coherus Oncology, Inc. (the “Company”) issued a press release announcing that the board of directors of the Company declared a special dividend of contingent value rights (each, a “CVR” and collectively, the “CVRs”) and that the Company would make available a document containing answers to certain frequently asked questions about the special dividend (the “FAQ”) on the Investors &amp; Media – Shareholder Services section of the Company’s website. A copy of the press release is furnished herewith as Exhibit 99.1 and is incorporated by reference herein, and a copy of the FAQ is furnished herewith as Exhibit 99.2 and is incorporated by reference herein. </w:t>
      </w:r>
    </w:p>
    <w:p>
      <w:pPr>
        <w:pStyle w:val="TextBody"/>
        <w:bidi w:val="0"/>
        <w:spacing w:before="0" w:after="0"/>
        <w:ind w:left="0" w:right="0" w:firstLine="450"/>
        <w:jc w:val="both"/>
        <w:rPr>
          <w:rFonts w:ascii="Helvetica;sans-serif" w:hAnsi="Helvetica;sans-serif"/>
          <w:sz w:val="20"/>
        </w:rPr>
      </w:pPr>
      <w:r>
        <w:rPr>
          <w:rFonts w:ascii="Helvetica;sans-serif" w:hAnsi="Helvetica;sans-serif"/>
          <w:sz w:val="20"/>
        </w:rPr>
        <w:t>The information in Item 7.01 of this Current Report on Form 8-K (including Exhibits 99.1 and 99.2) shall not be deemed “filed” for purposes of Section 18 of the Securities Exchange Act of 1934 (the “Exchange Act”) or otherwise subject to the liabilities of that section, nor shall it be deemed incorporated by reference in any filing under the Securities Act of 1933 (the “Securities Act”), except as expressly set forth by specific reference in such a filing.</w:t>
      </w:r>
    </w:p>
    <w:p>
      <w:pPr>
        <w:pStyle w:val="TextBody"/>
        <w:bidi w:val="0"/>
        <w:spacing w:before="0" w:after="0"/>
        <w:ind w:left="0" w:right="0" w:hanging="0"/>
        <w:jc w:val="left"/>
        <w:rPr/>
      </w:pPr>
      <w:r>
        <w:rPr/>
        <w:t>​</w:t>
      </w:r>
    </w:p>
    <w:p>
      <w:pPr>
        <w:pStyle w:val="TextBody"/>
        <w:bidi w:val="0"/>
        <w:spacing w:before="0" w:after="120"/>
        <w:ind w:left="0" w:right="0" w:hanging="0"/>
        <w:jc w:val="left"/>
        <w:rPr>
          <w:rFonts w:ascii="Helvetica;sans-serif" w:hAnsi="Helvetica;sans-serif"/>
          <w:b/>
          <w:sz w:val="20"/>
        </w:rPr>
      </w:pPr>
      <w:bookmarkStart w:id="56" w:name="_6b5a818e_f573_4cee_9769_41d846686380"/>
      <w:bookmarkEnd w:id="56"/>
      <w:r>
        <w:rPr>
          <w:rFonts w:ascii="Helvetica;sans-serif" w:hAnsi="Helvetica;sans-serif"/>
          <w:b/>
          <w:sz w:val="20"/>
        </w:rPr>
        <w:t>Item 8.01 Other Events.</w:t>
      </w:r>
    </w:p>
    <w:p>
      <w:pPr>
        <w:pStyle w:val="TextBody"/>
        <w:bidi w:val="0"/>
        <w:spacing w:before="0" w:after="240"/>
        <w:ind w:left="0" w:right="0" w:firstLine="450"/>
        <w:jc w:val="both"/>
        <w:rPr>
          <w:rFonts w:ascii="Helvetica;sans-serif" w:hAnsi="Helvetica;sans-serif"/>
          <w:sz w:val="20"/>
        </w:rPr>
      </w:pPr>
      <w:r>
        <w:rPr>
          <w:rFonts w:ascii="Helvetica;sans-serif" w:hAnsi="Helvetica;sans-serif"/>
          <w:sz w:val="20"/>
        </w:rPr>
        <w:t>On August 17, 2026, the Company announced a special dividend of CVRs. The CVRs will be distributed on a pro rata basis to stockholders of record of the Company’s common stock, par value $0.0001 per share (the “Common Stock”) as of 5:00 p.m., Eastern Time, on September 30, 2026 (the “Record Date”). One CVR will be issued with respect to each share of Common Stock that is outstanding as of the Record Date. Each CVR represents the right to receive certain potential payments in cash (the “CVR Payments”) in the event that the Company sells, grants a license with respect to, receives license royalty payments (including under existing licenses) in respect of, or otherwise disposes of certain assets that represent the remaining biosimilar assets of the Company, including:</w:t>
      </w:r>
    </w:p>
    <w:tbl>
      <w:tblPr>
        <w:tblW w:w="3366" w:type="dxa"/>
        <w:jc w:val="left"/>
        <w:tblInd w:w="0" w:type="dxa"/>
        <w:tblLayout w:type="fixed"/>
        <w:tblCellMar>
          <w:top w:w="28" w:type="dxa"/>
          <w:left w:w="28" w:type="dxa"/>
          <w:bottom w:w="28" w:type="dxa"/>
          <w:right w:w="28" w:type="dxa"/>
        </w:tblCellMar>
      </w:tblPr>
      <w:tblGrid>
        <w:gridCol w:w="124"/>
        <w:gridCol w:w="256"/>
        <w:gridCol w:w="2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8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patents and intellectual property;</w:t>
            </w:r>
          </w:p>
        </w:tc>
      </w:tr>
    </w:tbl>
    <w:tbl>
      <w:tblPr>
        <w:tblW w:w="4521" w:type="dxa"/>
        <w:jc w:val="left"/>
        <w:tblInd w:w="0" w:type="dxa"/>
        <w:tblLayout w:type="fixed"/>
        <w:tblCellMar>
          <w:top w:w="28" w:type="dxa"/>
          <w:left w:w="28" w:type="dxa"/>
          <w:bottom w:w="28" w:type="dxa"/>
          <w:right w:w="28" w:type="dxa"/>
        </w:tblCellMar>
      </w:tblPr>
      <w:tblGrid>
        <w:gridCol w:w="124"/>
        <w:gridCol w:w="256"/>
        <w:gridCol w:w="4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41"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royalties under an existing license agreement;</w:t>
            </w:r>
          </w:p>
        </w:tc>
      </w:tr>
    </w:tbl>
    <w:tbl>
      <w:tblPr>
        <w:tblW w:w="1356" w:type="dxa"/>
        <w:jc w:val="left"/>
        <w:tblInd w:w="0" w:type="dxa"/>
        <w:tblLayout w:type="fixed"/>
        <w:tblCellMar>
          <w:top w:w="28" w:type="dxa"/>
          <w:left w:w="28" w:type="dxa"/>
          <w:bottom w:w="28" w:type="dxa"/>
          <w:right w:w="28" w:type="dxa"/>
        </w:tblCellMar>
      </w:tblPr>
      <w:tblGrid>
        <w:gridCol w:w="124"/>
        <w:gridCol w:w="256"/>
        <w:gridCol w:w="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6"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cell lines;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Helvetica;sans-serif" w:hAnsi="Helvetica;sans-serif"/>
                <w:b w:val="false"/>
                <w:i w:val="false"/>
                <w:caps w:val="false"/>
                <w:smallCaps w:val="false"/>
                <w:sz w:val="20"/>
              </w:rPr>
            </w:pPr>
            <w:r>
              <w:rPr>
                <w:rFonts w:ascii="Helvetica;sans-serif" w:hAnsi="Helvetica;sans-serif"/>
                <w:b w:val="false"/>
                <w:i w:val="false"/>
                <w:caps w:val="false"/>
                <w:smallCaps w:val="false"/>
                <w:sz w:val="20"/>
              </w:rPr>
              <w:t xml:space="preserve">related materials such as laboratory notebooks, regulatory filings, and product samples (collectively, the “Legacy BioSim Assets”). </w:t>
            </w:r>
          </w:p>
        </w:tc>
      </w:tr>
    </w:tbl>
    <w:p>
      <w:pPr>
        <w:pStyle w:val="TextBody"/>
        <w:bidi w:val="0"/>
        <w:spacing w:before="0" w:after="240"/>
        <w:ind w:left="0" w:right="0" w:firstLine="450"/>
        <w:jc w:val="both"/>
        <w:rPr>
          <w:rFonts w:ascii="Helvetica;sans-serif" w:hAnsi="Helvetica;sans-serif"/>
          <w:sz w:val="20"/>
        </w:rPr>
      </w:pPr>
      <w:r>
        <w:rPr>
          <w:rFonts w:ascii="Helvetica;sans-serif" w:hAnsi="Helvetica;sans-serif"/>
          <w:sz w:val="20"/>
        </w:rPr>
        <w:t>CVR Payments, if any, will be calculated based on net cash proceeds actually received by the Company related to the Legacy BioSim Assets during the CVR term, which begins on October 7, 2026 and ends on October 7, 2028. In addition, the Company is party to the Loan and Security Agreement, dated as of August 12, 2026, with Innovatus Life Sciences Lending Fund I, L.P., as collateral agent, and the lenders thereunder (the “Loan Agreement”), which contains certain restrictions on the disposition of the Legacy BioSim Assets and payments under the CVR.  The Company has retained an investment bank as a capital markets adviser to assist with the sale process for the Legacy BioSim Assets.</w:t>
      </w:r>
    </w:p>
    <w:p>
      <w:pPr>
        <w:pStyle w:val="TextBody"/>
        <w:bidi w:val="0"/>
        <w:spacing w:before="0" w:after="240"/>
        <w:ind w:left="0" w:right="0" w:firstLine="450"/>
        <w:jc w:val="both"/>
        <w:rPr>
          <w:rFonts w:ascii="Helvetica;sans-serif" w:hAnsi="Helvetica;sans-serif"/>
          <w:sz w:val="20"/>
        </w:rPr>
      </w:pPr>
      <w:bookmarkStart w:id="57" w:name="_Hlk220251332"/>
      <w:bookmarkEnd w:id="57"/>
      <w:r>
        <w:rPr>
          <w:rFonts w:ascii="Helvetica;sans-serif" w:hAnsi="Helvetica;sans-serif"/>
          <w:sz w:val="20"/>
        </w:rPr>
        <w:t>The CVRs are governed by the terms and subject to the conditions of a contingent value rights agreement (the “CVR Agreement”) entered into by and between the Company and Equiniti Trust Company, LLC, a New York limited liability trust company, in its capacity as rights agent, on August 17, 2026. The CVRs are contractual rights only and are not transferable except under certain limited circumstances, will not be certificated or evidenced by any instrument, will not be registered with the Securities and Exchange Commission or listed for trading on any exchange, and will not bear interest. The CVRs will not have any voting or dividend rights and will not represent any equity or ownership interest in the Company.</w:t>
      </w:r>
    </w:p>
    <w:p>
      <w:pPr>
        <w:pStyle w:val="TextBody"/>
        <w:bidi w:val="0"/>
        <w:spacing w:before="0" w:after="240"/>
        <w:ind w:left="0" w:right="0" w:hanging="0"/>
        <w:jc w:val="left"/>
        <w:rPr>
          <w:rFonts w:ascii="Helvetica;sans-serif" w:hAnsi="Helvetica;sans-serif"/>
          <w:b/>
          <w:sz w:val="20"/>
        </w:rPr>
      </w:pPr>
      <w:r>
        <w:rPr>
          <w:rFonts w:ascii="Helvetica;sans-serif" w:hAnsi="Helvetica;sans-serif"/>
          <w:b/>
          <w:sz w:val="20"/>
        </w:rPr>
        <w:t>Forward-Looking Statements</w:t>
      </w:r>
    </w:p>
    <w:p>
      <w:pPr>
        <w:pStyle w:val="TextBody"/>
        <w:bidi w:val="0"/>
        <w:spacing w:before="0" w:after="240"/>
        <w:ind w:left="0" w:right="0" w:firstLine="450"/>
        <w:jc w:val="both"/>
        <w:rPr>
          <w:rFonts w:ascii="Helvetica;sans-serif" w:hAnsi="Helvetica;sans-serif"/>
          <w:sz w:val="20"/>
        </w:rPr>
      </w:pPr>
      <w:r>
        <w:rPr>
          <w:rFonts w:ascii="Helvetica;sans-serif" w:hAnsi="Helvetica;sans-serif"/>
          <w:sz w:val="20"/>
        </w:rPr>
        <w:t>The statements in this Current Report on Form 8-K include express or implied forward-looking statements within the meaning of the “safe harbor” provisions of the Private Securities Litigation Reform Act of 1995, Section 27A of the Securities Act, and Section 21E of the Exchange Act about the Company that involve risks and uncertainties relating to future events and the future performance of the Company. Forward-looking statements relate to expectations, beliefs, projections, future plans and strategies, anticipated events or trends and similar expressions concerning matters that are not historical facts. Words such as “will,” “could,” “would,” “should,” “expect,” “plan,” “anticipate,” “intend,” “believe,” “estimate,” “predict,” “project,” “potential,” “continue,” “future,” “opportunity,” “likely,” “target,” variations of such words, and similar expressions or negatives of these words are intended to identify such forward-looking statements, although not all forward-looking statements contain these identifying words. You can also identify forward-looking statements by discussions of strategy, plans or intentions.</w:t>
      </w:r>
    </w:p>
    <w:p>
      <w:pPr>
        <w:pStyle w:val="TextBody"/>
        <w:bidi w:val="0"/>
        <w:spacing w:before="0" w:after="0"/>
        <w:ind w:left="0" w:right="0" w:firstLine="450"/>
        <w:jc w:val="both"/>
        <w:rPr>
          <w:rFonts w:ascii="Helvetica;sans-serif" w:hAnsi="Helvetica;sans-serif"/>
          <w:sz w:val="20"/>
        </w:rPr>
      </w:pPr>
      <w:r>
        <w:rPr>
          <w:rFonts w:ascii="Helvetica;sans-serif" w:hAnsi="Helvetica;sans-serif"/>
          <w:sz w:val="20"/>
        </w:rPr>
        <w:t xml:space="preserve">Examples of such forward-looking statements include, but are not limited to, express or implied statements regarding: anticipated distribution of the CVRs; the expected record date and distribution date; the potential monetization of the Legacy BioSim Assets; the timing and likelihood of any payments to holders of the CVRs; the potential impact of the Company’s Loan Agreement on </w:t>
      </w:r>
    </w:p>
    <w:p>
      <w:pPr>
        <w:pStyle w:val="TextBody"/>
        <w:bidi w:val="0"/>
        <w:spacing w:before="0" w:after="240"/>
        <w:ind w:left="0" w:right="0" w:hanging="0"/>
        <w:jc w:val="both"/>
        <w:rPr>
          <w:rFonts w:ascii="Helvetica;sans-serif" w:hAnsi="Helvetica;sans-serif"/>
          <w:sz w:val="20"/>
        </w:rPr>
      </w:pPr>
      <w:r>
        <w:rPr>
          <w:rFonts w:ascii="Helvetica;sans-serif" w:hAnsi="Helvetica;sans-serif"/>
          <w:sz w:val="20"/>
        </w:rPr>
        <w:t>its ability to make CVR Payments; and other statements that are not historical facts; and the assumptions underlying or relating to such statements.</w:t>
      </w:r>
    </w:p>
    <w:p>
      <w:pPr>
        <w:pStyle w:val="TextBody"/>
        <w:bidi w:val="0"/>
        <w:spacing w:before="0" w:after="240"/>
        <w:ind w:left="0" w:right="0" w:firstLine="450"/>
        <w:jc w:val="both"/>
        <w:rPr>
          <w:rFonts w:ascii="Helvetica;sans-serif" w:hAnsi="Helvetica;sans-serif"/>
          <w:sz w:val="20"/>
        </w:rPr>
      </w:pPr>
      <w:r>
        <w:rPr>
          <w:rFonts w:ascii="Helvetica;sans-serif" w:hAnsi="Helvetica;sans-serif"/>
          <w:sz w:val="20"/>
        </w:rPr>
        <w:t>These forward-looking statements are based on the Company’s current plans, estimates and projections. Such forward-looking statements involve substantial risks and uncertainties that could cause actual results to differ materially from those contemplated in any forward-looking statements. Such risks and uncertainties include, without limitation: uncertainties about the potential impact of unforeseen liabilities, future capital expenditures, revenues, costs, expenses, earnings, economic performance, indebtedness, financial condition and losses on the Company’s prospects, business and operations in the future; risks and uncertainties in executing collaboration agreements and other joint ventures; risks and uncertainties of conducting clinical trials; the risks of the Company’s dependence on an ability to raise funds, which may not be available on acceptable terms or at all; and risks and uncertainties of any litigation, regulatory actions and other legal proceedings.</w:t>
      </w:r>
    </w:p>
    <w:p>
      <w:pPr>
        <w:pStyle w:val="TextBody"/>
        <w:bidi w:val="0"/>
        <w:spacing w:before="0" w:after="240"/>
        <w:ind w:left="0" w:right="0" w:firstLine="450"/>
        <w:jc w:val="both"/>
        <w:rPr>
          <w:rFonts w:ascii="Helvetica;sans-serif" w:hAnsi="Helvetica;sans-serif"/>
          <w:sz w:val="20"/>
        </w:rPr>
      </w:pPr>
      <w:r>
        <w:rPr>
          <w:rFonts w:ascii="Helvetica;sans-serif" w:hAnsi="Helvetica;sans-serif"/>
          <w:sz w:val="20"/>
        </w:rPr>
        <w:t>All forward-looking statements contained herein speak only as of the date of this Current Report on Form 8-K. The Company undertakes no obligation to update or revise any forward-looking statements. For a further discussion of these and other factors that could cause the Company’s future results to differ materially from any forward-looking statements see the section entitled “Risk Factors” in the Company’s Quarterly Report on Form 10-Q for the period ended June 30, 2026, filed with the SEC on August 5, 2026, as updated by the Company’s subsequent reports filed with the Securities and Exchange Commission.</w:t>
      </w:r>
    </w:p>
    <w:p>
      <w:pPr>
        <w:pStyle w:val="TextBody"/>
        <w:bidi w:val="0"/>
        <w:spacing w:before="0" w:after="240"/>
        <w:ind w:left="0" w:right="0" w:hanging="0"/>
        <w:jc w:val="left"/>
        <w:rPr>
          <w:rFonts w:ascii="Helvetica;sans-serif" w:hAnsi="Helvetica;sans-serif"/>
          <w:b/>
          <w:sz w:val="20"/>
        </w:rPr>
      </w:pPr>
      <w:bookmarkStart w:id="58" w:name="_c5a07d03_0790_48f5_856d_96bde48b14b0"/>
      <w:bookmarkEnd w:id="58"/>
      <w:r>
        <w:rPr>
          <w:rFonts w:ascii="Helvetica;sans-serif" w:hAnsi="Helvetica;sans-serif"/>
          <w:b/>
          <w:sz w:val="20"/>
        </w:rPr>
        <w:t>Item 9.01 Financial Statements and Exhibits.</w:t>
      </w:r>
    </w:p>
    <w:p>
      <w:pPr>
        <w:pStyle w:val="TextBody"/>
        <w:bidi w:val="0"/>
        <w:spacing w:before="0" w:after="240"/>
        <w:ind w:left="0" w:right="0" w:hanging="0"/>
        <w:jc w:val="left"/>
        <w:rPr>
          <w:rFonts w:ascii="Helvetica;sans-serif" w:hAnsi="Helvetica;sans-serif"/>
          <w:sz w:val="20"/>
        </w:rPr>
      </w:pPr>
      <w:r>
        <w:rPr>
          <w:rFonts w:ascii="Helvetica;sans-serif" w:hAnsi="Helvetica;sans-serif"/>
          <w:sz w:val="20"/>
        </w:rPr>
        <w:t xml:space="preserve">(d) Exhibits </w:t>
      </w:r>
    </w:p>
    <w:tbl>
      <w:tblPr>
        <w:tblW w:w="10205" w:type="dxa"/>
        <w:jc w:val="left"/>
        <w:tblInd w:w="0" w:type="dxa"/>
        <w:tblLayout w:type="fixed"/>
        <w:tblCellMar>
          <w:top w:w="0" w:type="dxa"/>
          <w:left w:w="0" w:type="dxa"/>
          <w:bottom w:w="0" w:type="dxa"/>
          <w:right w:w="0" w:type="dxa"/>
        </w:tblCellMar>
      </w:tblPr>
      <w:tblGrid>
        <w:gridCol w:w="1060"/>
        <w:gridCol w:w="286"/>
        <w:gridCol w:w="8859"/>
      </w:tblGrid>
      <w:tr>
        <w:trPr/>
        <w:tc>
          <w:tcPr>
            <w:tcW w:w="10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73100" cy="29210"/>
                      <wp:effectExtent l="0" t="0" r="0" b="0"/>
                      <wp:wrapNone/>
                      <wp:docPr id="8" name="Frame8"/>
                      <a:graphic xmlns:a="http://schemas.openxmlformats.org/drawingml/2006/main">
                        <a:graphicData uri="http://schemas.microsoft.com/office/word/2010/wordprocessingShape">
                          <wps:wsp>
                            <wps:cNvSpPr txBox="1"/>
                            <wps:spPr>
                              <a:xfrm>
                                <a:off x="0" y="0"/>
                                <a:ext cx="67310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p>
        </w:tc>
        <w:tc>
          <w:tcPr>
            <w:tcW w:w="8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625465" cy="29210"/>
                      <wp:effectExtent l="0" t="0" r="0" b="0"/>
                      <wp:wrapNone/>
                      <wp:docPr id="9" name="Frame9"/>
                      <a:graphic xmlns:a="http://schemas.openxmlformats.org/drawingml/2006/main">
                        <a:graphicData uri="http://schemas.microsoft.com/office/word/2010/wordprocessingShape">
                          <wps:wsp>
                            <wps:cNvSpPr txBox="1"/>
                            <wps:spPr>
                              <a:xfrm>
                                <a:off x="0" y="0"/>
                                <a:ext cx="56254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060" w:type="dxa"/>
            <w:tcBorders>
              <w:bottom w:val="single" w:sz="8" w:space="0" w:color="000000"/>
            </w:tcBorders>
            <w:tcMar>
              <w:bottom w:w="28" w:type="dxa"/>
            </w:tcMar>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Exhibit No.</w:t>
            </w:r>
          </w:p>
        </w:tc>
        <w:tc>
          <w:tcPr>
            <w:tcW w:w="286" w:type="dxa"/>
            <w:tcBorders/>
            <w:vAlign w:val="center"/>
          </w:tcPr>
          <w:p>
            <w:pPr>
              <w:pStyle w:val="TableContents"/>
              <w:bidi w:val="0"/>
              <w:spacing w:before="0" w:after="0"/>
              <w:ind w:left="0" w:right="0" w:hanging="0"/>
              <w:jc w:val="left"/>
              <w:rPr/>
            </w:pPr>
            <w:r>
              <w:rPr/>
              <w:t>  ​ ​</w:t>
            </w:r>
          </w:p>
        </w:tc>
        <w:tc>
          <w:tcPr>
            <w:tcW w:w="8859" w:type="dxa"/>
            <w:tcBorders>
              <w:bottom w:val="single" w:sz="8" w:space="0" w:color="000000"/>
            </w:tcBorders>
            <w:tcMar>
              <w:bottom w:w="28" w:type="dxa"/>
            </w:tcMar>
            <w:vAlign w:val="center"/>
          </w:tcPr>
          <w:p>
            <w:pPr>
              <w:pStyle w:val="TableContents"/>
              <w:bidi w:val="0"/>
              <w:spacing w:before="0" w:after="0"/>
              <w:ind w:left="0" w:right="0" w:hanging="0"/>
              <w:jc w:val="left"/>
              <w:rPr>
                <w:rFonts w:ascii="Helvetica;sans-serif" w:hAnsi="Helvetica;sans-serif"/>
                <w:b/>
                <w:sz w:val="20"/>
              </w:rPr>
            </w:pPr>
            <w:r>
              <w:rPr>
                <w:rFonts w:ascii="Helvetica;sans-serif" w:hAnsi="Helvetica;sans-serif"/>
                <w:b/>
                <w:sz w:val="20"/>
              </w:rPr>
              <w:t>Description</w:t>
            </w:r>
          </w:p>
        </w:tc>
      </w:tr>
      <w:tr>
        <w:trPr/>
        <w:tc>
          <w:tcPr>
            <w:tcW w:w="1060"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99.1</w:t>
            </w:r>
          </w:p>
        </w:tc>
        <w:tc>
          <w:tcPr>
            <w:tcW w:w="286" w:type="dxa"/>
            <w:tcBorders/>
            <w:vAlign w:val="center"/>
          </w:tcPr>
          <w:p>
            <w:pPr>
              <w:pStyle w:val="TableContents"/>
              <w:bidi w:val="0"/>
              <w:spacing w:before="0" w:after="283"/>
              <w:ind w:left="0" w:right="0" w:hanging="0"/>
              <w:jc w:val="left"/>
              <w:rPr>
                <w:sz w:val="4"/>
                <w:szCs w:val="4"/>
              </w:rPr>
            </w:pPr>
            <w:r>
              <w:rPr>
                <w:sz w:val="4"/>
                <w:szCs w:val="4"/>
              </w:rPr>
            </w:r>
          </w:p>
        </w:tc>
        <w:tc>
          <w:tcPr>
            <w:tcW w:w="8859" w:type="dxa"/>
            <w:tcBorders/>
            <w:vAlign w:val="center"/>
          </w:tcPr>
          <w:p>
            <w:pPr>
              <w:pStyle w:val="TableContents"/>
              <w:bidi w:val="0"/>
              <w:spacing w:before="0" w:after="0"/>
              <w:ind w:left="0" w:right="0" w:hanging="0"/>
              <w:jc w:val="left"/>
              <w:rPr/>
            </w:pPr>
            <w:hyperlink w:anchor="chrs-20260817xex99d1.htm">
              <w:r>
                <w:rPr>
                  <w:rStyle w:val="InternetLink"/>
                  <w:rFonts w:ascii="Helvetica;sans-serif" w:hAnsi="Helvetica;sans-serif"/>
                  <w:b w:val="false"/>
                  <w:i w:val="false"/>
                  <w:caps w:val="false"/>
                  <w:smallCaps w:val="false"/>
                  <w:sz w:val="20"/>
                </w:rPr>
                <w:t>Press release dated August 17, 2026</w:t>
              </w:r>
            </w:hyperlink>
          </w:p>
        </w:tc>
      </w:tr>
      <w:tr>
        <w:trPr/>
        <w:tc>
          <w:tcPr>
            <w:tcW w:w="1060"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99.2</w:t>
            </w:r>
          </w:p>
        </w:tc>
        <w:tc>
          <w:tcPr>
            <w:tcW w:w="286" w:type="dxa"/>
            <w:tcBorders/>
            <w:vAlign w:val="center"/>
          </w:tcPr>
          <w:p>
            <w:pPr>
              <w:pStyle w:val="TableContents"/>
              <w:bidi w:val="0"/>
              <w:spacing w:before="0" w:after="0"/>
              <w:ind w:left="0" w:right="0" w:hanging="0"/>
              <w:jc w:val="left"/>
              <w:rPr/>
            </w:pPr>
            <w:r>
              <w:rPr/>
              <w:t>​</w:t>
            </w:r>
          </w:p>
        </w:tc>
        <w:tc>
          <w:tcPr>
            <w:tcW w:w="8859" w:type="dxa"/>
            <w:tcBorders/>
            <w:vAlign w:val="center"/>
          </w:tcPr>
          <w:p>
            <w:pPr>
              <w:pStyle w:val="TableContents"/>
              <w:bidi w:val="0"/>
              <w:spacing w:before="0" w:after="0"/>
              <w:ind w:left="0" w:right="0" w:hanging="0"/>
              <w:jc w:val="left"/>
              <w:rPr/>
            </w:pPr>
            <w:hyperlink w:anchor="chrs-20260817xex99d2.htm">
              <w:r>
                <w:rPr>
                  <w:rStyle w:val="InternetLink"/>
                  <w:rFonts w:ascii="Helvetica;sans-serif" w:hAnsi="Helvetica;sans-serif"/>
                  <w:b w:val="false"/>
                  <w:i w:val="false"/>
                  <w:caps w:val="false"/>
                  <w:smallCaps w:val="false"/>
                  <w:sz w:val="20"/>
                </w:rPr>
                <w:t>Stockholder Frequently Asked Questions</w:t>
              </w:r>
            </w:hyperlink>
          </w:p>
        </w:tc>
      </w:tr>
      <w:tr>
        <w:trPr/>
        <w:tc>
          <w:tcPr>
            <w:tcW w:w="1060"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99.3</w:t>
            </w:r>
          </w:p>
        </w:tc>
        <w:tc>
          <w:tcPr>
            <w:tcW w:w="286" w:type="dxa"/>
            <w:tcBorders/>
            <w:vAlign w:val="center"/>
          </w:tcPr>
          <w:p>
            <w:pPr>
              <w:pStyle w:val="TableContents"/>
              <w:bidi w:val="0"/>
              <w:spacing w:before="0" w:after="0"/>
              <w:ind w:left="0" w:right="0" w:hanging="0"/>
              <w:jc w:val="left"/>
              <w:rPr/>
            </w:pPr>
            <w:r>
              <w:rPr/>
              <w:t>​</w:t>
            </w:r>
          </w:p>
        </w:tc>
        <w:tc>
          <w:tcPr>
            <w:tcW w:w="8859" w:type="dxa"/>
            <w:tcBorders/>
            <w:vAlign w:val="center"/>
          </w:tcPr>
          <w:p>
            <w:pPr>
              <w:pStyle w:val="TableContents"/>
              <w:bidi w:val="0"/>
              <w:spacing w:before="0" w:after="0"/>
              <w:ind w:left="0" w:right="0" w:hanging="0"/>
              <w:jc w:val="left"/>
              <w:rPr/>
            </w:pPr>
            <w:hyperlink w:anchor="chrs-20260817xex99d3.htm">
              <w:r>
                <w:rPr>
                  <w:rStyle w:val="InternetLink"/>
                  <w:rFonts w:ascii="Helvetica;sans-serif" w:hAnsi="Helvetica;sans-serif"/>
                  <w:b w:val="false"/>
                  <w:i w:val="false"/>
                  <w:caps w:val="false"/>
                  <w:smallCaps w:val="false"/>
                  <w:sz w:val="20"/>
                </w:rPr>
                <w:t>Contingent Value Rights Agreement, by and between the Company and Equiniti Trust Company, LLC, dated as of August 17, 2026</w:t>
              </w:r>
            </w:hyperlink>
          </w:p>
        </w:tc>
      </w:tr>
      <w:tr>
        <w:trPr/>
        <w:tc>
          <w:tcPr>
            <w:tcW w:w="1060"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104</w:t>
            </w:r>
          </w:p>
        </w:tc>
        <w:tc>
          <w:tcPr>
            <w:tcW w:w="286" w:type="dxa"/>
            <w:tcBorders/>
            <w:vAlign w:val="center"/>
          </w:tcPr>
          <w:p>
            <w:pPr>
              <w:pStyle w:val="TableContents"/>
              <w:bidi w:val="0"/>
              <w:spacing w:before="0" w:after="283"/>
              <w:ind w:left="0" w:right="0" w:hanging="0"/>
              <w:jc w:val="left"/>
              <w:rPr>
                <w:sz w:val="4"/>
                <w:szCs w:val="4"/>
              </w:rPr>
            </w:pPr>
            <w:r>
              <w:rPr>
                <w:sz w:val="4"/>
                <w:szCs w:val="4"/>
              </w:rPr>
            </w:r>
          </w:p>
        </w:tc>
        <w:tc>
          <w:tcPr>
            <w:tcW w:w="8859"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Helvetica;sans-serif" w:hAnsi="Helvetica;sans-serif"/>
          <w:b/>
          <w:sz w:val="20"/>
        </w:rPr>
      </w:pPr>
      <w:r>
        <w:rPr>
          <w:rFonts w:ascii="Helvetica;sans-serif" w:hAnsi="Helvetica;sans-serif"/>
          <w:b/>
          <w:sz w:val="20"/>
        </w:rPr>
        <w:t>SIGNATURES</w:t>
      </w:r>
    </w:p>
    <w:p>
      <w:pPr>
        <w:pStyle w:val="TextBody"/>
        <w:bidi w:val="0"/>
        <w:spacing w:before="0" w:after="240"/>
        <w:ind w:left="0" w:right="0" w:firstLine="489"/>
        <w:jc w:val="left"/>
        <w:rPr>
          <w:rFonts w:ascii="Helvetica;sans-serif" w:hAnsi="Helvetica;sans-serif"/>
          <w:sz w:val="20"/>
        </w:rPr>
      </w:pPr>
      <w:r>
        <w:rPr>
          <w:rFonts w:ascii="Helvetica;sans-serif" w:hAnsi="Helvetica;sans-serif"/>
          <w:sz w:val="20"/>
        </w:rPr>
        <w:t>Pursuant to the requirements of the Securities Exchange Act of 1934, as amended, the registrant has duly caused this report to be signed on its behalf by the undersigned hereunto duly authorized.</w:t>
      </w:r>
    </w:p>
    <w:tbl>
      <w:tblPr>
        <w:tblW w:w="4983" w:type="dxa"/>
        <w:jc w:val="left"/>
        <w:tblInd w:w="0" w:type="dxa"/>
        <w:tblLayout w:type="fixed"/>
        <w:tblCellMar>
          <w:top w:w="0" w:type="dxa"/>
          <w:left w:w="0" w:type="dxa"/>
          <w:bottom w:w="0" w:type="dxa"/>
          <w:right w:w="0" w:type="dxa"/>
        </w:tblCellMar>
      </w:tblPr>
      <w:tblGrid>
        <w:gridCol w:w="2071"/>
        <w:gridCol w:w="736"/>
        <w:gridCol w:w="217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15085" cy="29210"/>
                      <wp:effectExtent l="0" t="0" r="0" b="0"/>
                      <wp:wrapNone/>
                      <wp:docPr id="10" name="Frame10"/>
                      <a:graphic xmlns:a="http://schemas.openxmlformats.org/drawingml/2006/main">
                        <a:graphicData uri="http://schemas.microsoft.com/office/word/2010/wordprocessingShape">
                          <wps:wsp>
                            <wps:cNvSpPr txBox="1"/>
                            <wps:spPr>
                              <a:xfrm>
                                <a:off x="0" y="0"/>
                                <a:ext cx="1315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67360" cy="29210"/>
                      <wp:effectExtent l="0" t="0" r="0" b="0"/>
                      <wp:wrapNone/>
                      <wp:docPr id="11" name="Frame11"/>
                      <a:graphic xmlns:a="http://schemas.openxmlformats.org/drawingml/2006/main">
                        <a:graphicData uri="http://schemas.microsoft.com/office/word/2010/wordprocessingShape">
                          <wps:wsp>
                            <wps:cNvSpPr txBox="1"/>
                            <wps:spPr>
                              <a:xfrm>
                                <a:off x="0" y="0"/>
                                <a:ext cx="4673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81760" cy="29210"/>
                      <wp:effectExtent l="0" t="0" r="0" b="0"/>
                      <wp:wrapNone/>
                      <wp:docPr id="12" name="Frame12"/>
                      <a:graphic xmlns:a="http://schemas.openxmlformats.org/drawingml/2006/main">
                        <a:graphicData uri="http://schemas.microsoft.com/office/word/2010/wordprocessingShape">
                          <wps:wsp>
                            <wps:cNvSpPr txBox="1"/>
                            <wps:spPr>
                              <a:xfrm>
                                <a:off x="0" y="0"/>
                                <a:ext cx="13817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071"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Date: August 17, 2026</w:t>
            </w:r>
          </w:p>
        </w:tc>
        <w:tc>
          <w:tcPr>
            <w:tcW w:w="2912" w:type="dxa"/>
            <w:gridSpan w:val="2"/>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COHERUS ONCOLOGY, INC.</w:t>
            </w:r>
          </w:p>
        </w:tc>
      </w:tr>
      <w:tr>
        <w:trPr/>
        <w:tc>
          <w:tcPr>
            <w:tcW w:w="2071"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283"/>
              <w:ind w:left="0" w:right="0" w:hanging="0"/>
              <w:jc w:val="left"/>
              <w:rPr>
                <w:sz w:val="4"/>
                <w:szCs w:val="4"/>
              </w:rPr>
            </w:pPr>
            <w:r>
              <w:rPr>
                <w:sz w:val="4"/>
                <w:szCs w:val="4"/>
              </w:rPr>
            </w:r>
          </w:p>
        </w:tc>
        <w:tc>
          <w:tcPr>
            <w:tcW w:w="2176" w:type="dxa"/>
            <w:tcBorders/>
            <w:vAlign w:val="center"/>
          </w:tcPr>
          <w:p>
            <w:pPr>
              <w:pStyle w:val="TableContents"/>
              <w:bidi w:val="0"/>
              <w:spacing w:before="0" w:after="283"/>
              <w:ind w:left="0" w:right="0" w:hanging="0"/>
              <w:jc w:val="left"/>
              <w:rPr>
                <w:sz w:val="4"/>
                <w:szCs w:val="4"/>
              </w:rPr>
            </w:pPr>
            <w:r>
              <w:rPr>
                <w:sz w:val="4"/>
                <w:szCs w:val="4"/>
              </w:rPr>
            </w:r>
          </w:p>
        </w:tc>
      </w:tr>
      <w:tr>
        <w:trPr/>
        <w:tc>
          <w:tcPr>
            <w:tcW w:w="2071"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By:</w:t>
            </w:r>
          </w:p>
        </w:tc>
        <w:tc>
          <w:tcPr>
            <w:tcW w:w="2176" w:type="dxa"/>
            <w:tcBorders>
              <w:bottom w:val="single" w:sz="2" w:space="0" w:color="000000"/>
            </w:tcBorders>
            <w:tcMar>
              <w:bottom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/s/ Dennis M. Lanfear</w:t>
            </w:r>
          </w:p>
        </w:tc>
      </w:tr>
      <w:tr>
        <w:trPr/>
        <w:tc>
          <w:tcPr>
            <w:tcW w:w="2071"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Name: </w:t>
            </w:r>
          </w:p>
        </w:tc>
        <w:tc>
          <w:tcPr>
            <w:tcW w:w="2176" w:type="dxa"/>
            <w:tcBorders>
              <w:top w:val="single" w:sz="2" w:space="0" w:color="000000"/>
            </w:tcBorders>
            <w:tcMar>
              <w:top w:w="28" w:type="dxa"/>
            </w:tcMar>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Dennis M. Lanfear</w:t>
            </w:r>
          </w:p>
        </w:tc>
      </w:tr>
      <w:tr>
        <w:trPr/>
        <w:tc>
          <w:tcPr>
            <w:tcW w:w="2071" w:type="dxa"/>
            <w:tcBorders/>
            <w:vAlign w:val="center"/>
          </w:tcPr>
          <w:p>
            <w:pPr>
              <w:pStyle w:val="TableContents"/>
              <w:bidi w:val="0"/>
              <w:spacing w:before="0" w:after="283"/>
              <w:ind w:left="0" w:right="0" w:hanging="0"/>
              <w:jc w:val="left"/>
              <w:rPr>
                <w:sz w:val="4"/>
                <w:szCs w:val="4"/>
              </w:rPr>
            </w:pPr>
            <w:r>
              <w:rPr>
                <w:sz w:val="4"/>
                <w:szCs w:val="4"/>
              </w:rPr>
            </w:r>
          </w:p>
        </w:tc>
        <w:tc>
          <w:tcPr>
            <w:tcW w:w="73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Title:</w:t>
            </w:r>
          </w:p>
        </w:tc>
        <w:tc>
          <w:tcPr>
            <w:tcW w:w="2176" w:type="dxa"/>
            <w:tcBorders/>
            <w:vAlign w:val="center"/>
          </w:tcPr>
          <w:p>
            <w:pPr>
              <w:pStyle w:val="TableContents"/>
              <w:bidi w:val="0"/>
              <w:spacing w:before="0" w:after="0"/>
              <w:ind w:left="0" w:right="0" w:hanging="0"/>
              <w:jc w:val="left"/>
              <w:rPr>
                <w:rFonts w:ascii="Helvetica;sans-serif" w:hAnsi="Helvetica;sans-serif"/>
                <w:sz w:val="20"/>
              </w:rPr>
            </w:pPr>
            <w:r>
              <w:rPr>
                <w:rFonts w:ascii="Helvetica;sans-serif" w:hAnsi="Helvetica;sans-serif"/>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285" w:before="0" w:after="0"/>
        <w:ind w:left="0" w:right="0" w:hanging="0"/>
        <w:jc w:val="right"/>
        <w:rPr>
          <w:rFonts w:ascii="Aptos" w:hAnsi="Aptos"/>
          <w:b/>
          <w:sz w:val="20"/>
        </w:rPr>
      </w:pPr>
      <w:bookmarkStart w:id="59" w:name="chrs-20260817xex99d1.htm"/>
      <w:bookmarkStart w:id="60" w:name="kschrs20260817xex99d1"/>
      <w:bookmarkEnd w:id="59"/>
      <w:bookmarkEnd w:id="60"/>
      <w:r>
        <w:rPr>
          <w:rFonts w:ascii="Aptos" w:hAnsi="Aptos"/>
          <w:b/>
          <w:sz w:val="20"/>
        </w:rPr>
        <w:t>Exhibit 99.1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drawing>
          <wp:inline distT="0" distB="0" distL="0" distR="0">
            <wp:extent cx="2070735" cy="619125"/>
            <wp:effectExtent l="0" t="0" r="0" b="0"/>
            <wp:docPr id="1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 descr=""/>
                    <pic:cNvPicPr>
                      <a:picLocks noChangeAspect="1" noChangeArrowheads="1"/>
                    </pic:cNvPicPr>
                  </pic:nvPicPr>
                  <pic:blipFill>
                    <a:blip r:embed="rId2"/>
                    <a:stretch>
                      <a:fillRect/>
                    </a:stretch>
                  </pic:blipFill>
                  <pic:spPr bwMode="auto">
                    <a:xfrm>
                      <a:off x="0" y="0"/>
                      <a:ext cx="2070735" cy="619125"/>
                    </a:xfrm>
                    <a:prstGeom prst="rect">
                      <a:avLst/>
                    </a:prstGeom>
                  </pic:spPr>
                </pic:pic>
              </a:graphicData>
            </a:graphic>
          </wp:inline>
        </w:drawing>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Helvetica;sans-serif" w:hAnsi="Helvetica;sans-serif"/>
          <w:b/>
          <w:sz w:val="22"/>
        </w:rPr>
      </w:pPr>
      <w:r>
        <w:rPr>
          <w:rFonts w:ascii="Helvetica;sans-serif" w:hAnsi="Helvetica;sans-serif"/>
          <w:b/>
          <w:sz w:val="22"/>
        </w:rPr>
        <w:t>Coherus Oncology Announces Special Dividend of Biosimilar Contingent Value Rights</w:t>
      </w:r>
    </w:p>
    <w:p>
      <w:pPr>
        <w:pStyle w:val="TextBody"/>
        <w:bidi w:val="0"/>
        <w:spacing w:lineRule="auto" w:line="285" w:before="0" w:after="0"/>
        <w:ind w:left="0" w:right="0" w:hanging="0"/>
        <w:jc w:val="center"/>
        <w:rPr/>
      </w:pPr>
      <w:r>
        <w:rPr/>
        <w:t>​</w:t>
      </w:r>
    </w:p>
    <w:p>
      <w:pPr>
        <w:pStyle w:val="TextBody"/>
        <w:bidi w:val="0"/>
        <w:spacing w:lineRule="auto" w:line="285" w:before="0" w:after="60"/>
        <w:ind w:left="0" w:right="0" w:hanging="0"/>
        <w:jc w:val="center"/>
        <w:rPr/>
      </w:pPr>
      <w:r>
        <w:rPr/>
        <w:t xml:space="preserve">– </w:t>
      </w:r>
      <w:r>
        <w:rPr>
          <w:rFonts w:ascii="Helvetica;sans-serif" w:hAnsi="Helvetica;sans-serif"/>
          <w:i/>
          <w:sz w:val="22"/>
        </w:rPr>
        <w:t>Entitles holders to receive net proceeds from sale of remaining Legacy Biosimilar Assets –</w:t>
      </w:r>
    </w:p>
    <w:p>
      <w:pPr>
        <w:pStyle w:val="TextBody"/>
        <w:bidi w:val="0"/>
        <w:spacing w:lineRule="auto" w:line="285" w:before="0" w:after="60"/>
        <w:ind w:left="0" w:right="0" w:hanging="0"/>
        <w:jc w:val="center"/>
        <w:rPr/>
      </w:pPr>
      <w:r>
        <w:rPr/>
        <w:t xml:space="preserve">– </w:t>
      </w:r>
      <w:r>
        <w:rPr>
          <w:rFonts w:ascii="Helvetica;sans-serif" w:hAnsi="Helvetica;sans-serif"/>
          <w:i/>
          <w:sz w:val="22"/>
        </w:rPr>
        <w:t xml:space="preserve">Completes transformation of Coherus Oncology into a fully integrated, innovative immuno-oncology company –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2"/>
        </w:rPr>
      </w:pPr>
      <w:r>
        <w:rPr>
          <w:rFonts w:ascii="Helvetica;sans-serif" w:hAnsi="Helvetica;sans-serif"/>
          <w:sz w:val="22"/>
        </w:rPr>
        <w:t>REDWOOD CITY, Calif., August 17, 2026 (GLOBE NEWSWIRE) -- </w:t>
      </w:r>
      <w:bookmarkStart w:id="61" w:name="_Hlk219469775"/>
      <w:bookmarkEnd w:id="61"/>
      <w:r>
        <w:rPr>
          <w:rFonts w:ascii="Helvetica;sans-serif" w:hAnsi="Helvetica;sans-serif"/>
          <w:sz w:val="22"/>
        </w:rPr>
        <w:t>Coherus Oncology, Inc.</w:t>
      </w:r>
      <w:r>
        <w:rPr>
          <w:rFonts w:ascii="Times New Roman;Times;serif" w:hAnsi="Times New Roman;Times;serif"/>
          <w:sz w:val="22"/>
        </w:rPr>
        <w:t> </w:t>
      </w:r>
      <w:r>
        <w:rPr>
          <w:rFonts w:ascii="Helvetica;sans-serif" w:hAnsi="Helvetica;sans-serif"/>
          <w:sz w:val="22"/>
        </w:rPr>
        <w:t xml:space="preserve">(NASDAQ: CHRS) (“Coherus”, “Coherus Oncology” or the “Company”) today announced a special dividend of contingent value rights (each, a “CVR” and collectively, the “CVRs”), which will be distributed on a pro rata basis to </w:t>
      </w:r>
      <w:bookmarkStart w:id="62" w:name="_Hlk219470737"/>
      <w:bookmarkEnd w:id="62"/>
      <w:r>
        <w:rPr>
          <w:rFonts w:ascii="Helvetica;sans-serif" w:hAnsi="Helvetica;sans-serif"/>
          <w:sz w:val="22"/>
        </w:rPr>
        <w:t>stockholders of record of the Company’s common stock as of 5:00 p.m., New York City time, on September 30, 2026 (the “Record Date”).</w:t>
      </w:r>
      <w:r>
        <w:rPr>
          <w:rFonts w:ascii="Times New Roman;Times;serif" w:hAnsi="Times New Roman;Times;serif"/>
          <w:sz w:val="22"/>
        </w:rPr>
        <w:t xml:space="preserve">  </w:t>
      </w:r>
      <w:r>
        <w:rPr>
          <w:rFonts w:ascii="Helvetica;sans-serif" w:hAnsi="Helvetica;sans-serif"/>
          <w:sz w:val="22"/>
        </w:rPr>
        <w:t>The distribution date for the CVRs (the “Distribution Date”) will be October 7, 2026.</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r>
        <w:rPr>
          <w:rFonts w:ascii="Helvetica;sans-serif" w:hAnsi="Helvetica;sans-serif"/>
          <w:sz w:val="22"/>
        </w:rPr>
        <w:t>We believe now is the right time to divest our remaining biosimilar assets and complete our transformation into a focused, innovative oncology company,” said Denny Lanfear, President &amp; Chief Executive Officer of Coherus Oncology. “We believe the assets underpinning this CVR, comprising  biosimilars patents, intellectual property, a royalty stream, cell lines and other materials, would be an attractive bolt on for an existing biosimilars company or serve as a solid foundation for a new entrant into biosimilars. This is particularly true as draft FDA guidance would no longer require comparative clinical efficacy trials or switching studies for biosimilar approvals</w:t>
      </w:r>
      <w:r>
        <w:rPr>
          <w:rFonts w:ascii="Times New Roman;Times;serif" w:hAnsi="Times New Roman;Times;serif"/>
          <w:sz w:val="24"/>
        </w:rPr>
        <w:t>.</w:t>
      </w:r>
      <w:r>
        <w:rPr>
          <w:rFonts w:ascii="Times New Roman;Times;serif" w:hAnsi="Times New Roman;Times;serif"/>
          <w:sz w:val="22"/>
        </w:rPr>
        <w:t xml:space="preserve"> </w:t>
      </w:r>
      <w:r>
        <w:rPr>
          <w:rFonts w:ascii="Helvetica;sans-serif" w:hAnsi="Helvetica;sans-serif"/>
          <w:sz w:val="22"/>
        </w:rPr>
        <w:t>We view this CVR dividend</w:t>
      </w:r>
      <w:r>
        <w:rPr>
          <w:rFonts w:ascii="Times New Roman;Times;serif" w:hAnsi="Times New Roman;Times;serif"/>
          <w:sz w:val="22"/>
        </w:rPr>
        <w:t xml:space="preserve"> </w:t>
      </w:r>
      <w:r>
        <w:rPr>
          <w:rFonts w:ascii="Helvetica;sans-serif" w:hAnsi="Helvetica;sans-serif"/>
          <w:sz w:val="22"/>
        </w:rPr>
        <w:t>as a disciplined and shareholder-focused approach that seeks to unlock value from assets that are no longer central to our strategy, while we enhance our focus on increasing shareholder value through innovative oncology.</w:t>
      </w:r>
      <w:r>
        <w:rPr>
          <w:rFonts w:ascii="Times New Roman;Times;serif" w:hAnsi="Times New Roman;Times;serif"/>
          <w:sz w:val="22"/>
        </w:rPr>
        <w:t>”</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Helvetica;sans-serif" w:hAnsi="Helvetica;sans-serif"/>
          <w:b/>
          <w:sz w:val="22"/>
        </w:rPr>
      </w:pPr>
      <w:r>
        <w:rPr>
          <w:rFonts w:ascii="Helvetica;sans-serif" w:hAnsi="Helvetica;sans-serif"/>
          <w:b/>
          <w:sz w:val="22"/>
        </w:rPr>
        <w:t>CVR Terms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The CVRs will provide the Company’s stockholders with the opportunity to receive any future cash payments based on the net cash proceeds that the Company receives from the sale or other monetization of certain assets associated with the Company’s former biosimilars business (the “Legacy BioSim Assets”) and from the sale of any non-cash consideration that the Company receives from such sales or other monetizations.  </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 xml:space="preserve">The Legacy BioSim Assets include: </w:t>
      </w:r>
    </w:p>
    <w:p>
      <w:pPr>
        <w:pStyle w:val="TextBody"/>
        <w:bidi w:val="0"/>
        <w:spacing w:lineRule="auto" w:line="285" w:before="0" w:after="0"/>
        <w:ind w:left="858" w:right="0" w:hanging="0"/>
        <w:jc w:val="left"/>
        <w:rPr/>
      </w:pPr>
      <w:r>
        <w:rPr>
          <w:color w:val="212121"/>
        </w:rPr>
        <w:t>●</w:t>
      </w:r>
      <w:r>
        <w:rPr>
          <w:rFonts w:ascii="Helvetica;sans-serif" w:hAnsi="Helvetica;sans-serif"/>
          <w:color w:val="212121"/>
          <w:sz w:val="22"/>
        </w:rPr>
        <w:t>Patents and intellectual property</w:t>
      </w:r>
    </w:p>
    <w:p>
      <w:pPr>
        <w:pStyle w:val="TextBody"/>
        <w:bidi w:val="0"/>
        <w:spacing w:lineRule="auto" w:line="285" w:before="0" w:after="0"/>
        <w:ind w:left="858" w:right="0" w:hanging="0"/>
        <w:jc w:val="left"/>
        <w:rPr/>
      </w:pPr>
      <w:r>
        <w:rPr>
          <w:color w:val="212121"/>
        </w:rPr>
        <w:t>●</w:t>
      </w:r>
      <w:r>
        <w:rPr>
          <w:rFonts w:ascii="Helvetica;sans-serif" w:hAnsi="Helvetica;sans-serif"/>
          <w:color w:val="212121"/>
          <w:sz w:val="22"/>
        </w:rPr>
        <w:t>Royalties under an existing license agreement</w:t>
      </w:r>
    </w:p>
    <w:p>
      <w:pPr>
        <w:pStyle w:val="TextBody"/>
        <w:bidi w:val="0"/>
        <w:spacing w:lineRule="auto" w:line="285" w:before="0" w:after="0"/>
        <w:ind w:left="858" w:right="0" w:hanging="0"/>
        <w:jc w:val="left"/>
        <w:rPr/>
      </w:pPr>
      <w:r>
        <w:rPr>
          <w:color w:val="212121"/>
        </w:rPr>
        <w:t>●</w:t>
      </w:r>
      <w:r>
        <w:rPr>
          <w:rFonts w:ascii="Helvetica;sans-serif" w:hAnsi="Helvetica;sans-serif"/>
          <w:color w:val="212121"/>
          <w:sz w:val="22"/>
        </w:rPr>
        <w:t>Cell lines</w:t>
      </w:r>
    </w:p>
    <w:p>
      <w:pPr>
        <w:pStyle w:val="TextBody"/>
        <w:bidi w:val="0"/>
        <w:spacing w:lineRule="auto" w:line="285"/>
        <w:ind w:left="858" w:right="0" w:hanging="0"/>
        <w:jc w:val="left"/>
        <w:rPr/>
      </w:pPr>
      <w:r>
        <w:rPr>
          <w:color w:val="212121"/>
        </w:rPr>
        <w:t>●</w:t>
      </w:r>
      <w:r>
        <w:rPr>
          <w:rFonts w:ascii="Helvetica;sans-serif" w:hAnsi="Helvetica;sans-serif"/>
          <w:color w:val="212121"/>
          <w:sz w:val="22"/>
        </w:rPr>
        <w:t>Related materials such as laboratory notebooks, regulatory filings, and product samples.</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 xml:space="preserve">Pursuant to the terms and conditions set forth in a contingent value rights agreement entered into between the Company and Equiniti Trust Company, LLC, which will be included as an exhibit to the Form 8-K that the Company intends to file with the U.S. Securities and Exchange Commission (the “SEC”) on August 17, 2026, holders of the CVRs will be entitled to receive their pro rata share of any net cash proceeds, and the net cash proceeds from the sale of other non-cash consideration,  actually received by the Company from third parties in consideration for the sale of the Legacy BioSim Assets or as licensing fees under any licensing agreement for the Legacy BioSim Assets.  The Company intends to immediately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 xml:space="preserve">commence a sale process for the Legacy BioSim Assets, and has retained an investment bank as a capital markets advisor to assist the Company in this regard. </w:t>
      </w:r>
    </w:p>
    <w:p>
      <w:pPr>
        <w:pStyle w:val="TextBody"/>
        <w:bidi w:val="0"/>
        <w:spacing w:lineRule="auto" w:line="285" w:before="0" w:after="0"/>
        <w:ind w:left="0" w:right="0" w:hanging="0"/>
        <w:jc w:val="both"/>
        <w:rPr>
          <w:rFonts w:ascii="Times New Roman;Times;serif" w:hAnsi="Times New Roman;Times;serif"/>
          <w:sz w:val="22"/>
        </w:rPr>
      </w:pPr>
      <w:r>
        <w:rPr>
          <w:rFonts w:ascii="Helvetica;sans-serif" w:hAnsi="Helvetica;sans-serif"/>
          <w:sz w:val="22"/>
        </w:rPr>
        <w:t>To be eligible to receive the CVRs, an investor must be a stockholder of record as of the Record Date.  Investors should contact their brokers with any questions regarding their holder status as of the Record Date.  The CVRs will be non-transferrable, will not be listed on any securities exchange, and will not have a public trading market.  The CVRs will not bear interest.  The CVRs will expire on October 7, 2028, the second anniversary of the Distribution Date.  If the Company does not receive any net proceeds from the sale or other monetization of the Legacy BioSim Assets or the non-cash consideration received in respect thereof prior to the expiration date, the CVRs will expire without payment.  No payments on the CVRs will be made after the expiration date.  </w:t>
      </w:r>
      <w:r>
        <w:rPr>
          <w:rFonts w:ascii="Helvetica;sans-serif" w:hAnsi="Helvetica;sans-serif"/>
          <w:color w:val="212121"/>
          <w:sz w:val="22"/>
        </w:rPr>
        <w:t>In addition, the Company is party to the Loan and Security Agreement, dated as of August 12, 2026, with Innovatus Life Sciences Lending Fund I, L.P., as collateral agent, and the lenders thereunder (the “Loan Agreement”), which contains certain restrictions on the disposition of the Legacy BioSim Assets and payments under the CVR. </w:t>
      </w:r>
      <w:r>
        <w:rPr>
          <w:rFonts w:ascii="Helvetica;sans-serif" w:hAnsi="Helvetica;sans-serif"/>
          <w:sz w:val="22"/>
        </w:rPr>
        <w:t>The CVRs will not be certificated, represent equity or ownership interests in the Company or have voting rights. Under the terms of the contingent value rights agreement, the CVRs are expressly subject to the requirements of the 2026 Loan Agreement. Shares of the Company’s common stock will remain outstanding, listed, and freely tradable following the distribution, and will continue to represent an investment in the Company.</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Helvetica;sans-serif" w:hAnsi="Helvetica;sans-serif"/>
          <w:b/>
          <w:sz w:val="22"/>
        </w:rPr>
      </w:pPr>
      <w:bookmarkStart w:id="63" w:name="_Hlk220307671"/>
      <w:bookmarkEnd w:id="63"/>
      <w:r>
        <w:rPr>
          <w:rFonts w:ascii="Helvetica;sans-serif" w:hAnsi="Helvetica;sans-serif"/>
          <w:b/>
          <w:sz w:val="22"/>
        </w:rPr>
        <w:t>Further Information</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The Company’s stockholders are also encouraged to review the FAQ that will be included as an exhibit to the Form 8-K that the Company intends to file with the SEC on August 17, 2026 and available on the Investors &amp; Media – Shareholder Services section of the Company’s website.  Stockholders who hold their shares through a broker should note that the crediting of CVRs may be subject to the practices and procedures of such intermediary. In certain circumstances, including where shares are rehypothecated or loaned out, different mechanics may apply. Stockholders are encouraged to contact their broker directly for confirmation and for additional information regarding the timing and manner in which the CVRs will be reflected in their accounts.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Helvetica;sans-serif" w:hAnsi="Helvetica;sans-serif"/>
          <w:b/>
          <w:sz w:val="22"/>
        </w:rPr>
      </w:pPr>
      <w:r>
        <w:rPr>
          <w:rFonts w:ascii="Helvetica;sans-serif" w:hAnsi="Helvetica;sans-serif"/>
          <w:b/>
          <w:sz w:val="22"/>
        </w:rPr>
        <w:t>About Coherus Oncology</w:t>
      </w:r>
    </w:p>
    <w:p>
      <w:pPr>
        <w:pStyle w:val="TextBody"/>
        <w:bidi w:val="0"/>
        <w:spacing w:lineRule="auto" w:line="285" w:before="0" w:after="0"/>
        <w:ind w:left="0" w:right="0" w:hanging="0"/>
        <w:jc w:val="both"/>
        <w:rPr/>
      </w:pPr>
      <w:r>
        <w:rPr/>
        <w:t>​</w:t>
      </w:r>
      <w:r>
        <w:rPr>
          <w:rFonts w:ascii="Helvetica;sans-serif" w:hAnsi="Helvetica;sans-serif"/>
          <w:sz w:val="22"/>
        </w:rPr>
        <w:br/>
        <w:t>Coherus Oncology is a fully integrated commercial-stage innovative oncology company with an approved next-generation PD-1 inhibitor, LOQTORZI® (toripalimab-tpzi), growing revenues and a promising proprietary pipeline that includes two mid-stage clinical candidates targeting liver, head and neck, colorectal and other gastrointestinal cancers. The Company’s strategy is to grow sales of LOQTORZI in nasopharyngeal carcinoma and advance the development of new indications for LOQTORZI in combination with both its pipeline candidates as well as its partners, driving sales multiples and synergies from proprietary combinations.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Coherus’ immuno-oncology pipeline includes multiple antibody immunotherapy candidates focused on enhancing the innate and adaptive immune responses to enable a robust antitumor response and enhance outcomes for patients with cancer. Casdozokitug is a novel IL-27 antagonistic antibody currently being evaluated in a randomized Phase 2 study in patients with HCC. Tagmokitug (CHS-114) is a highly selective cytolytic anti-CCR8 antibody currently in Phase 1b/2a studies in patients with advanced solid tumors, including head and neck cancer, colorectal cancer, gastric cancer, and esophageal cancer.</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Forward-Looking Statements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The statements in this press release include express or implied forward-looking statements within the meaning of the “safe harbor” provisions of the Private Securities Litigation Reform Act of 1995, Section 27A of the Securities Act 1933, as amended, and Section 21E of the Securities Exchange Act of 1934, as amended about Coherus that involve risks and uncertainties relating to future events and the future performance of Coherus. Forward-looking statements relate to expectations, beliefs, projections, future plans and strategies, anticipated events or trends and similar expressions concerning matters that are not historical facts. Words such as “will,” “could,” “would,” “should,” “expect,” “plan,” “anticipate,” “intend,” “believe,” “estimate,” “predict,” “project,” “potential,” “continue,” “future,” “opportunity,” “likely,” “target,” variations of such words, and similar expressions or negatives of these words are intended to identify such forward-looking statements, although not all forward-looking statements contain these identifying words. You can also identify forward-looking statements by discussions of strategy, plans or intentions.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Examples of such forward-looking statements include, but are not limited to, express or implied statements regarding: anticipated distribution of the CVRs; the expected record date and distribution date; the potential monetization of the Coherus’ legacy biosimilars assets; the timing and likelihood of any payments to holders of the CVRs; the potential impact of Coherus’ 2026 Loan Agreement on its ability to make CVR payments; and other statements that are not historical facts; and the assumptions underlying or relating to such statements.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These forward-looking statements are based on Coherus’ current plans, estimates and projections. Such forward-looking statements involve substantial risks and uncertainties that could cause actual results to differ materially from those contemplated in any forward-looking statements. Such risks and uncertainties include, without limitation: uncertainties about the potential impact of unforeseen liabilities, future capital expenditures, revenues, costs, expenses, earnings, economic performance, indebtedness, financial condition and losses on Coherus’ prospects, business and operations in the future; risks and uncertainties in executing collaboration agreements and other joint ventures; risks and uncertainties of conducting clinical trials; the risks of Coherus’ dependence on an ability to raise funds, which may not be available on acceptable terms or at all; and risks and uncertainties of any litigation, regulatory actions and other legal proceedings.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All forward-looking statements contained in this press release speak only as of the date of this press release. Coherus undertakes no obligation to update or revise any forward-looking statements. For a further discussion of these and other factors that could cause Coherus’ future results to differ materially from any forward-looking statements see the section entitled “Risk Factors” in Coherus’ Quarterly Report on Form 10-Q for the period ended June 30, 2026, filed with the SEC on August 5, 2026, as updated by Coherus’ subsequent reports filed with the SEC.</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sans-serif" w:hAnsi="Helvetica;sans-serif"/>
          <w:sz w:val="22"/>
        </w:rPr>
      </w:pPr>
      <w:r>
        <w:rPr>
          <w:rFonts w:ascii="Helvetica;sans-serif" w:hAnsi="Helvetica;sans-serif"/>
          <w:sz w:val="22"/>
        </w:rPr>
        <w:t>LOQTORZI® is a registered trademark of Coherus Oncology, Inc.</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sans-serif" w:hAnsi="Helvetica;sans-serif"/>
          <w:sz w:val="22"/>
        </w:rPr>
      </w:pPr>
      <w:r>
        <w:rPr>
          <w:rFonts w:ascii="Helvetica;sans-serif" w:hAnsi="Helvetica;sans-serif"/>
          <w:sz w:val="22"/>
        </w:rPr>
        <w:t>©2026 Coherus Oncology, Inc. All rights reserved.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sans-serif" w:hAnsi="Helvetica;sans-serif"/>
          <w:b/>
          <w:sz w:val="22"/>
        </w:rPr>
      </w:pPr>
      <w:r>
        <w:rPr>
          <w:rFonts w:ascii="Helvetica;sans-serif" w:hAnsi="Helvetica;sans-serif"/>
          <w:b/>
          <w:sz w:val="22"/>
        </w:rPr>
        <w:t>Coherus Oncology Contact Information: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sans-serif" w:hAnsi="Helvetica;sans-serif"/>
          <w:sz w:val="22"/>
        </w:rPr>
      </w:pPr>
      <w:r>
        <w:rPr>
          <w:rFonts w:ascii="Helvetica;sans-serif" w:hAnsi="Helvetica;sans-serif"/>
          <w:sz w:val="22"/>
        </w:rPr>
        <w:t>For Investors:</w:t>
        <w:br/>
        <w:t>Carrie Graham</w:t>
        <w:br/>
        <w:t>VP, Investor Relations &amp; Advocacy</w:t>
        <w:br/>
        <w:t>IR@coherus.com</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bookmarkStart w:id="64" w:name="chrs-20260817xex99d2.htm"/>
      <w:bookmarkStart w:id="65" w:name="kschrs20260817xex99d2"/>
      <w:bookmarkEnd w:id="64"/>
      <w:bookmarkEnd w:id="65"/>
      <w:r>
        <w:rPr>
          <w:rFonts w:ascii="Times New Roman;Times;serif" w:hAnsi="Times New Roman;Times;serif"/>
          <w:b/>
          <w:sz w:val="24"/>
        </w:rPr>
        <w:t>Exhibit 99.2</w:t>
      </w:r>
      <w:r>
        <w:br w:type="page"/>
      </w:r>
    </w:p>
    <w:p>
      <w:pPr>
        <w:pStyle w:val="TextBody"/>
        <w:bidi w:val="0"/>
        <w:spacing w:lineRule="auto" w:line="285" w:before="0" w:after="0"/>
        <w:ind w:left="0" w:right="0" w:hanging="0"/>
        <w:jc w:val="left"/>
        <w:rPr>
          <w:rFonts w:ascii="Times New Roman;Times;serif" w:hAnsi="Times New Roman;Times;serif"/>
          <w:b/>
          <w:sz w:val="22"/>
        </w:rPr>
      </w:pPr>
      <w:r>
        <w:rPr>
          <w:rFonts w:ascii="Times New Roman;Times;serif" w:hAnsi="Times New Roman;Times;serif"/>
          <w:b/>
          <w:sz w:val="22"/>
        </w:rPr>
        <w:t xml:space="preserve">Coherus Oncology, Inc. Stockholder FAQ – CVR Dividend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tbl>
      <w:tblPr>
        <w:tblW w:w="2448" w:type="dxa"/>
        <w:jc w:val="left"/>
        <w:tblInd w:w="0" w:type="dxa"/>
        <w:tblLayout w:type="fixed"/>
        <w:tblCellMar>
          <w:top w:w="0" w:type="dxa"/>
          <w:left w:w="0" w:type="dxa"/>
          <w:bottom w:w="0" w:type="dxa"/>
          <w:right w:w="0" w:type="dxa"/>
        </w:tblCellMar>
      </w:tblPr>
      <w:tblGrid>
        <w:gridCol w:w="23"/>
        <w:gridCol w:w="200"/>
        <w:gridCol w:w="222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w:t>
            </w:r>
          </w:p>
        </w:tc>
        <w:tc>
          <w:tcPr>
            <w:tcW w:w="222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What was announced?</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Coherus Oncology announced a special dividend to its stockholders in the form of contingent value rights (“CVR”). Coherus Oncology stockholders will receive one (1) CVR for each one (1) share of Coherus Oncology common stock that they hold of record as of 5:00 p.m. Eastern time on September 30, 2026, which is the “Record Date” for the dividend. For example, if you own 100 shares of Coherus Oncology common stock on the Record Date, you would receive 100 CVRs. The date that the CVRs will be distributed to stockholders, which is the “Distribution Date” for the dividend, is October 7, 2026.</w:t>
      </w:r>
    </w:p>
    <w:p>
      <w:pPr>
        <w:pStyle w:val="TextBody"/>
        <w:bidi w:val="0"/>
        <w:spacing w:lineRule="auto" w:line="285" w:before="0" w:after="0"/>
        <w:ind w:left="0" w:right="0" w:hanging="0"/>
        <w:jc w:val="left"/>
        <w:rPr/>
      </w:pPr>
      <w:r>
        <w:rPr/>
        <w:t>​</w:t>
      </w:r>
    </w:p>
    <w:tbl>
      <w:tblPr>
        <w:tblW w:w="1848" w:type="dxa"/>
        <w:jc w:val="left"/>
        <w:tblInd w:w="0" w:type="dxa"/>
        <w:tblLayout w:type="fixed"/>
        <w:tblCellMar>
          <w:top w:w="0" w:type="dxa"/>
          <w:left w:w="0" w:type="dxa"/>
          <w:bottom w:w="0" w:type="dxa"/>
          <w:right w:w="0" w:type="dxa"/>
        </w:tblCellMar>
      </w:tblPr>
      <w:tblGrid>
        <w:gridCol w:w="23"/>
        <w:gridCol w:w="200"/>
        <w:gridCol w:w="162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2.</w:t>
            </w:r>
          </w:p>
        </w:tc>
        <w:tc>
          <w:tcPr>
            <w:tcW w:w="162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What is a CVR?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CVR stands for contingent value rights, which are contractual agreements that may entitle holders to receive future cash payments if and when certain events occur. In this case, the CVRs relate to the potential future monetization of certain assets associated with Coherus Oncology’s legacy biosimilars business (the “Legacy BioSim Assets”). If Coherus Oncology sells, licenses or otherwise disposes of the Legacy BioSim Assets, holders of CVRs will generally be entitled to receive the net cash proceeds received by Coherus Oncology from such dispositions during the term of the CVRs, which is two years from the Distribution Date. The terms of the CVRs are set forth in, and the CVRs are governed by, the Contingent Value Rights Agreement by and between Coherus Oncology and Equiniti Trust Company, LLC, as rights agent (the “CVR Agreement”). We have filed the CVR agreement with the SEC. It is attached as an exhibit to a Form 8-K, which may be retrieved either through the SEC’s EDGAR system at www.sec.gov and linked on the Coherus Oncology investor relations page at investors.coherus.com.</w:t>
      </w:r>
    </w:p>
    <w:p>
      <w:pPr>
        <w:pStyle w:val="TextBody"/>
        <w:bidi w:val="0"/>
        <w:spacing w:lineRule="auto" w:line="285" w:before="0" w:after="0"/>
        <w:ind w:left="0" w:right="0" w:hanging="0"/>
        <w:jc w:val="left"/>
        <w:rPr/>
      </w:pPr>
      <w:r>
        <w:rPr/>
        <w:t>​</w:t>
      </w:r>
    </w:p>
    <w:tbl>
      <w:tblPr>
        <w:tblW w:w="3858" w:type="dxa"/>
        <w:jc w:val="left"/>
        <w:tblInd w:w="0" w:type="dxa"/>
        <w:tblLayout w:type="fixed"/>
        <w:tblCellMar>
          <w:top w:w="0" w:type="dxa"/>
          <w:left w:w="0" w:type="dxa"/>
          <w:bottom w:w="0" w:type="dxa"/>
          <w:right w:w="0" w:type="dxa"/>
        </w:tblCellMar>
      </w:tblPr>
      <w:tblGrid>
        <w:gridCol w:w="23"/>
        <w:gridCol w:w="200"/>
        <w:gridCol w:w="363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3.</w:t>
            </w:r>
          </w:p>
        </w:tc>
        <w:tc>
          <w:tcPr>
            <w:tcW w:w="363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What are the Legacy BioSim Assets?</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The Legacy BioSim Assets include:</w:t>
      </w:r>
    </w:p>
    <w:p>
      <w:pPr>
        <w:pStyle w:val="TextBody"/>
        <w:bidi w:val="0"/>
        <w:spacing w:lineRule="auto" w:line="285" w:before="0" w:after="0"/>
        <w:ind w:left="0" w:right="0" w:hanging="0"/>
        <w:jc w:val="left"/>
        <w:rPr/>
      </w:pPr>
      <w:r>
        <w:rPr/>
        <w:t>​</w:t>
      </w:r>
    </w:p>
    <w:tbl>
      <w:tblPr>
        <w:tblW w:w="3213" w:type="dxa"/>
        <w:jc w:val="left"/>
        <w:tblInd w:w="0" w:type="dxa"/>
        <w:tblLayout w:type="fixed"/>
        <w:tblCellMar>
          <w:top w:w="0" w:type="dxa"/>
          <w:left w:w="0" w:type="dxa"/>
          <w:bottom w:w="0" w:type="dxa"/>
          <w:right w:w="0" w:type="dxa"/>
        </w:tblCellMar>
      </w:tblPr>
      <w:tblGrid>
        <w:gridCol w:w="23"/>
        <w:gridCol w:w="170"/>
        <w:gridCol w:w="30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Patents and intellectual property</w:t>
            </w:r>
          </w:p>
        </w:tc>
      </w:tr>
    </w:tbl>
    <w:tbl>
      <w:tblPr>
        <w:tblW w:w="4503" w:type="dxa"/>
        <w:jc w:val="left"/>
        <w:tblInd w:w="0" w:type="dxa"/>
        <w:tblLayout w:type="fixed"/>
        <w:tblCellMar>
          <w:top w:w="0" w:type="dxa"/>
          <w:left w:w="0" w:type="dxa"/>
          <w:bottom w:w="0" w:type="dxa"/>
          <w:right w:w="0" w:type="dxa"/>
        </w:tblCellMar>
      </w:tblPr>
      <w:tblGrid>
        <w:gridCol w:w="23"/>
        <w:gridCol w:w="170"/>
        <w:gridCol w:w="43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Royalties under an existing license agreement</w:t>
            </w:r>
          </w:p>
        </w:tc>
      </w:tr>
    </w:tbl>
    <w:tbl>
      <w:tblPr>
        <w:tblW w:w="1083" w:type="dxa"/>
        <w:jc w:val="left"/>
        <w:tblInd w:w="0" w:type="dxa"/>
        <w:tblLayout w:type="fixed"/>
        <w:tblCellMar>
          <w:top w:w="0" w:type="dxa"/>
          <w:left w:w="0" w:type="dxa"/>
          <w:bottom w:w="0" w:type="dxa"/>
          <w:right w:w="0" w:type="dxa"/>
        </w:tblCellMar>
      </w:tblPr>
      <w:tblGrid>
        <w:gridCol w:w="23"/>
        <w:gridCol w:w="170"/>
        <w:gridCol w:w="8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Cell lines</w:t>
            </w:r>
          </w:p>
        </w:tc>
      </w:tr>
    </w:tbl>
    <w:tbl>
      <w:tblPr>
        <w:tblW w:w="8523" w:type="dxa"/>
        <w:jc w:val="left"/>
        <w:tblInd w:w="0" w:type="dxa"/>
        <w:tblLayout w:type="fixed"/>
        <w:tblCellMar>
          <w:top w:w="0" w:type="dxa"/>
          <w:left w:w="0" w:type="dxa"/>
          <w:bottom w:w="0" w:type="dxa"/>
          <w:right w:w="0" w:type="dxa"/>
        </w:tblCellMar>
      </w:tblPr>
      <w:tblGrid>
        <w:gridCol w:w="23"/>
        <w:gridCol w:w="170"/>
        <w:gridCol w:w="83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Related materials such as laboratory notebooks, regulatory filings, and product samples. </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tbl>
      <w:tblPr>
        <w:tblW w:w="2733" w:type="dxa"/>
        <w:jc w:val="left"/>
        <w:tblInd w:w="0" w:type="dxa"/>
        <w:tblLayout w:type="fixed"/>
        <w:tblCellMar>
          <w:top w:w="0" w:type="dxa"/>
          <w:left w:w="0" w:type="dxa"/>
          <w:bottom w:w="0" w:type="dxa"/>
          <w:right w:w="0" w:type="dxa"/>
        </w:tblCellMar>
      </w:tblPr>
      <w:tblGrid>
        <w:gridCol w:w="23"/>
        <w:gridCol w:w="200"/>
        <w:gridCol w:w="251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4.</w:t>
            </w:r>
          </w:p>
        </w:tc>
        <w:tc>
          <w:tcPr>
            <w:tcW w:w="251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What is a CVR dividend?</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 xml:space="preserve">A CVR dividend is a distribution of CVRs by Coherus Oncology pro rata to all existing common stockholders. As with a cash dividend, stockholders do not need to pay any amount to receive the distribution. </w:t>
      </w:r>
    </w:p>
    <w:p>
      <w:pPr>
        <w:pStyle w:val="TextBody"/>
        <w:bidi w:val="0"/>
        <w:spacing w:lineRule="auto" w:line="285" w:before="0" w:after="0"/>
        <w:ind w:left="0" w:right="0" w:hanging="0"/>
        <w:jc w:val="left"/>
        <w:rPr/>
      </w:pPr>
      <w:r>
        <w:rPr/>
        <w:t>​</w:t>
      </w:r>
    </w:p>
    <w:tbl>
      <w:tblPr>
        <w:tblW w:w="4293" w:type="dxa"/>
        <w:jc w:val="left"/>
        <w:tblInd w:w="0" w:type="dxa"/>
        <w:tblLayout w:type="fixed"/>
        <w:tblCellMar>
          <w:top w:w="0" w:type="dxa"/>
          <w:left w:w="0" w:type="dxa"/>
          <w:bottom w:w="0" w:type="dxa"/>
          <w:right w:w="0" w:type="dxa"/>
        </w:tblCellMar>
      </w:tblPr>
      <w:tblGrid>
        <w:gridCol w:w="23"/>
        <w:gridCol w:w="200"/>
        <w:gridCol w:w="407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5.</w:t>
            </w:r>
          </w:p>
        </w:tc>
        <w:tc>
          <w:tcPr>
            <w:tcW w:w="407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Why is Coherus Oncology issuing CVRs?</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The Legacy BioSim Assets represent the remaining assets from our legacy biosimilars business, which is no longer part of our operating strategy. The CVRs are intended to give our existing stockholders the opportunity to participate directly in any potential future value that we realize from these Legacy BioSim Assets. Coherus Oncology will not receive any proceeds from the issuance of the CVR dividend.</w:t>
      </w:r>
    </w:p>
    <w:p>
      <w:pPr>
        <w:pStyle w:val="TextBody"/>
        <w:bidi w:val="0"/>
        <w:spacing w:lineRule="auto" w:line="285" w:before="0" w:after="0"/>
        <w:ind w:left="720" w:right="0" w:hanging="0"/>
        <w:jc w:val="left"/>
        <w:rPr/>
      </w:pPr>
      <w:r>
        <w:rPr/>
        <w:t>​</w:t>
      </w:r>
    </w:p>
    <w:tbl>
      <w:tblPr>
        <w:tblW w:w="4173" w:type="dxa"/>
        <w:jc w:val="left"/>
        <w:tblInd w:w="0" w:type="dxa"/>
        <w:tblLayout w:type="fixed"/>
        <w:tblCellMar>
          <w:top w:w="0" w:type="dxa"/>
          <w:left w:w="0" w:type="dxa"/>
          <w:bottom w:w="0" w:type="dxa"/>
          <w:right w:w="0" w:type="dxa"/>
        </w:tblCellMar>
      </w:tblPr>
      <w:tblGrid>
        <w:gridCol w:w="23"/>
        <w:gridCol w:w="200"/>
        <w:gridCol w:w="395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6.</w:t>
            </w:r>
          </w:p>
        </w:tc>
        <w:tc>
          <w:tcPr>
            <w:tcW w:w="395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How will the CVRs result in a payment?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ActiveUS 217364980v.8</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Holders of CVRs may be entitled to receive payments if Coherus Oncology receives cash proceeds during the term of the CVR from:</w:t>
      </w:r>
    </w:p>
    <w:p>
      <w:pPr>
        <w:pStyle w:val="TextBody"/>
        <w:bidi w:val="0"/>
        <w:spacing w:lineRule="auto" w:line="285" w:before="0" w:after="0"/>
        <w:ind w:left="0" w:right="0" w:hanging="0"/>
        <w:jc w:val="left"/>
        <w:rPr/>
      </w:pPr>
      <w:r>
        <w:rPr/>
        <w:t>​</w:t>
      </w:r>
    </w:p>
    <w:tbl>
      <w:tblPr>
        <w:tblW w:w="9288" w:type="dxa"/>
        <w:jc w:val="left"/>
        <w:tblInd w:w="0" w:type="dxa"/>
        <w:tblLayout w:type="fixed"/>
        <w:tblCellMar>
          <w:top w:w="0" w:type="dxa"/>
          <w:left w:w="0" w:type="dxa"/>
          <w:bottom w:w="0" w:type="dxa"/>
          <w:right w:w="0" w:type="dxa"/>
        </w:tblCellMar>
      </w:tblPr>
      <w:tblGrid>
        <w:gridCol w:w="23"/>
        <w:gridCol w:w="170"/>
        <w:gridCol w:w="90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Licensing or royalty arrangements with third parties relating to the Legacy BioSim Assets, and/or</w:t>
            </w:r>
          </w:p>
        </w:tc>
      </w:tr>
    </w:tbl>
    <w:tbl>
      <w:tblPr>
        <w:tblW w:w="6888" w:type="dxa"/>
        <w:jc w:val="left"/>
        <w:tblInd w:w="0" w:type="dxa"/>
        <w:tblLayout w:type="fixed"/>
        <w:tblCellMar>
          <w:top w:w="0" w:type="dxa"/>
          <w:left w:w="0" w:type="dxa"/>
          <w:bottom w:w="0" w:type="dxa"/>
          <w:right w:w="0" w:type="dxa"/>
        </w:tblCellMar>
      </w:tblPr>
      <w:tblGrid>
        <w:gridCol w:w="23"/>
        <w:gridCol w:w="170"/>
        <w:gridCol w:w="66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sale or other disposition of any or all of the Legacy BioSim Assets.</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 xml:space="preserve">Any payments would be based on the net cash proceeds actually received by Coherus Oncology for the Legacy BioSim Assets during the CVR term. In calculating the net cash proceeds, we will reduce the gross cash proceeds we receive by transaction expenses, taxes and other expenses arising in connection with sale process for the Legacy BioSim Assets and maintenance of the Legacy BioSim Assets and has retained an investment bank as a capital markets advisor to assist the Company in this regard.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In addition, the Company is party to the Loan and Security Agreement, dated as of August 12, 2026, with Innovatus Life Sciences Lending Fund I, L.P., as collateral agent, and the lenders thereunder, which contains certain restrictions on the disposition of the Legacy BioSim Assets and payments under the CVR.</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There is no guaranteed payment on the CVRs, and no minimum amount is payable under the CVRs. It is possible that the CVRs could expire at the end of the CVR term without any payment to holders of CVRs.</w:t>
      </w:r>
    </w:p>
    <w:p>
      <w:pPr>
        <w:pStyle w:val="TextBody"/>
        <w:bidi w:val="0"/>
        <w:spacing w:lineRule="auto" w:line="285" w:before="0" w:after="0"/>
        <w:ind w:left="0" w:right="0" w:hanging="0"/>
        <w:jc w:val="left"/>
        <w:rPr/>
      </w:pPr>
      <w:r>
        <w:rPr/>
        <w:t>​</w:t>
      </w:r>
    </w:p>
    <w:tbl>
      <w:tblPr>
        <w:tblW w:w="3768" w:type="dxa"/>
        <w:jc w:val="left"/>
        <w:tblInd w:w="0" w:type="dxa"/>
        <w:tblLayout w:type="fixed"/>
        <w:tblCellMar>
          <w:top w:w="0" w:type="dxa"/>
          <w:left w:w="0" w:type="dxa"/>
          <w:bottom w:w="0" w:type="dxa"/>
          <w:right w:w="0" w:type="dxa"/>
        </w:tblCellMar>
      </w:tblPr>
      <w:tblGrid>
        <w:gridCol w:w="23"/>
        <w:gridCol w:w="200"/>
        <w:gridCol w:w="354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7.</w:t>
            </w:r>
          </w:p>
        </w:tc>
        <w:tc>
          <w:tcPr>
            <w:tcW w:w="354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When would any payment be made?</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 xml:space="preserve">Payments on the CVRs, if any, would generally be made on a quarterly basis in arrears. </w:t>
      </w:r>
    </w:p>
    <w:p>
      <w:pPr>
        <w:pStyle w:val="TextBody"/>
        <w:bidi w:val="0"/>
        <w:spacing w:lineRule="auto" w:line="285" w:before="0" w:after="0"/>
        <w:ind w:left="0" w:right="0" w:hanging="0"/>
        <w:jc w:val="left"/>
        <w:rPr/>
      </w:pPr>
      <w:r>
        <w:rPr/>
        <w:t>​</w:t>
      </w:r>
    </w:p>
    <w:tbl>
      <w:tblPr>
        <w:tblW w:w="2868" w:type="dxa"/>
        <w:jc w:val="left"/>
        <w:tblInd w:w="0" w:type="dxa"/>
        <w:tblLayout w:type="fixed"/>
        <w:tblCellMar>
          <w:top w:w="0" w:type="dxa"/>
          <w:left w:w="0" w:type="dxa"/>
          <w:bottom w:w="0" w:type="dxa"/>
          <w:right w:w="0" w:type="dxa"/>
        </w:tblCellMar>
      </w:tblPr>
      <w:tblGrid>
        <w:gridCol w:w="23"/>
        <w:gridCol w:w="200"/>
        <w:gridCol w:w="264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8.</w:t>
            </w:r>
          </w:p>
        </w:tc>
        <w:tc>
          <w:tcPr>
            <w:tcW w:w="264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Do the CVRs pay interest?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No. The CVRs will not bear interest.</w:t>
      </w:r>
    </w:p>
    <w:p>
      <w:pPr>
        <w:pStyle w:val="TextBody"/>
        <w:bidi w:val="0"/>
        <w:spacing w:lineRule="auto" w:line="285" w:before="0" w:after="0"/>
        <w:ind w:left="0" w:right="0" w:hanging="0"/>
        <w:jc w:val="left"/>
        <w:rPr/>
      </w:pPr>
      <w:r>
        <w:rPr/>
        <w:t>​</w:t>
      </w:r>
    </w:p>
    <w:tbl>
      <w:tblPr>
        <w:tblW w:w="6708" w:type="dxa"/>
        <w:jc w:val="left"/>
        <w:tblInd w:w="0" w:type="dxa"/>
        <w:tblLayout w:type="fixed"/>
        <w:tblCellMar>
          <w:top w:w="0" w:type="dxa"/>
          <w:left w:w="0" w:type="dxa"/>
          <w:bottom w:w="0" w:type="dxa"/>
          <w:right w:w="0" w:type="dxa"/>
        </w:tblCellMar>
      </w:tblPr>
      <w:tblGrid>
        <w:gridCol w:w="23"/>
        <w:gridCol w:w="200"/>
        <w:gridCol w:w="648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9.</w:t>
            </w:r>
          </w:p>
        </w:tc>
        <w:tc>
          <w:tcPr>
            <w:tcW w:w="648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Will the CVR issuance dilute my ownership in Coherus Oncology?</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No. The distribution of the CVRs will not dilute your ownership interest in Coherus Oncology. You will continue to hold your shares of Coherus Oncology common stock after the distribution. The CVRs are separate contractual rights distributed as a special dividend, and do not represent equity or ownership interests in Coherus Oncology.</w:t>
      </w:r>
    </w:p>
    <w:p>
      <w:pPr>
        <w:pStyle w:val="TextBody"/>
        <w:bidi w:val="0"/>
        <w:spacing w:lineRule="auto" w:line="285" w:before="0" w:after="0"/>
        <w:ind w:left="720" w:right="0" w:hanging="0"/>
        <w:jc w:val="left"/>
        <w:rPr/>
      </w:pPr>
      <w:r>
        <w:rPr/>
        <w:t>​</w:t>
      </w:r>
    </w:p>
    <w:tbl>
      <w:tblPr>
        <w:tblW w:w="4578" w:type="dxa"/>
        <w:jc w:val="left"/>
        <w:tblInd w:w="0" w:type="dxa"/>
        <w:tblLayout w:type="fixed"/>
        <w:tblCellMar>
          <w:top w:w="0" w:type="dxa"/>
          <w:left w:w="0" w:type="dxa"/>
          <w:bottom w:w="0" w:type="dxa"/>
          <w:right w:w="0" w:type="dxa"/>
        </w:tblCellMar>
      </w:tblPr>
      <w:tblGrid>
        <w:gridCol w:w="23"/>
        <w:gridCol w:w="320"/>
        <w:gridCol w:w="423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10.</w:t>
            </w:r>
          </w:p>
        </w:tc>
        <w:tc>
          <w:tcPr>
            <w:tcW w:w="423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What do I have to do to receive the CVRs?</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Generally, no action is required if you are a stockholder as of the Record Date and your shares have not been lent out to your broker or other parties. If your shares of Coherus Oncology common stock are being rehypothecated or loaned out, other mechanics may apply. Contact your broker or, to the extent your shares are held in a registered account with Coherus Oncology’s transfer agent, contact Client Services at Equiniti Trust Company, LLC, for details.</w:t>
      </w:r>
    </w:p>
    <w:p>
      <w:pPr>
        <w:pStyle w:val="TextBody"/>
        <w:bidi w:val="0"/>
        <w:spacing w:lineRule="auto" w:line="285" w:before="0" w:after="0"/>
        <w:ind w:left="0" w:right="0" w:hanging="0"/>
        <w:jc w:val="left"/>
        <w:rPr/>
      </w:pPr>
      <w:r>
        <w:rPr/>
        <w:t>​</w:t>
      </w:r>
    </w:p>
    <w:tbl>
      <w:tblPr>
        <w:tblW w:w="8103" w:type="dxa"/>
        <w:jc w:val="left"/>
        <w:tblInd w:w="0" w:type="dxa"/>
        <w:tblLayout w:type="fixed"/>
        <w:tblCellMar>
          <w:top w:w="0" w:type="dxa"/>
          <w:left w:w="0" w:type="dxa"/>
          <w:bottom w:w="0" w:type="dxa"/>
          <w:right w:w="0" w:type="dxa"/>
        </w:tblCellMar>
      </w:tblPr>
      <w:tblGrid>
        <w:gridCol w:w="23"/>
        <w:gridCol w:w="320"/>
        <w:gridCol w:w="776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11.</w:t>
            </w:r>
          </w:p>
        </w:tc>
        <w:tc>
          <w:tcPr>
            <w:tcW w:w="776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 hold my shares in an online brokerage account. How will I receive my CVRs?</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 xml:space="preserve">We believe that your broker will be responsible for crediting your account with CVRs if you hold shares as of the Record Date and such shares are not being rehypothecated or loaned out. If your shares are being rehypothecated or loaned out, other mechanics may apply. It is possible that you will not receive the CVRs if your shares are rehypothecated or loaned out as of the Record Date. </w:t>
      </w:r>
      <w:r>
        <w:rPr>
          <w:rFonts w:ascii="Times New Roman;Times;serif" w:hAnsi="Times New Roman;Times;serif"/>
          <w:i/>
          <w:sz w:val="22"/>
        </w:rPr>
        <w:t xml:space="preserve">In all cases you should </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i/>
          <w:sz w:val="22"/>
        </w:rPr>
        <w:t>contact your broker directly for confirmation and any other information regarding timing and access to CVRs, including the mechanics for payments under the CVRs</w:t>
      </w:r>
      <w:r>
        <w:rPr>
          <w:rFonts w:ascii="Times New Roman;Times;serif" w:hAnsi="Times New Roman;Times;serif"/>
          <w:sz w:val="22"/>
        </w:rPr>
        <w:t>.</w:t>
      </w:r>
    </w:p>
    <w:p>
      <w:pPr>
        <w:pStyle w:val="TextBody"/>
        <w:bidi w:val="0"/>
        <w:spacing w:lineRule="auto" w:line="285" w:before="0" w:after="0"/>
        <w:ind w:left="0" w:right="0" w:hanging="0"/>
        <w:jc w:val="left"/>
        <w:rPr/>
      </w:pPr>
      <w:r>
        <w:rPr/>
        <w:t>​</w:t>
      </w:r>
    </w:p>
    <w:tbl>
      <w:tblPr>
        <w:tblW w:w="7068" w:type="dxa"/>
        <w:jc w:val="left"/>
        <w:tblInd w:w="0" w:type="dxa"/>
        <w:tblLayout w:type="fixed"/>
        <w:tblCellMar>
          <w:top w:w="0" w:type="dxa"/>
          <w:left w:w="0" w:type="dxa"/>
          <w:bottom w:w="0" w:type="dxa"/>
          <w:right w:w="0" w:type="dxa"/>
        </w:tblCellMar>
      </w:tblPr>
      <w:tblGrid>
        <w:gridCol w:w="23"/>
        <w:gridCol w:w="320"/>
        <w:gridCol w:w="672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12.</w:t>
            </w:r>
          </w:p>
        </w:tc>
        <w:tc>
          <w:tcPr>
            <w:tcW w:w="672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How will stockholders who hold shares through DTC receive CVRs?</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With respect to stockholders that hold shares of Coherus Oncology common stock directly or indirectly through The Depository Trust Company (“DTC”), on the Distribution Date, Equiniti Trust Company, LLC, in its capacity as transfer agent (“Equiniti”), will register Cede &amp; Co., nominee of DTC (“Cede”), as the holder of record of CVRs at a ratio of 1:1 for each share of Coherus Oncology common stock held of record by Cede. It is Coherus Oncology’s understanding that DTC will credit the accounts of its participants (“Participants” or “DTC Participants”) with CVRs and these Participants will in turn credit the relevant accounts of its customers that hold Coherus Oncology common stock on the books of the Participant. Neither Coherus Oncology nor Equiniti is responsible for the recording of the CVRs by DTC to its Participants or by any Participant in DTC to the underlying beneficial owners. In all cases you should contact your broker directly for confirmation and any other information regarding timing and access to CVRs, including the mechanics for payments under the CVRs.</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318"/>
        <w:gridCol w:w="9864"/>
      </w:tblGrid>
      <w:tr>
        <w:trPr/>
        <w:tc>
          <w:tcPr>
            <w:tcW w:w="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rFonts w:ascii="Times New Roman;Times;serif" w:hAnsi="Times New Roman;Times;serif"/>
                <w:b/>
                <w:sz w:val="24"/>
              </w:rPr>
            </w:pPr>
            <w:r>
              <w:rPr>
                <w:rFonts w:ascii="Times New Roman;Times;serif" w:hAnsi="Times New Roman;Times;serif"/>
                <w:b/>
                <w:sz w:val="24"/>
              </w:rPr>
              <w:t>13.</w:t>
            </w:r>
          </w:p>
        </w:tc>
        <w:tc>
          <w:tcPr>
            <w:tcW w:w="9864"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How will stockholders who are registered holders or hold through a non-DTC custodian receive CVRs?</w:t>
            </w:r>
          </w:p>
        </w:tc>
      </w:tr>
    </w:tbl>
    <w:p>
      <w:pPr>
        <w:pStyle w:val="TextBody"/>
        <w:bidi w:val="0"/>
        <w:spacing w:lineRule="auto" w:line="285" w:before="0" w:after="0"/>
        <w:ind w:left="72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For stockholders that hold shares of Coherus Oncology common stock other than through DTC, on the Distribution Date, Equiniti, in its capacity as transfer agent, will record the distributions of the CVR to each record holder on its books and records. To the extent that there are stockholders holding shares of Coherus Oncology common stock through broker-dealers, banks or other custodians that are not, directly or indirectly, DTC Participants, these broker-dealers, banks and other custodians will receive book-entry statements from Equiniti reflecting the CVR distribution and the applicable broker-dealer, bank or other custodian will in turn credit the CVRs to the relevant client account holding Coherus Oncology common stock. Neither Coherus nor Equiniti is responsible for the recording of the CVRs by any such broker-dealer, bank or other custodian to the underlying beneficial owners. In all cases you should contact your broker directly for confirmation and any other information regarding timing and access to CVRs, including the mechanics for payments under the CVRs.</w:t>
      </w:r>
    </w:p>
    <w:p>
      <w:pPr>
        <w:pStyle w:val="TextBody"/>
        <w:bidi w:val="0"/>
        <w:spacing w:lineRule="auto" w:line="285" w:before="0" w:after="0"/>
        <w:ind w:left="720" w:right="0" w:hanging="0"/>
        <w:jc w:val="left"/>
        <w:rPr/>
      </w:pPr>
      <w:r>
        <w:rPr/>
        <w:t>​</w:t>
      </w:r>
    </w:p>
    <w:tbl>
      <w:tblPr>
        <w:tblW w:w="8103" w:type="dxa"/>
        <w:jc w:val="left"/>
        <w:tblInd w:w="0" w:type="dxa"/>
        <w:tblLayout w:type="fixed"/>
        <w:tblCellMar>
          <w:top w:w="0" w:type="dxa"/>
          <w:left w:w="0" w:type="dxa"/>
          <w:bottom w:w="0" w:type="dxa"/>
          <w:right w:w="0" w:type="dxa"/>
        </w:tblCellMar>
      </w:tblPr>
      <w:tblGrid>
        <w:gridCol w:w="23"/>
        <w:gridCol w:w="320"/>
        <w:gridCol w:w="776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14.</w:t>
            </w:r>
          </w:p>
        </w:tc>
        <w:tc>
          <w:tcPr>
            <w:tcW w:w="776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How are the CVRs handled for shares held in a retirement brokerage account?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While we expect that in some cases CVRs will be credited to your retirement brokerage account, because retirement accounts may be subject to specific administrative or tax rules, we recommend that you consult your retirement broker, advisor and/or plan administrator, as applicable.</w:t>
      </w:r>
    </w:p>
    <w:p>
      <w:pPr>
        <w:pStyle w:val="TextBody"/>
        <w:bidi w:val="0"/>
        <w:spacing w:lineRule="auto" w:line="285" w:before="0" w:after="0"/>
        <w:ind w:left="0" w:right="0" w:hanging="0"/>
        <w:jc w:val="left"/>
        <w:rPr/>
      </w:pPr>
      <w:r>
        <w:rPr/>
        <w:t>​</w:t>
      </w:r>
    </w:p>
    <w:tbl>
      <w:tblPr>
        <w:tblW w:w="4053" w:type="dxa"/>
        <w:jc w:val="left"/>
        <w:tblInd w:w="0" w:type="dxa"/>
        <w:tblLayout w:type="fixed"/>
        <w:tblCellMar>
          <w:top w:w="0" w:type="dxa"/>
          <w:left w:w="0" w:type="dxa"/>
          <w:bottom w:w="0" w:type="dxa"/>
          <w:right w:w="0" w:type="dxa"/>
        </w:tblCellMar>
      </w:tblPr>
      <w:tblGrid>
        <w:gridCol w:w="23"/>
        <w:gridCol w:w="320"/>
        <w:gridCol w:w="371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15.</w:t>
            </w:r>
          </w:p>
        </w:tc>
        <w:tc>
          <w:tcPr>
            <w:tcW w:w="371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 xml:space="preserve">Will I get a certificate for my CVRs? </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 xml:space="preserve">No. CVRs are not certificated. Your rights are recorded electronically. No physical certificate will be issued. </w:t>
      </w:r>
    </w:p>
    <w:p>
      <w:pPr>
        <w:pStyle w:val="TextBody"/>
        <w:bidi w:val="0"/>
        <w:spacing w:lineRule="auto" w:line="285" w:before="0" w:after="0"/>
        <w:ind w:left="0" w:right="0" w:hanging="0"/>
        <w:jc w:val="left"/>
        <w:rPr/>
      </w:pPr>
      <w:r>
        <w:rPr/>
        <w:t>​</w:t>
      </w:r>
    </w:p>
    <w:tbl>
      <w:tblPr>
        <w:tblW w:w="4893" w:type="dxa"/>
        <w:jc w:val="left"/>
        <w:tblInd w:w="0" w:type="dxa"/>
        <w:tblLayout w:type="fixed"/>
        <w:tblCellMar>
          <w:top w:w="0" w:type="dxa"/>
          <w:left w:w="0" w:type="dxa"/>
          <w:bottom w:w="0" w:type="dxa"/>
          <w:right w:w="0" w:type="dxa"/>
        </w:tblCellMar>
      </w:tblPr>
      <w:tblGrid>
        <w:gridCol w:w="23"/>
        <w:gridCol w:w="320"/>
        <w:gridCol w:w="455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16.</w:t>
            </w:r>
          </w:p>
        </w:tc>
        <w:tc>
          <w:tcPr>
            <w:tcW w:w="455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Can I sell my CVRs? Will they trade publicly?</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No. The CVRs are non-transferable and may not be sold, assigned, or otherwise transferred, except in limited circumstances by operation of law or will. The CVRs will not be listed on any securities exchange, and there will be no public trading market for the CVRs.</w:t>
      </w:r>
    </w:p>
    <w:p>
      <w:pPr>
        <w:pStyle w:val="TextBody"/>
        <w:bidi w:val="0"/>
        <w:spacing w:lineRule="auto" w:line="285" w:before="0" w:after="0"/>
        <w:ind w:left="0" w:right="0" w:hanging="0"/>
        <w:jc w:val="left"/>
        <w:rPr/>
      </w:pPr>
      <w:r>
        <w:rPr/>
        <w:t>​</w:t>
      </w:r>
    </w:p>
    <w:tbl>
      <w:tblPr>
        <w:tblW w:w="3138" w:type="dxa"/>
        <w:jc w:val="left"/>
        <w:tblInd w:w="0" w:type="dxa"/>
        <w:tblLayout w:type="fixed"/>
        <w:tblCellMar>
          <w:top w:w="0" w:type="dxa"/>
          <w:left w:w="0" w:type="dxa"/>
          <w:bottom w:w="0" w:type="dxa"/>
          <w:right w:w="0" w:type="dxa"/>
        </w:tblCellMar>
      </w:tblPr>
      <w:tblGrid>
        <w:gridCol w:w="23"/>
        <w:gridCol w:w="320"/>
        <w:gridCol w:w="279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17.</w:t>
            </w:r>
          </w:p>
        </w:tc>
        <w:tc>
          <w:tcPr>
            <w:tcW w:w="279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When will the CVRs expire?</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 xml:space="preserve">The term of the CVRs is two years from the date of distribution of the CVRs, which will be October 7, 2026. Accordingly, the CVRs will expire on October 7, 2028. </w:t>
      </w:r>
    </w:p>
    <w:p>
      <w:pPr>
        <w:pStyle w:val="TextBody"/>
        <w:bidi w:val="0"/>
        <w:spacing w:lineRule="auto" w:line="285" w:before="0" w:after="0"/>
        <w:ind w:left="0" w:right="0" w:hanging="0"/>
        <w:jc w:val="left"/>
        <w:rPr/>
      </w:pPr>
      <w:r>
        <w:rPr/>
        <w:t>​</w:t>
      </w:r>
    </w:p>
    <w:tbl>
      <w:tblPr>
        <w:tblW w:w="5358" w:type="dxa"/>
        <w:jc w:val="left"/>
        <w:tblInd w:w="0" w:type="dxa"/>
        <w:tblLayout w:type="fixed"/>
        <w:tblCellMar>
          <w:top w:w="0" w:type="dxa"/>
          <w:left w:w="0" w:type="dxa"/>
          <w:bottom w:w="0" w:type="dxa"/>
          <w:right w:w="0" w:type="dxa"/>
        </w:tblCellMar>
      </w:tblPr>
      <w:tblGrid>
        <w:gridCol w:w="23"/>
        <w:gridCol w:w="320"/>
        <w:gridCol w:w="501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18.</w:t>
            </w:r>
          </w:p>
        </w:tc>
        <w:tc>
          <w:tcPr>
            <w:tcW w:w="501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Do non-U.S. stockholders qualify to receive CVRs?</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We expect that all holders of our common stock on the Record Date will be entitled to receive the CVRs. We are not aware of any restrictions on international stockholders receiving CVRs. If you are a non-U.S. stockholder, we encourage you to consult with your advisors concerning the CVRs.</w:t>
      </w:r>
    </w:p>
    <w:p>
      <w:pPr>
        <w:pStyle w:val="TextBody"/>
        <w:bidi w:val="0"/>
        <w:spacing w:lineRule="auto" w:line="285" w:before="0" w:after="0"/>
        <w:ind w:left="0" w:right="0" w:hanging="0"/>
        <w:jc w:val="left"/>
        <w:rPr/>
      </w:pPr>
      <w:r>
        <w:rPr/>
        <w:t>​</w:t>
      </w:r>
    </w:p>
    <w:tbl>
      <w:tblPr>
        <w:tblW w:w="8583" w:type="dxa"/>
        <w:jc w:val="left"/>
        <w:tblInd w:w="0" w:type="dxa"/>
        <w:tblLayout w:type="fixed"/>
        <w:tblCellMar>
          <w:top w:w="0" w:type="dxa"/>
          <w:left w:w="0" w:type="dxa"/>
          <w:bottom w:w="0" w:type="dxa"/>
          <w:right w:w="0" w:type="dxa"/>
        </w:tblCellMar>
      </w:tblPr>
      <w:tblGrid>
        <w:gridCol w:w="23"/>
        <w:gridCol w:w="320"/>
        <w:gridCol w:w="824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19.</w:t>
            </w:r>
          </w:p>
        </w:tc>
        <w:tc>
          <w:tcPr>
            <w:tcW w:w="824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 xml:space="preserve">What’s the last day I can buy Coherus Oncology shares and still receive the CVRs? </w:t>
            </w:r>
          </w:p>
        </w:tc>
      </w:tr>
    </w:tbl>
    <w:p>
      <w:pPr>
        <w:pStyle w:val="TextBody"/>
        <w:bidi w:val="0"/>
        <w:spacing w:lineRule="auto" w:line="285" w:before="0" w:after="0"/>
        <w:ind w:left="72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We believe that in most cases you must purchase shares of Coherus Oncology common stock no later than close of trading on September 29, 2026 in order to receive the CVRs in respect of those shares. Purchases made on or before September 29, 2026 would normally settle in time for you to be a holder at close of business on the Record Date, and thus the shares purchased would be eligible to receive the CVRs. If you buy shares on the Record Date or later, you will not receive any CVRs in respect of those shares. In other words, September 29, 2026 is the expected ex-dividend date—the first trading day on which Coherus Oncology shares no longer carry the right to receive the CVRs.</w:t>
      </w:r>
    </w:p>
    <w:p>
      <w:pPr>
        <w:pStyle w:val="TextBody"/>
        <w:bidi w:val="0"/>
        <w:spacing w:lineRule="auto" w:line="285" w:before="0" w:after="0"/>
        <w:ind w:left="0" w:right="0" w:hanging="0"/>
        <w:jc w:val="left"/>
        <w:rPr/>
      </w:pPr>
      <w:r>
        <w:rPr/>
        <w:t>​</w:t>
      </w:r>
    </w:p>
    <w:tbl>
      <w:tblPr>
        <w:tblW w:w="9918" w:type="dxa"/>
        <w:jc w:val="left"/>
        <w:tblInd w:w="0" w:type="dxa"/>
        <w:tblLayout w:type="fixed"/>
        <w:tblCellMar>
          <w:top w:w="0" w:type="dxa"/>
          <w:left w:w="0" w:type="dxa"/>
          <w:bottom w:w="0" w:type="dxa"/>
          <w:right w:w="0" w:type="dxa"/>
        </w:tblCellMar>
      </w:tblPr>
      <w:tblGrid>
        <w:gridCol w:w="23"/>
        <w:gridCol w:w="320"/>
        <w:gridCol w:w="9575"/>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20.</w:t>
            </w:r>
          </w:p>
        </w:tc>
        <w:tc>
          <w:tcPr>
            <w:tcW w:w="957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For U.S. taxpayers, how will the CVR distribution and any payments be treated for tax purposes?</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 xml:space="preserve">There is substantial uncertainty as to the tax treatment of the CVRs. No authority is directly on point as to the amount, timing and character of any gain, income or loss with respect to the CVRs. For example, it is possible that contingent value rights with characteristics similar to the CVRs should be treated as a distribution of property with respect to common stock, a distribution of equity, a “debt instrument” or an “open transaction” for U.S. federal income tax purposes. It is therefore not possible to express a definitive conclusion as to the U.S. federal income tax treatment of receipt of the CVRs, the payments (if any) made pursuant to the CVRs or the termination of the CVRs.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Based on the specific characteristics of the CVRs, Coherus Oncology does not intend to treat the distribution of the CVRs as a taxable distribution of property for U.S. federal income tax purposes. However, we expect any future cash payments on the CVRs to be taxable to the holders for U.S. federal income tax purposes. No assurance can be given, however, that the IRS would not assert, or that a court would not sustain, a position contrary to this intended treatment. No advance ruling has been or will be sought from the IRS regarding the CVRs.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We do not provide tax advice to our stockholders, and you are encouraged to consult your tax advisors regarding the tax consequences of receiving the CVRs and any potential payments thereunder. Tax treatment may vary based on a stockholder’s tax domicile as well as other factors, so both U.S. and non-U.S. stockholders should seek independent tax advice.</w:t>
      </w:r>
    </w:p>
    <w:p>
      <w:pPr>
        <w:pStyle w:val="TextBody"/>
        <w:bidi w:val="0"/>
        <w:spacing w:lineRule="auto" w:line="285" w:before="0" w:after="0"/>
        <w:ind w:left="0" w:right="0" w:hanging="0"/>
        <w:jc w:val="left"/>
        <w:rPr/>
      </w:pPr>
      <w:r>
        <w:rPr/>
        <w:t>​</w:t>
      </w:r>
    </w:p>
    <w:tbl>
      <w:tblPr>
        <w:tblW w:w="5103" w:type="dxa"/>
        <w:jc w:val="left"/>
        <w:tblInd w:w="0" w:type="dxa"/>
        <w:tblLayout w:type="fixed"/>
        <w:tblCellMar>
          <w:top w:w="0" w:type="dxa"/>
          <w:left w:w="0" w:type="dxa"/>
          <w:bottom w:w="0" w:type="dxa"/>
          <w:right w:w="0" w:type="dxa"/>
        </w:tblCellMar>
      </w:tblPr>
      <w:tblGrid>
        <w:gridCol w:w="23"/>
        <w:gridCol w:w="320"/>
        <w:gridCol w:w="476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21.</w:t>
            </w:r>
          </w:p>
        </w:tc>
        <w:tc>
          <w:tcPr>
            <w:tcW w:w="476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Can I access a copy of the full CVR Agreement?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Yes. We have filed the CVR Agreement with the SEC. It is attached as an exhibit to a Form 8-K, which may be retrieved either through the SEC’s EDGAR system at www.sec.gov and linked on the Coherus Oncology investor relations page at investors.coherus.com.</w:t>
      </w:r>
    </w:p>
    <w:p>
      <w:pPr>
        <w:pStyle w:val="TextBody"/>
        <w:bidi w:val="0"/>
        <w:spacing w:lineRule="auto" w:line="285" w:before="0" w:after="0"/>
        <w:ind w:left="0" w:right="0" w:hanging="0"/>
        <w:jc w:val="left"/>
        <w:rPr/>
      </w:pPr>
      <w:r>
        <w:rPr/>
        <w:t>​</w:t>
      </w:r>
    </w:p>
    <w:tbl>
      <w:tblPr>
        <w:tblW w:w="4833" w:type="dxa"/>
        <w:jc w:val="left"/>
        <w:tblInd w:w="0" w:type="dxa"/>
        <w:tblLayout w:type="fixed"/>
        <w:tblCellMar>
          <w:top w:w="0" w:type="dxa"/>
          <w:left w:w="0" w:type="dxa"/>
          <w:bottom w:w="0" w:type="dxa"/>
          <w:right w:w="0" w:type="dxa"/>
        </w:tblCellMar>
      </w:tblPr>
      <w:tblGrid>
        <w:gridCol w:w="23"/>
        <w:gridCol w:w="320"/>
        <w:gridCol w:w="449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sz w:val="22"/>
              </w:rPr>
            </w:pPr>
            <w:r>
              <w:rPr>
                <w:rFonts w:ascii="Times New Roman;Times;serif" w:hAnsi="Times New Roman;Times;serif"/>
                <w:b/>
                <w:sz w:val="22"/>
              </w:rPr>
              <w:t>22.</w:t>
            </w:r>
          </w:p>
        </w:tc>
        <w:tc>
          <w:tcPr>
            <w:tcW w:w="449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Whom do I contact with additional questions?</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Contact our transfer agent, Equiniti Trust Company, or our investor relations department directly through the contact provided below.</w:t>
      </w:r>
    </w:p>
    <w:p>
      <w:pPr>
        <w:pStyle w:val="TextBody"/>
        <w:bidi w:val="0"/>
        <w:spacing w:lineRule="auto" w:line="285" w:before="0" w:after="0"/>
        <w:ind w:left="0" w:right="0" w:hanging="0"/>
        <w:jc w:val="left"/>
        <w:rPr/>
      </w:pPr>
      <w:r>
        <w:rPr/>
        <w:t> </w:t>
      </w:r>
    </w:p>
    <w:p>
      <w:pPr>
        <w:pStyle w:val="TextBody"/>
        <w:bidi w:val="0"/>
        <w:spacing w:lineRule="auto" w:line="285" w:before="0" w:after="0"/>
        <w:ind w:left="720" w:right="0" w:hanging="0"/>
        <w:jc w:val="left"/>
        <w:rPr>
          <w:rFonts w:ascii="Times New Roman;Times;serif" w:hAnsi="Times New Roman;Times;serif"/>
          <w:sz w:val="22"/>
          <w:u w:val="single"/>
        </w:rPr>
      </w:pPr>
      <w:r>
        <w:rPr>
          <w:rFonts w:ascii="Times New Roman;Times;serif" w:hAnsi="Times New Roman;Times;serif"/>
          <w:sz w:val="22"/>
          <w:u w:val="single"/>
        </w:rPr>
        <w:t>Transfer Agent</w:t>
      </w:r>
    </w:p>
    <w:p>
      <w:pPr>
        <w:pStyle w:val="TextBody"/>
        <w:bidi w:val="0"/>
        <w:spacing w:lineRule="auto" w:line="285" w:before="0" w:after="0"/>
        <w:ind w:left="720" w:right="0" w:hanging="0"/>
        <w:jc w:val="left"/>
        <w:rPr>
          <w:rFonts w:ascii="Times New Roman;Times;serif" w:hAnsi="Times New Roman;Times;serif"/>
          <w:sz w:val="22"/>
        </w:rPr>
      </w:pPr>
      <w:r>
        <w:rPr>
          <w:rFonts w:ascii="Times New Roman;Times;serif" w:hAnsi="Times New Roman;Times;serif"/>
          <w:sz w:val="22"/>
        </w:rPr>
        <w:t>Equiniti Trust Company, LLC</w:t>
      </w:r>
    </w:p>
    <w:p>
      <w:pPr>
        <w:pStyle w:val="TextBody"/>
        <w:bidi w:val="0"/>
        <w:spacing w:lineRule="auto" w:line="285" w:before="0" w:after="0"/>
        <w:ind w:left="720" w:right="0" w:hanging="0"/>
        <w:jc w:val="left"/>
        <w:rPr>
          <w:rFonts w:ascii="Times New Roman;Times;serif" w:hAnsi="Times New Roman;Times;serif"/>
          <w:sz w:val="22"/>
        </w:rPr>
      </w:pPr>
      <w:r>
        <w:rPr>
          <w:rFonts w:ascii="Times New Roman;Times;serif" w:hAnsi="Times New Roman;Times;serif"/>
          <w:sz w:val="22"/>
        </w:rPr>
        <w:t>Attn: Account Management Team</w:t>
      </w:r>
    </w:p>
    <w:p>
      <w:pPr>
        <w:pStyle w:val="TextBody"/>
        <w:bidi w:val="0"/>
        <w:spacing w:lineRule="auto" w:line="285" w:before="0" w:after="0"/>
        <w:ind w:left="720" w:right="0" w:hanging="0"/>
        <w:jc w:val="left"/>
        <w:rPr>
          <w:rFonts w:ascii="Times New Roman;Times;serif" w:hAnsi="Times New Roman;Times;serif"/>
          <w:sz w:val="22"/>
        </w:rPr>
      </w:pPr>
      <w:r>
        <w:rPr>
          <w:rFonts w:ascii="Times New Roman;Times;serif" w:hAnsi="Times New Roman;Times;serif"/>
          <w:sz w:val="22"/>
        </w:rPr>
        <w:t>1110 Centre Pointe Curve, Suite 101</w:t>
      </w:r>
    </w:p>
    <w:p>
      <w:pPr>
        <w:pStyle w:val="TextBody"/>
        <w:bidi w:val="0"/>
        <w:spacing w:lineRule="auto" w:line="285" w:before="0" w:after="0"/>
        <w:ind w:left="720" w:right="0" w:hanging="0"/>
        <w:jc w:val="left"/>
        <w:rPr>
          <w:rFonts w:ascii="Times New Roman;Times;serif" w:hAnsi="Times New Roman;Times;serif"/>
          <w:sz w:val="22"/>
        </w:rPr>
      </w:pPr>
      <w:r>
        <w:rPr>
          <w:rFonts w:ascii="Times New Roman;Times;serif" w:hAnsi="Times New Roman;Times;serif"/>
          <w:sz w:val="22"/>
        </w:rPr>
        <w:t>Mendota Heights, Minnesota 55120-4101</w:t>
      </w:r>
    </w:p>
    <w:p>
      <w:pPr>
        <w:pStyle w:val="TextBody"/>
        <w:bidi w:val="0"/>
        <w:spacing w:lineRule="auto" w:line="285" w:before="0" w:after="0"/>
        <w:ind w:left="720" w:right="0" w:hanging="0"/>
        <w:jc w:val="left"/>
        <w:rPr>
          <w:rFonts w:ascii="Times New Roman;Times;serif" w:hAnsi="Times New Roman;Times;serif"/>
          <w:sz w:val="22"/>
        </w:rPr>
      </w:pPr>
      <w:r>
        <w:rPr>
          <w:rFonts w:ascii="Times New Roman;Times;serif" w:hAnsi="Times New Roman;Times;serif"/>
          <w:sz w:val="22"/>
        </w:rPr>
        <w:t>Email: EQSS-AccountManagement@equiniti.com</w:t>
      </w:r>
    </w:p>
    <w:p>
      <w:pPr>
        <w:pStyle w:val="TextBody"/>
        <w:bidi w:val="0"/>
        <w:spacing w:lineRule="auto" w:line="285" w:before="0" w:after="0"/>
        <w:ind w:left="720" w:right="0" w:hanging="0"/>
        <w:jc w:val="left"/>
        <w:rPr/>
      </w:pPr>
      <w:r>
        <w:rPr/>
        <w:t> </w:t>
      </w:r>
    </w:p>
    <w:p>
      <w:pPr>
        <w:pStyle w:val="TextBody"/>
        <w:bidi w:val="0"/>
        <w:spacing w:lineRule="auto" w:line="285" w:before="0" w:after="0"/>
        <w:ind w:left="720" w:right="0" w:hanging="0"/>
        <w:jc w:val="left"/>
        <w:rPr>
          <w:rFonts w:ascii="Times New Roman;Times;serif" w:hAnsi="Times New Roman;Times;serif"/>
          <w:sz w:val="22"/>
          <w:u w:val="single"/>
        </w:rPr>
      </w:pPr>
      <w:r>
        <w:rPr>
          <w:rFonts w:ascii="Times New Roman;Times;serif" w:hAnsi="Times New Roman;Times;serif"/>
          <w:sz w:val="22"/>
          <w:u w:val="single"/>
        </w:rPr>
        <w:t>Investor Relations</w:t>
      </w:r>
    </w:p>
    <w:p>
      <w:pPr>
        <w:pStyle w:val="TextBody"/>
        <w:bidi w:val="0"/>
        <w:spacing w:lineRule="auto" w:line="285" w:before="0" w:after="0"/>
        <w:ind w:left="720" w:right="0" w:hanging="0"/>
        <w:jc w:val="left"/>
        <w:rPr>
          <w:rFonts w:ascii="Times New Roman;Times;serif" w:hAnsi="Times New Roman;Times;serif"/>
          <w:sz w:val="22"/>
        </w:rPr>
      </w:pPr>
      <w:r>
        <w:rPr>
          <w:rFonts w:ascii="Times New Roman;Times;serif" w:hAnsi="Times New Roman;Times;serif"/>
          <w:sz w:val="22"/>
        </w:rPr>
        <w:t>Carrie Graham</w:t>
        <w:br/>
        <w:t>VP, Investor Relations &amp; Advocacy</w:t>
        <w:br/>
        <w:t>IR@coherus.com</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If your bank or broker holds your shares, you should also call your bank or broker for additional information.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2"/>
        </w:rPr>
      </w:pPr>
      <w:r>
        <w:rPr>
          <w:rFonts w:ascii="Times New Roman;Times;serif" w:hAnsi="Times New Roman;Times;serif"/>
          <w:b/>
          <w:sz w:val="22"/>
        </w:rPr>
        <w:t>Forward-Looking Statements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The statements in this FAQ include express or implied forward-looking statements within the meaning of the “safe harbor” provisions of the Private Securities Litigation Reform Act of 1995, Section 27A of the Securities Act 1933, as amended, and Section 21E of the Securities Exchange Act of 1934, as amended about Coherus Oncology that involve risks and uncertainties relating to future events and the future performance of Coherus Oncology. Forward-looking statements relate to expectations, beliefs, projections, future plans and strategies, anticipated events or trends and similar expressions concerning matters that are not historical facts. Words such as “will,” “could,” “would,” “should,” “expect,” “plan,” “anticipate,” “intend,” “believe,” “estimate,” “predict,” “project,” “potential,” “continue,” “future,” “opportunity,” “likely,” “target,” variations of such words, and similar expressions or negatives of these words are intended to identify such forward-looking statements, although not all forward-looking statements contain these identifying words. You can also identify forward-looking statements by discussions of strategy, plans or intentions.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Examples of such forward-looking statements include, but are not limited to, express or implied statements regarding: anticipated distribution of the CVRs; the expected record date and distribution date; the potential monetization of the Coherus Oncology’s legacy biosimilars assets; the timing and likelihood of any payments to holders of the CVRs; the potential impact of Coherus Oncology’s 2026 Loan Agreement on its ability to make CVR payments; and other statements that are not historical facts; and the assumptions underlying or relating to such statements.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These forward-looking statements are based on Coherus Oncology’s current plans, estimates and projections. Such forward-looking statements involve substantial risks and uncertainties that could cause actual results to differ materially from those contemplated in any forward-looking statements. Such risks and uncertainties include, without limitation: uncertainties about the potential impact of unforeseen liabilities, future capital expenditures, revenues, costs, expenses, earnings, economic performance, indebtedness, financial condition and losses on Coherus’ prospects, business and operations in the future; risks and uncertainties in executing collaboration agreements and other joint ventures; risks and uncertainties of conducting clinical trials; the risks of Coherus Oncology’s dependence on an ability to raise funds, which may not be available on acceptable terms or at all; and risks and uncertainties of any litigation, regulatory actions and other legal proceedings.</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All forward-looking statements contained in this FAQ speak only as of the date of this FAQ. Coherus Oncology undertakes no obligation to update or revise any forward-looking statements. For a further discussion of these and other factors that could cause Coherus Oncology’s future results to differ materially from any forward-looking statements see the section entitled “Risk Factors” in Coherus Oncology’s Quarterly Report on Form 10-Q for the period ended June 30, 2026, filed with the SEC on August 5, 2026, as updated by Coherus Oncology’s subsequent reports filed with the SEC.</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2"/>
        </w:rPr>
      </w:pPr>
      <w:r>
        <w:rPr>
          <w:rFonts w:ascii="Times New Roman;Times;serif" w:hAnsi="Times New Roman;Times;serif"/>
          <w:b/>
          <w:sz w:val="22"/>
        </w:rPr>
        <w:t>Important Information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2"/>
        </w:rPr>
      </w:pPr>
      <w:r>
        <w:rPr>
          <w:rFonts w:ascii="Times New Roman;Times;serif" w:hAnsi="Times New Roman;Times;serif"/>
          <w:sz w:val="22"/>
        </w:rPr>
        <w:t xml:space="preserve">This FAQ contains a general summary of the CVRs. Please read the CVR Agreement for important information concerning the CVRs, which we have filed as an exhibit to a Form 8-K with the SEC and have made available at the Coherus Oncology investor relations page at investors.coherus.com. The CVRs have not been registered under the Securities Act of 1933, as amended (the “Securities Act”), as the distribution of a CVR for no consideration does not constitute a sale of a security under Section 2(a)(3) of the Securities Act. </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2"/>
        </w:rPr>
      </w:pPr>
      <w:bookmarkStart w:id="66" w:name="chrs-20260817xex99d3.htm"/>
      <w:bookmarkStart w:id="67" w:name="kschrs20260817xex99d3"/>
      <w:bookmarkEnd w:id="66"/>
      <w:bookmarkEnd w:id="67"/>
      <w:r>
        <w:rPr>
          <w:rFonts w:ascii="Times New Roman;Times;serif" w:hAnsi="Times New Roman;Times;serif"/>
          <w:b/>
          <w:sz w:val="22"/>
        </w:rPr>
        <w:t>CONTINGENT VALUE RIGHTS AGREEMENT</w:t>
      </w:r>
      <w:r>
        <w:br w:type="page"/>
      </w:r>
    </w:p>
    <w:p>
      <w:pPr>
        <w:pStyle w:val="TextBody"/>
        <w:bidi w:val="0"/>
        <w:spacing w:before="0" w:after="240"/>
        <w:ind w:left="0" w:right="0" w:firstLine="719"/>
        <w:jc w:val="left"/>
        <w:rPr>
          <w:rFonts w:ascii="Times New Roman;Times;serif" w:hAnsi="Times New Roman;Times;serif"/>
          <w:sz w:val="22"/>
        </w:rPr>
      </w:pPr>
      <w:r>
        <w:rPr>
          <w:rFonts w:ascii="Times New Roman;Times;serif" w:hAnsi="Times New Roman;Times;serif"/>
          <w:b/>
          <w:sz w:val="22"/>
        </w:rPr>
        <w:t xml:space="preserve">THIS CONTINGENT VALUE RIGHTS AGREEMENT </w:t>
      </w:r>
      <w:r>
        <w:rPr>
          <w:rFonts w:ascii="Times New Roman;Times;serif" w:hAnsi="Times New Roman;Times;serif"/>
          <w:sz w:val="22"/>
        </w:rPr>
        <w:t>(this “</w:t>
      </w:r>
      <w:r>
        <w:rPr>
          <w:rFonts w:ascii="Times New Roman;Times;serif" w:hAnsi="Times New Roman;Times;serif"/>
          <w:b/>
          <w:sz w:val="22"/>
        </w:rPr>
        <w:t>Agreement</w:t>
      </w:r>
      <w:r>
        <w:rPr>
          <w:rFonts w:ascii="Times New Roman;Times;serif" w:hAnsi="Times New Roman;Times;serif"/>
          <w:sz w:val="22"/>
        </w:rPr>
        <w:t>”), dated as of August 17, 2026, is entered into by and between Coherus Oncology, Inc., a Delaware corporation (the “</w:t>
      </w:r>
      <w:r>
        <w:rPr>
          <w:rFonts w:ascii="Times New Roman;Times;serif" w:hAnsi="Times New Roman;Times;serif"/>
          <w:b/>
          <w:sz w:val="22"/>
        </w:rPr>
        <w:t>Company</w:t>
      </w:r>
      <w:r>
        <w:rPr>
          <w:rFonts w:ascii="Times New Roman;Times;serif" w:hAnsi="Times New Roman;Times;serif"/>
          <w:sz w:val="22"/>
        </w:rPr>
        <w:t>”), and Equiniti Trust Company, LLC, a New York limited liability trust company, as Rights Agent (as defined herein).</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RECITALS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b/>
          <w:sz w:val="22"/>
        </w:rPr>
        <w:t>WHEREAS</w:t>
      </w:r>
      <w:r>
        <w:rPr>
          <w:rFonts w:ascii="Times New Roman;Times;serif" w:hAnsi="Times New Roman;Times;serif"/>
          <w:sz w:val="22"/>
        </w:rPr>
        <w:t>, the Company has determined that it is in the best interest of the Company and its stockholders to issue, in the form of a dividend to the holders of shares of its Common Stock, par value $0.0001 per share (the “</w:t>
      </w:r>
      <w:r>
        <w:rPr>
          <w:rFonts w:ascii="Times New Roman;Times;serif" w:hAnsi="Times New Roman;Times;serif"/>
          <w:b/>
          <w:sz w:val="22"/>
        </w:rPr>
        <w:t>Common Stock</w:t>
      </w:r>
      <w:r>
        <w:rPr>
          <w:rFonts w:ascii="Times New Roman;Times;serif" w:hAnsi="Times New Roman;Times;serif"/>
          <w:sz w:val="22"/>
        </w:rPr>
        <w:t xml:space="preserve">”), contingent value rights representing the right to receive payments from the Company in the event that the Company sells, grants a license with respect to, receives license royalty payments (including under existing licenses) in respect of, or otherwise disposes of any of the assets of the Company listed in </w:t>
      </w:r>
      <w:r>
        <w:rPr>
          <w:rFonts w:ascii="Times New Roman;Times;serif" w:hAnsi="Times New Roman;Times;serif"/>
          <w:b/>
          <w:sz w:val="22"/>
        </w:rPr>
        <w:t>Annex A</w:t>
      </w:r>
      <w:r>
        <w:rPr>
          <w:rFonts w:ascii="Times New Roman;Times;serif" w:hAnsi="Times New Roman;Times;serif"/>
          <w:sz w:val="22"/>
        </w:rPr>
        <w:t xml:space="preserve"> hereto (the “</w:t>
      </w:r>
      <w:r>
        <w:rPr>
          <w:rFonts w:ascii="Times New Roman;Times;serif" w:hAnsi="Times New Roman;Times;serif"/>
          <w:b/>
          <w:sz w:val="22"/>
        </w:rPr>
        <w:t>Legacy BioSim Assets</w:t>
      </w:r>
      <w:r>
        <w:rPr>
          <w:rFonts w:ascii="Times New Roman;Times;serif" w:hAnsi="Times New Roman;Times;serif"/>
          <w:sz w:val="22"/>
        </w:rPr>
        <w:t xml:space="preserve">”), which assets represent the remaining biosimilar assets of the Company, in each case on the terms, and subject to the conditions, set forth in this Agreement; </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b/>
          <w:sz w:val="22"/>
        </w:rPr>
        <w:t>WHEREAS</w:t>
      </w:r>
      <w:r>
        <w:rPr>
          <w:rFonts w:ascii="Times New Roman;Times;serif" w:hAnsi="Times New Roman;Times;serif"/>
          <w:sz w:val="22"/>
        </w:rPr>
        <w:t>, on August 14, 2026 the Strategic Financing Transaction Committee of the board of directors of the Company authorized and declared a dividend of one CVR for each share of Common Stock outstanding at 5:00 p.m. Eastern Time on the Record Date (as defined below), payable on the Distribution Date (as defined below); and</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b/>
          <w:sz w:val="22"/>
        </w:rPr>
        <w:t>WHEREAS</w:t>
      </w:r>
      <w:r>
        <w:rPr>
          <w:rFonts w:ascii="Times New Roman;Times;serif" w:hAnsi="Times New Roman;Times;serif"/>
          <w:sz w:val="22"/>
        </w:rPr>
        <w:t>, the parties desire, and have done all things reasonably necessary, to make the contingent value rights, when issued hereunder, the valid obligations of the Company and to make this Agreement a valid and binding agreement of the Company, in accordance with its terms.</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b/>
          <w:sz w:val="22"/>
        </w:rPr>
        <w:t>NOW</w:t>
      </w:r>
      <w:r>
        <w:rPr>
          <w:rFonts w:ascii="Times New Roman;Times;serif" w:hAnsi="Times New Roman;Times;serif"/>
          <w:sz w:val="22"/>
        </w:rPr>
        <w:t xml:space="preserve">, </w:t>
      </w:r>
      <w:r>
        <w:rPr>
          <w:rFonts w:ascii="Times New Roman;Times;serif" w:hAnsi="Times New Roman;Times;serif"/>
          <w:b/>
          <w:sz w:val="22"/>
        </w:rPr>
        <w:t>THEREFORE</w:t>
      </w:r>
      <w:r>
        <w:rPr>
          <w:rFonts w:ascii="Times New Roman;Times;serif" w:hAnsi="Times New Roman;Times;serif"/>
          <w:sz w:val="22"/>
        </w:rPr>
        <w:t>, in consideration of the premises and the consummation of the transactions referred to above, it is mutually covenanted and agreed, for the proportionate benefit of all Holders, as follows:</w:t>
      </w:r>
    </w:p>
    <w:p>
      <w:pPr>
        <w:pStyle w:val="TextBody"/>
        <w:bidi w:val="0"/>
        <w:spacing w:before="240" w:after="240"/>
        <w:ind w:left="0" w:right="0" w:hanging="0"/>
        <w:jc w:val="center"/>
        <w:rPr>
          <w:rFonts w:ascii="Times New Roman;Times;serif" w:hAnsi="Times New Roman;Times;serif"/>
          <w:b/>
          <w:sz w:val="22"/>
        </w:rPr>
      </w:pPr>
      <w:r>
        <w:rPr>
          <w:rFonts w:ascii="Times New Roman;Times;serif" w:hAnsi="Times New Roman;Times;serif"/>
          <w:b/>
          <w:caps/>
          <w:sz w:val="22"/>
        </w:rPr>
        <w:t>Article 1</w:t>
      </w:r>
      <w:r>
        <w:rPr>
          <w:rFonts w:ascii="Times New Roman;Times;serif" w:hAnsi="Times New Roman;Times;serif"/>
          <w:b/>
          <w:sz w:val="22"/>
        </w:rPr>
        <w:t>​</w:t>
        <w:br/>
        <w:t>​</w:t>
        <w:br/>
        <w:t>DEFINITIONS</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sz w:val="22"/>
        </w:rPr>
        <w:t>Section 1.1Definitions</w:t>
      </w:r>
      <w:r>
        <w:rPr>
          <w:rFonts w:ascii="Times New Roman;Times;serif" w:hAnsi="Times New Roman;Times;serif"/>
          <w:sz w:val="22"/>
        </w:rPr>
        <w:t>. The following terms have the meanings ascribed to them as follows:</w:t>
      </w:r>
    </w:p>
    <w:p>
      <w:pPr>
        <w:pStyle w:val="TextBody"/>
        <w:bidi w:val="0"/>
        <w:spacing w:before="0" w:after="240"/>
        <w:ind w:left="0" w:right="0" w:firstLine="720"/>
        <w:jc w:val="left"/>
        <w:rPr/>
      </w:pPr>
      <w:r>
        <w:rPr/>
        <w:t>“</w:t>
      </w:r>
      <w:r>
        <w:rPr>
          <w:rFonts w:ascii="Times New Roman;Times;serif" w:hAnsi="Times New Roman;Times;serif"/>
          <w:b/>
          <w:sz w:val="22"/>
        </w:rPr>
        <w:t>Acting Holders</w:t>
      </w:r>
      <w:r>
        <w:rPr>
          <w:rFonts w:ascii="Times New Roman;Times;serif" w:hAnsi="Times New Roman;Times;serif"/>
          <w:sz w:val="22"/>
        </w:rPr>
        <w:t>” means, at the time of determination, the Holders of at least 50% of the outstanding CVRs, as reflected on the CVR Register.</w:t>
      </w:r>
    </w:p>
    <w:p>
      <w:pPr>
        <w:pStyle w:val="TextBody"/>
        <w:bidi w:val="0"/>
        <w:spacing w:before="0" w:after="240"/>
        <w:ind w:left="0" w:right="0" w:firstLine="720"/>
        <w:jc w:val="left"/>
        <w:rPr/>
      </w:pPr>
      <w:r>
        <w:rPr/>
        <w:t>“</w:t>
      </w:r>
      <w:r>
        <w:rPr>
          <w:rFonts w:ascii="Times New Roman;Times;serif" w:hAnsi="Times New Roman;Times;serif"/>
          <w:b/>
          <w:sz w:val="22"/>
        </w:rPr>
        <w:t>Affiliate</w:t>
      </w:r>
      <w:r>
        <w:rPr>
          <w:rFonts w:ascii="Times New Roman;Times;serif" w:hAnsi="Times New Roman;Times;serif"/>
          <w:sz w:val="22"/>
        </w:rPr>
        <w:t>” of a Person means any other Person that directly or indirectly, through one or more intermediaries, controls, is controlled by, or is under common control with, such Person. The term “</w:t>
      </w:r>
      <w:r>
        <w:rPr>
          <w:rFonts w:ascii="Times New Roman;Times;serif" w:hAnsi="Times New Roman;Times;serif"/>
          <w:b/>
          <w:sz w:val="22"/>
        </w:rPr>
        <w:t>control</w:t>
      </w:r>
      <w:r>
        <w:rPr>
          <w:rFonts w:ascii="Times New Roman;Times;serif" w:hAnsi="Times New Roman;Times;serif"/>
          <w:sz w:val="22"/>
        </w:rPr>
        <w:t>” (including the terms “</w:t>
      </w:r>
      <w:r>
        <w:rPr>
          <w:rFonts w:ascii="Times New Roman;Times;serif" w:hAnsi="Times New Roman;Times;serif"/>
          <w:b/>
          <w:sz w:val="22"/>
        </w:rPr>
        <w:t>controlled by</w:t>
      </w:r>
      <w:r>
        <w:rPr>
          <w:rFonts w:ascii="Times New Roman;Times;serif" w:hAnsi="Times New Roman;Times;serif"/>
          <w:sz w:val="22"/>
        </w:rPr>
        <w:t>” and “</w:t>
      </w:r>
      <w:r>
        <w:rPr>
          <w:rFonts w:ascii="Times New Roman;Times;serif" w:hAnsi="Times New Roman;Times;serif"/>
          <w:b/>
          <w:sz w:val="22"/>
        </w:rPr>
        <w:t>under common control with</w:t>
      </w:r>
      <w:r>
        <w:rPr>
          <w:rFonts w:ascii="Times New Roman;Times;serif" w:hAnsi="Times New Roman;Times;serif"/>
          <w:sz w:val="22"/>
        </w:rPr>
        <w:t>”) means the possession, directly or indirectly, of the power to direct or cause the direction of the management and policies of a Person, whether through the ownership of voting securities, by contract or otherwise.</w:t>
      </w:r>
    </w:p>
    <w:p>
      <w:pPr>
        <w:pStyle w:val="TextBody"/>
        <w:bidi w:val="0"/>
        <w:spacing w:before="0" w:after="240"/>
        <w:ind w:left="0" w:right="0" w:firstLine="720"/>
        <w:jc w:val="left"/>
        <w:rPr/>
      </w:pPr>
      <w:r>
        <w:rPr/>
        <w:t>“</w:t>
      </w:r>
      <w:r>
        <w:rPr>
          <w:rFonts w:ascii="Times New Roman;Times;serif" w:hAnsi="Times New Roman;Times;serif"/>
          <w:b/>
          <w:sz w:val="22"/>
        </w:rPr>
        <w:t>Agreement</w:t>
      </w:r>
      <w:r>
        <w:rPr>
          <w:rFonts w:ascii="Times New Roman;Times;serif" w:hAnsi="Times New Roman;Times;serif"/>
          <w:sz w:val="22"/>
        </w:rPr>
        <w:t>” has the meaning set forth in the preamble hereto.</w:t>
      </w:r>
    </w:p>
    <w:p>
      <w:pPr>
        <w:pStyle w:val="TextBody"/>
        <w:bidi w:val="0"/>
        <w:spacing w:before="0" w:after="240"/>
        <w:ind w:left="0" w:right="0" w:firstLine="720"/>
        <w:jc w:val="left"/>
        <w:rPr/>
      </w:pPr>
      <w:r>
        <w:rPr/>
        <w:t>“</w:t>
      </w:r>
      <w:r>
        <w:rPr>
          <w:rFonts w:ascii="Times New Roman;Times;serif" w:hAnsi="Times New Roman;Times;serif"/>
          <w:b/>
          <w:sz w:val="22"/>
        </w:rPr>
        <w:t>Assignee</w:t>
      </w:r>
      <w:r>
        <w:rPr>
          <w:rFonts w:ascii="Times New Roman;Times;serif" w:hAnsi="Times New Roman;Times;serif"/>
          <w:sz w:val="22"/>
        </w:rPr>
        <w:t xml:space="preserve">” has the meaning set forth in </w:t>
      </w:r>
      <w:r>
        <w:rPr>
          <w:rFonts w:ascii="Times New Roman;Times;serif" w:hAnsi="Times New Roman;Times;serif"/>
          <w:sz w:val="22"/>
          <w:u w:val="single"/>
        </w:rPr>
        <w:t>Section 7.5</w:t>
      </w:r>
      <w:r>
        <w:rPr>
          <w:rFonts w:ascii="Times New Roman;Times;serif" w:hAnsi="Times New Roman;Times;serif"/>
          <w:sz w:val="22"/>
        </w:rPr>
        <w:t>.</w:t>
      </w:r>
    </w:p>
    <w:p>
      <w:pPr>
        <w:pStyle w:val="TextBody"/>
        <w:bidi w:val="0"/>
        <w:spacing w:before="0" w:after="240"/>
        <w:ind w:left="0" w:right="0" w:firstLine="720"/>
        <w:jc w:val="left"/>
        <w:rPr/>
      </w:pPr>
      <w:r>
        <w:rPr/>
        <w:t>“</w:t>
      </w:r>
      <w:r>
        <w:rPr>
          <w:rFonts w:ascii="Times New Roman;Times;serif" w:hAnsi="Times New Roman;Times;serif"/>
          <w:b/>
          <w:sz w:val="22"/>
        </w:rPr>
        <w:t>Board</w:t>
      </w:r>
      <w:r>
        <w:rPr>
          <w:rFonts w:ascii="Times New Roman;Times;serif" w:hAnsi="Times New Roman;Times;serif"/>
          <w:sz w:val="22"/>
        </w:rPr>
        <w:t>” means board of directors of the Company.</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pPr>
      <w:r>
        <w:rPr/>
        <w:t>“</w:t>
      </w:r>
      <w:r>
        <w:rPr>
          <w:rFonts w:ascii="Times New Roman;Times;serif" w:hAnsi="Times New Roman;Times;serif"/>
          <w:b/>
          <w:sz w:val="22"/>
        </w:rPr>
        <w:t>Business Day</w:t>
      </w:r>
      <w:r>
        <w:rPr>
          <w:rFonts w:ascii="Times New Roman;Times;serif" w:hAnsi="Times New Roman;Times;serif"/>
          <w:sz w:val="22"/>
        </w:rPr>
        <w:t>” means any day other than a Saturday, Sunday or a day on which banking institutions in New York or California are authorized or obligated by law or executive order to remain closed.</w:t>
      </w:r>
    </w:p>
    <w:p>
      <w:pPr>
        <w:pStyle w:val="TextBody"/>
        <w:bidi w:val="0"/>
        <w:spacing w:before="0" w:after="240"/>
        <w:ind w:left="0" w:right="0" w:firstLine="720"/>
        <w:jc w:val="left"/>
        <w:rPr/>
      </w:pPr>
      <w:r>
        <w:rPr/>
        <w:t>“</w:t>
      </w:r>
      <w:r>
        <w:rPr>
          <w:rFonts w:ascii="Times New Roman;Times;serif" w:hAnsi="Times New Roman;Times;serif"/>
          <w:b/>
          <w:sz w:val="22"/>
        </w:rPr>
        <w:t>Calendar Quarter</w:t>
      </w:r>
      <w:r>
        <w:rPr>
          <w:rFonts w:ascii="Times New Roman;Times;serif" w:hAnsi="Times New Roman;Times;serif"/>
          <w:sz w:val="22"/>
        </w:rPr>
        <w:t xml:space="preserve">” means the successive periods of three (3) consecutive calendar months ending on March 31, June 30, September 30 or December 31, for so long as this Agreement is in effect; </w:t>
      </w:r>
      <w:r>
        <w:rPr>
          <w:rFonts w:ascii="Times New Roman;Times;serif" w:hAnsi="Times New Roman;Times;serif"/>
          <w:i/>
          <w:sz w:val="22"/>
        </w:rPr>
        <w:t>provided</w:t>
      </w:r>
      <w:r>
        <w:rPr>
          <w:rFonts w:ascii="Times New Roman;Times;serif" w:hAnsi="Times New Roman;Times;serif"/>
          <w:sz w:val="22"/>
        </w:rPr>
        <w:t xml:space="preserve">, </w:t>
      </w:r>
      <w:r>
        <w:rPr>
          <w:rFonts w:ascii="Times New Roman;Times;serif" w:hAnsi="Times New Roman;Times;serif"/>
          <w:i/>
          <w:sz w:val="22"/>
        </w:rPr>
        <w:t xml:space="preserve">however </w:t>
      </w:r>
      <w:r>
        <w:rPr>
          <w:rFonts w:ascii="Times New Roman;Times;serif" w:hAnsi="Times New Roman;Times;serif"/>
          <w:sz w:val="22"/>
        </w:rPr>
        <w:t>that (a) the first Calendar Quarter shall commence on the Distribution Date and shall end on December 31, 2026, and (b) the last Calendar Quarter shall commence on the first day after the full Calendar Quarter immediately preceding the effective date of the termination or expiration of this Agreement and shall end on the effective date of the termination or expiration of this Agreement.</w:t>
      </w:r>
    </w:p>
    <w:p>
      <w:pPr>
        <w:pStyle w:val="TextBody"/>
        <w:bidi w:val="0"/>
        <w:spacing w:before="0" w:after="240"/>
        <w:ind w:left="0" w:right="0" w:firstLine="720"/>
        <w:jc w:val="left"/>
        <w:rPr/>
      </w:pPr>
      <w:r>
        <w:rPr/>
        <w:t>“</w:t>
      </w:r>
      <w:r>
        <w:rPr>
          <w:rFonts w:ascii="Times New Roman;Times;serif" w:hAnsi="Times New Roman;Times;serif"/>
          <w:b/>
          <w:sz w:val="22"/>
        </w:rPr>
        <w:t>Code</w:t>
      </w:r>
      <w:r>
        <w:rPr>
          <w:rFonts w:ascii="Times New Roman;Times;serif" w:hAnsi="Times New Roman;Times;serif"/>
          <w:sz w:val="22"/>
        </w:rPr>
        <w:t>” means the U.S. Internal Revenue Code of 1986, as amended.</w:t>
      </w:r>
    </w:p>
    <w:p>
      <w:pPr>
        <w:pStyle w:val="TextBody"/>
        <w:bidi w:val="0"/>
        <w:spacing w:before="0" w:after="240"/>
        <w:ind w:left="0" w:right="0" w:firstLine="720"/>
        <w:jc w:val="left"/>
        <w:rPr/>
      </w:pPr>
      <w:r>
        <w:rPr/>
        <w:t>“</w:t>
      </w:r>
      <w:r>
        <w:rPr>
          <w:rFonts w:ascii="Times New Roman;Times;serif" w:hAnsi="Times New Roman;Times;serif"/>
          <w:b/>
          <w:sz w:val="22"/>
        </w:rPr>
        <w:t>Common Stock</w:t>
      </w:r>
      <w:r>
        <w:rPr>
          <w:rFonts w:ascii="Times New Roman;Times;serif" w:hAnsi="Times New Roman;Times;serif"/>
          <w:sz w:val="22"/>
        </w:rPr>
        <w:t>” has the meaning set forth in the recitals hereto.</w:t>
      </w:r>
    </w:p>
    <w:p>
      <w:pPr>
        <w:pStyle w:val="TextBody"/>
        <w:bidi w:val="0"/>
        <w:spacing w:before="0" w:after="240"/>
        <w:ind w:left="0" w:right="0" w:firstLine="720"/>
        <w:jc w:val="left"/>
        <w:rPr/>
      </w:pPr>
      <w:r>
        <w:rPr/>
        <w:t>“</w:t>
      </w:r>
      <w:r>
        <w:rPr>
          <w:rFonts w:ascii="Times New Roman;Times;serif" w:hAnsi="Times New Roman;Times;serif"/>
          <w:b/>
          <w:sz w:val="22"/>
        </w:rPr>
        <w:t>Company</w:t>
      </w:r>
      <w:r>
        <w:rPr>
          <w:rFonts w:ascii="Times New Roman;Times;serif" w:hAnsi="Times New Roman;Times;serif"/>
          <w:sz w:val="22"/>
        </w:rPr>
        <w:t>” has the meaning set forth in the preamble hereto.</w:t>
      </w:r>
    </w:p>
    <w:p>
      <w:pPr>
        <w:pStyle w:val="TextBody"/>
        <w:bidi w:val="0"/>
        <w:spacing w:before="0" w:after="240"/>
        <w:ind w:left="0" w:right="0" w:firstLine="720"/>
        <w:jc w:val="left"/>
        <w:rPr/>
      </w:pPr>
      <w:r>
        <w:rPr/>
        <w:t>“</w:t>
      </w:r>
      <w:r>
        <w:rPr>
          <w:rFonts w:ascii="Times New Roman;Times;serif" w:hAnsi="Times New Roman;Times;serif"/>
          <w:b/>
          <w:sz w:val="22"/>
        </w:rPr>
        <w:t>Covered Royalty Payment</w:t>
      </w:r>
      <w:r>
        <w:rPr>
          <w:rFonts w:ascii="Times New Roman;Times;serif" w:hAnsi="Times New Roman;Times;serif"/>
          <w:sz w:val="22"/>
        </w:rPr>
        <w:t>” means any cash license royalty payment or similar cash payment received by the Company pursuant to any license of any Legacy BioSim Assets (including under that certain License and Settlement Agreement, dated as of October 21, 2019, by and between the Company and Pfizer Inc.) during the CVR Term.</w:t>
      </w:r>
    </w:p>
    <w:p>
      <w:pPr>
        <w:pStyle w:val="TextBody"/>
        <w:bidi w:val="0"/>
        <w:spacing w:before="0" w:after="240"/>
        <w:ind w:left="0" w:right="0" w:firstLine="720"/>
        <w:jc w:val="left"/>
        <w:rPr/>
      </w:pPr>
      <w:r>
        <w:rPr/>
        <w:t>“</w:t>
      </w:r>
      <w:r>
        <w:rPr>
          <w:rFonts w:ascii="Times New Roman;Times;serif" w:hAnsi="Times New Roman;Times;serif"/>
          <w:b/>
          <w:sz w:val="22"/>
        </w:rPr>
        <w:t>CVR</w:t>
      </w:r>
      <w:r>
        <w:rPr>
          <w:rFonts w:ascii="Times New Roman;Times;serif" w:hAnsi="Times New Roman;Times;serif"/>
          <w:sz w:val="22"/>
        </w:rPr>
        <w:t>” means a contingent contractual right of Holders to receive CVR Payments pursuant to, and subject to the terms and conditions of, this Agreement.</w:t>
      </w:r>
    </w:p>
    <w:p>
      <w:pPr>
        <w:pStyle w:val="TextBody"/>
        <w:bidi w:val="0"/>
        <w:spacing w:before="0" w:after="240"/>
        <w:ind w:left="0" w:right="0" w:firstLine="720"/>
        <w:jc w:val="left"/>
        <w:rPr/>
      </w:pPr>
      <w:r>
        <w:rPr/>
        <w:t>“</w:t>
      </w:r>
      <w:r>
        <w:rPr>
          <w:rFonts w:ascii="Times New Roman;Times;serif" w:hAnsi="Times New Roman;Times;serif"/>
          <w:b/>
          <w:sz w:val="22"/>
        </w:rPr>
        <w:t>CVR Expiration Date</w:t>
      </w:r>
      <w:r>
        <w:rPr>
          <w:rFonts w:ascii="Times New Roman;Times;serif" w:hAnsi="Times New Roman;Times;serif"/>
          <w:sz w:val="22"/>
        </w:rPr>
        <w:t>” means October 7, 2028, which is the second anniversary of the Distribution Date.</w:t>
      </w:r>
    </w:p>
    <w:p>
      <w:pPr>
        <w:pStyle w:val="TextBody"/>
        <w:bidi w:val="0"/>
        <w:spacing w:before="0" w:after="240"/>
        <w:ind w:left="0" w:right="0" w:firstLine="720"/>
        <w:jc w:val="left"/>
        <w:rPr/>
      </w:pPr>
      <w:r>
        <w:rPr/>
        <w:t>“</w:t>
      </w:r>
      <w:r>
        <w:rPr>
          <w:rFonts w:ascii="Times New Roman;Times;serif" w:hAnsi="Times New Roman;Times;serif"/>
          <w:b/>
          <w:sz w:val="22"/>
        </w:rPr>
        <w:t>CVR Payment</w:t>
      </w:r>
      <w:r>
        <w:rPr>
          <w:rFonts w:ascii="Times New Roman;Times;serif" w:hAnsi="Times New Roman;Times;serif"/>
          <w:sz w:val="22"/>
        </w:rPr>
        <w:t>” means the aggregate Net Proceeds actually received by the Company in a given Calendar Quarter.</w:t>
      </w:r>
    </w:p>
    <w:p>
      <w:pPr>
        <w:pStyle w:val="TextBody"/>
        <w:bidi w:val="0"/>
        <w:spacing w:before="0" w:after="240"/>
        <w:ind w:left="0" w:right="0" w:firstLine="720"/>
        <w:jc w:val="left"/>
        <w:rPr/>
      </w:pPr>
      <w:r>
        <w:rPr/>
        <w:t>“</w:t>
      </w:r>
      <w:r>
        <w:rPr>
          <w:rFonts w:ascii="Times New Roman;Times;serif" w:hAnsi="Times New Roman;Times;serif"/>
          <w:b/>
          <w:sz w:val="22"/>
        </w:rPr>
        <w:t>CVR Payment Amount</w:t>
      </w:r>
      <w:r>
        <w:rPr>
          <w:rFonts w:ascii="Times New Roman;Times;serif" w:hAnsi="Times New Roman;Times;serif"/>
          <w:sz w:val="22"/>
        </w:rPr>
        <w:t>” means with respect to each CVR Payment and each Holder, an amount in cash equal to such CVR Payment divided by the aggregate number of CVRs outstanding as of the date of such CVR Payment as reflected on the CVR Register and then multiplied by the total number of CVRs held by such Holder as of the date of such CVR Payment as reflected on the CVR Register; provided that any fractional cent included in a Holder’s CVR Payment Amount shall be rounded down to the nearest whole cent.</w:t>
      </w:r>
    </w:p>
    <w:p>
      <w:pPr>
        <w:pStyle w:val="TextBody"/>
        <w:bidi w:val="0"/>
        <w:spacing w:before="0" w:after="240"/>
        <w:ind w:left="0" w:right="0" w:firstLine="720"/>
        <w:jc w:val="left"/>
        <w:rPr/>
      </w:pPr>
      <w:r>
        <w:rPr/>
        <w:t>“</w:t>
      </w:r>
      <w:r>
        <w:rPr>
          <w:rFonts w:ascii="Times New Roman;Times;serif" w:hAnsi="Times New Roman;Times;serif"/>
          <w:b/>
          <w:sz w:val="22"/>
        </w:rPr>
        <w:t>CVR Payment Period</w:t>
      </w:r>
      <w:r>
        <w:rPr>
          <w:rFonts w:ascii="Times New Roman;Times;serif" w:hAnsi="Times New Roman;Times;serif"/>
          <w:sz w:val="22"/>
        </w:rPr>
        <w:t>” means, as applicable, any Calendar Quarter during which Gross Proceeds are actually received by the Company.</w:t>
      </w:r>
    </w:p>
    <w:p>
      <w:pPr>
        <w:pStyle w:val="TextBody"/>
        <w:bidi w:val="0"/>
        <w:spacing w:before="0" w:after="240"/>
        <w:ind w:left="0" w:right="0" w:firstLine="720"/>
        <w:jc w:val="left"/>
        <w:rPr/>
      </w:pPr>
      <w:r>
        <w:rPr/>
        <w:t>“</w:t>
      </w:r>
      <w:r>
        <w:rPr>
          <w:rFonts w:ascii="Times New Roman;Times;serif" w:hAnsi="Times New Roman;Times;serif"/>
          <w:b/>
          <w:sz w:val="22"/>
        </w:rPr>
        <w:t>CVR Payment Statement</w:t>
      </w:r>
      <w:r>
        <w:rPr>
          <w:rFonts w:ascii="Times New Roman;Times;serif" w:hAnsi="Times New Roman;Times;serif"/>
          <w:sz w:val="22"/>
        </w:rPr>
        <w:t>” means, for a given CVR Payment Period during the CVR Term, a written statement of the Company, signed on behalf of the Company, setting forth in reasonable detail the calculation of the applicable CVR Payment for such CVR Payment Period.</w:t>
      </w:r>
    </w:p>
    <w:p>
      <w:pPr>
        <w:pStyle w:val="TextBody"/>
        <w:bidi w:val="0"/>
        <w:spacing w:before="0" w:after="240"/>
        <w:ind w:left="0" w:right="0" w:firstLine="720"/>
        <w:jc w:val="left"/>
        <w:rPr/>
      </w:pPr>
      <w:r>
        <w:rPr/>
        <w:t>“</w:t>
      </w:r>
      <w:r>
        <w:rPr>
          <w:rFonts w:ascii="Times New Roman;Times;serif" w:hAnsi="Times New Roman;Times;serif"/>
          <w:b/>
          <w:sz w:val="22"/>
        </w:rPr>
        <w:t>CVR Register</w:t>
      </w:r>
      <w:r>
        <w:rPr>
          <w:rFonts w:ascii="Times New Roman;Times;serif" w:hAnsi="Times New Roman;Times;serif"/>
          <w:sz w:val="22"/>
        </w:rPr>
        <w:t xml:space="preserve">” has the meaning set forth in </w:t>
      </w:r>
      <w:r>
        <w:rPr>
          <w:rFonts w:ascii="Times New Roman;Times;serif" w:hAnsi="Times New Roman;Times;serif"/>
          <w:sz w:val="22"/>
          <w:u w:val="single"/>
        </w:rPr>
        <w:t>Section 2.3(b)</w:t>
      </w:r>
      <w:r>
        <w:rPr>
          <w:rFonts w:ascii="Times New Roman;Times;serif" w:hAnsi="Times New Roman;Times;serif"/>
          <w:sz w:val="22"/>
        </w:rPr>
        <w:t>.</w:t>
      </w:r>
    </w:p>
    <w:p>
      <w:pPr>
        <w:pStyle w:val="TextBody"/>
        <w:bidi w:val="0"/>
        <w:spacing w:before="0" w:after="240"/>
        <w:ind w:left="0" w:right="0" w:firstLine="720"/>
        <w:jc w:val="left"/>
        <w:rPr/>
      </w:pPr>
      <w:r>
        <w:rPr/>
        <w:t>“</w:t>
      </w:r>
      <w:r>
        <w:rPr>
          <w:rFonts w:ascii="Times New Roman;Times;serif" w:hAnsi="Times New Roman;Times;serif"/>
          <w:b/>
          <w:sz w:val="22"/>
        </w:rPr>
        <w:t>CVR Term</w:t>
      </w:r>
      <w:r>
        <w:rPr>
          <w:rFonts w:ascii="Times New Roman;Times;serif" w:hAnsi="Times New Roman;Times;serif"/>
          <w:sz w:val="22"/>
        </w:rPr>
        <w:t>” means the period beginning on the Distribution Date and ending on the CVR Expiration Date.</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pPr>
      <w:r>
        <w:rPr/>
        <w:t>“</w:t>
      </w:r>
      <w:r>
        <w:rPr>
          <w:rFonts w:ascii="Times New Roman;Times;serif" w:hAnsi="Times New Roman;Times;serif"/>
          <w:b/>
          <w:sz w:val="22"/>
        </w:rPr>
        <w:t>Disposition</w:t>
      </w:r>
      <w:r>
        <w:rPr>
          <w:rFonts w:ascii="Times New Roman;Times;serif" w:hAnsi="Times New Roman;Times;serif"/>
          <w:sz w:val="22"/>
        </w:rPr>
        <w:t>” means the sale, license, transfer or other disposition of any Legacy BioSim Assets during the CVR Term.</w:t>
      </w:r>
    </w:p>
    <w:p>
      <w:pPr>
        <w:pStyle w:val="TextBody"/>
        <w:bidi w:val="0"/>
        <w:spacing w:before="0" w:after="240"/>
        <w:ind w:left="0" w:right="0" w:firstLine="720"/>
        <w:jc w:val="left"/>
        <w:rPr/>
      </w:pPr>
      <w:r>
        <w:rPr/>
        <w:t>“</w:t>
      </w:r>
      <w:r>
        <w:rPr>
          <w:rFonts w:ascii="Times New Roman;Times;serif" w:hAnsi="Times New Roman;Times;serif"/>
          <w:b/>
          <w:sz w:val="22"/>
        </w:rPr>
        <w:t>Disposition Agreement</w:t>
      </w:r>
      <w:r>
        <w:rPr>
          <w:rFonts w:ascii="Times New Roman;Times;serif" w:hAnsi="Times New Roman;Times;serif"/>
          <w:sz w:val="22"/>
        </w:rPr>
        <w:t>” means a definitive written agreement providing for a transaction or series of transactions between the Company or its Affiliates and any Person who is not an Affiliate of the Company regarding a Disposition entered into during the CVR Term.</w:t>
      </w:r>
    </w:p>
    <w:p>
      <w:pPr>
        <w:pStyle w:val="TextBody"/>
        <w:bidi w:val="0"/>
        <w:spacing w:before="0" w:after="240"/>
        <w:ind w:left="0" w:right="0" w:firstLine="720"/>
        <w:jc w:val="left"/>
        <w:rPr/>
      </w:pPr>
      <w:r>
        <w:rPr/>
        <w:t>“</w:t>
      </w:r>
      <w:r>
        <w:rPr>
          <w:rFonts w:ascii="Times New Roman;Times;serif" w:hAnsi="Times New Roman;Times;serif"/>
          <w:b/>
          <w:sz w:val="22"/>
        </w:rPr>
        <w:t>Distribution Date</w:t>
      </w:r>
      <w:r>
        <w:rPr>
          <w:rFonts w:ascii="Times New Roman;Times;serif" w:hAnsi="Times New Roman;Times;serif"/>
          <w:sz w:val="22"/>
        </w:rPr>
        <w:t>” means October 7, 2026.</w:t>
      </w:r>
    </w:p>
    <w:p>
      <w:pPr>
        <w:pStyle w:val="TextBody"/>
        <w:bidi w:val="0"/>
        <w:spacing w:before="0" w:after="240"/>
        <w:ind w:left="0" w:right="0" w:firstLine="720"/>
        <w:jc w:val="left"/>
        <w:rPr/>
      </w:pPr>
      <w:r>
        <w:rPr/>
        <w:t>“</w:t>
      </w:r>
      <w:r>
        <w:rPr>
          <w:rFonts w:ascii="Times New Roman;Times;serif" w:hAnsi="Times New Roman;Times;serif"/>
          <w:b/>
          <w:sz w:val="22"/>
        </w:rPr>
        <w:t>DTC</w:t>
      </w:r>
      <w:r>
        <w:rPr>
          <w:rFonts w:ascii="Times New Roman;Times;serif" w:hAnsi="Times New Roman;Times;serif"/>
          <w:sz w:val="22"/>
        </w:rPr>
        <w:t>” means The Depository Trust Company or any successor thereto.</w:t>
      </w:r>
    </w:p>
    <w:p>
      <w:pPr>
        <w:pStyle w:val="TextBody"/>
        <w:bidi w:val="0"/>
        <w:spacing w:before="0" w:after="240"/>
        <w:ind w:left="0" w:right="0" w:firstLine="720"/>
        <w:jc w:val="left"/>
        <w:rPr/>
      </w:pPr>
      <w:r>
        <w:rPr/>
        <w:t>“</w:t>
      </w:r>
      <w:r>
        <w:rPr>
          <w:rFonts w:ascii="Times New Roman;Times;serif" w:hAnsi="Times New Roman;Times;serif"/>
          <w:b/>
          <w:sz w:val="22"/>
        </w:rPr>
        <w:t>Governmental Entity</w:t>
      </w:r>
      <w:r>
        <w:rPr>
          <w:rFonts w:ascii="Times New Roman;Times;serif" w:hAnsi="Times New Roman;Times;serif"/>
          <w:sz w:val="22"/>
        </w:rPr>
        <w:t xml:space="preserve">” means any supra-national, national, federal, state, municipal, local or foreign government; any court, tribunal or judicial or arbitral body; administrative agency; legislative, executive or regulatory body (or subdivision thereof); public international organization; self-regulatory authority; commission or other governmental or quasi-governmental authority or instrumentality, in each case whether domestic or foreign, any stock exchange or similar self-regulatory organization or any quasi-governmental body exercising any regulatory, Taxing or other governmental or quasi-governmental authority. </w:t>
      </w:r>
    </w:p>
    <w:p>
      <w:pPr>
        <w:pStyle w:val="TextBody"/>
        <w:bidi w:val="0"/>
        <w:spacing w:before="0" w:after="240"/>
        <w:ind w:left="0" w:right="0" w:firstLine="720"/>
        <w:jc w:val="left"/>
        <w:rPr/>
      </w:pPr>
      <w:r>
        <w:rPr/>
        <w:t>“</w:t>
      </w:r>
      <w:r>
        <w:rPr>
          <w:rFonts w:ascii="Times New Roman;Times;serif" w:hAnsi="Times New Roman;Times;serif"/>
          <w:b/>
          <w:sz w:val="22"/>
        </w:rPr>
        <w:t>Gross Proceeds</w:t>
      </w:r>
      <w:r>
        <w:rPr>
          <w:rFonts w:ascii="Times New Roman;Times;serif" w:hAnsi="Times New Roman;Times;serif"/>
          <w:sz w:val="22"/>
        </w:rPr>
        <w:t xml:space="preserve">” means, without duplication, the sum of (i) all cash consideration and Securities Proceeds actually received by the Company or its Affiliates during the CVR Term in consideration for any Dispositions pursuant to a Disposition Agreement and (ii) all cash Covered Royalty Payments actually received by the Company during the CVR Term. </w:t>
      </w:r>
    </w:p>
    <w:p>
      <w:pPr>
        <w:pStyle w:val="TextBody"/>
        <w:bidi w:val="0"/>
        <w:spacing w:before="0" w:after="240"/>
        <w:ind w:left="0" w:right="0" w:firstLine="720"/>
        <w:jc w:val="left"/>
        <w:rPr/>
      </w:pPr>
      <w:r>
        <w:rPr/>
        <w:t>“</w:t>
      </w:r>
      <w:r>
        <w:rPr>
          <w:rFonts w:ascii="Times New Roman;Times;serif" w:hAnsi="Times New Roman;Times;serif"/>
          <w:b/>
          <w:sz w:val="22"/>
        </w:rPr>
        <w:t>Holdback Amount</w:t>
      </w:r>
      <w:r>
        <w:rPr>
          <w:rFonts w:ascii="Times New Roman;Times;serif" w:hAnsi="Times New Roman;Times;serif"/>
          <w:sz w:val="22"/>
        </w:rPr>
        <w:t xml:space="preserve">” means, in respect of any Disposition, the amount of consideration for any Disposition that would otherwise be Gross Proceeds if received by the Company that is withheld or held in escrow pursuant to the applicable Disposition Agreement; </w:t>
      </w:r>
      <w:r>
        <w:rPr>
          <w:rFonts w:ascii="Times New Roman;Times;serif" w:hAnsi="Times New Roman;Times;serif"/>
          <w:i/>
          <w:sz w:val="22"/>
        </w:rPr>
        <w:t>provided</w:t>
      </w:r>
      <w:r>
        <w:rPr>
          <w:rFonts w:ascii="Times New Roman;Times;serif" w:hAnsi="Times New Roman;Times;serif"/>
          <w:sz w:val="22"/>
        </w:rPr>
        <w:t xml:space="preserve">, that upon the release of all or any portion of the Holdback Amount to the Company during the CVR Term, such previously withheld or escrowed funds (as applicable) shall be subject to the payment procedures provided for in </w:t>
      </w:r>
      <w:r>
        <w:rPr>
          <w:rFonts w:ascii="Times New Roman;Times;serif" w:hAnsi="Times New Roman;Times;serif"/>
          <w:sz w:val="22"/>
          <w:u w:val="single"/>
        </w:rPr>
        <w:t>Section 2.4</w:t>
      </w:r>
      <w:r>
        <w:rPr>
          <w:rFonts w:ascii="Times New Roman;Times;serif" w:hAnsi="Times New Roman;Times;serif"/>
          <w:sz w:val="22"/>
        </w:rPr>
        <w:t xml:space="preserve"> herein; </w:t>
      </w:r>
      <w:r>
        <w:rPr>
          <w:rFonts w:ascii="Times New Roman;Times;serif" w:hAnsi="Times New Roman;Times;serif"/>
          <w:i/>
          <w:sz w:val="22"/>
        </w:rPr>
        <w:t xml:space="preserve">provided further </w:t>
      </w:r>
      <w:r>
        <w:rPr>
          <w:rFonts w:ascii="Times New Roman;Times;serif" w:hAnsi="Times New Roman;Times;serif"/>
          <w:sz w:val="22"/>
        </w:rPr>
        <w:t>that such funds released from withholding or escrow shall no longer be deemed to be a Holdback Amount for purposes of Permitted Deductions.</w:t>
      </w:r>
    </w:p>
    <w:p>
      <w:pPr>
        <w:pStyle w:val="TextBody"/>
        <w:bidi w:val="0"/>
        <w:spacing w:before="0" w:after="240"/>
        <w:ind w:left="0" w:right="0" w:firstLine="720"/>
        <w:jc w:val="left"/>
        <w:rPr/>
      </w:pPr>
      <w:r>
        <w:rPr/>
        <w:t>“</w:t>
      </w:r>
      <w:r>
        <w:rPr>
          <w:rFonts w:ascii="Times New Roman;Times;serif" w:hAnsi="Times New Roman;Times;serif"/>
          <w:b/>
          <w:sz w:val="22"/>
        </w:rPr>
        <w:t>Holder</w:t>
      </w:r>
      <w:r>
        <w:rPr>
          <w:rFonts w:ascii="Times New Roman;Times;serif" w:hAnsi="Times New Roman;Times;serif"/>
          <w:sz w:val="22"/>
        </w:rPr>
        <w:t>” means, at the relevant time, a Person in whose name CVRs are registered in the CVR Register.</w:t>
      </w:r>
    </w:p>
    <w:p>
      <w:pPr>
        <w:pStyle w:val="TextBody"/>
        <w:bidi w:val="0"/>
        <w:spacing w:before="0" w:after="240"/>
        <w:ind w:left="0" w:right="0" w:firstLine="720"/>
        <w:jc w:val="left"/>
        <w:rPr/>
      </w:pPr>
      <w:r>
        <w:rPr/>
        <w:t>“</w:t>
      </w:r>
      <w:r>
        <w:rPr>
          <w:rFonts w:ascii="Times New Roman;Times;serif" w:hAnsi="Times New Roman;Times;serif"/>
          <w:b/>
          <w:sz w:val="22"/>
        </w:rPr>
        <w:t>Legacy BioSim Assets</w:t>
      </w:r>
      <w:r>
        <w:rPr>
          <w:rFonts w:ascii="Times New Roman;Times;serif" w:hAnsi="Times New Roman;Times;serif"/>
          <w:sz w:val="22"/>
        </w:rPr>
        <w:t>” has the meaning set forth in the recitals hereto.</w:t>
      </w:r>
    </w:p>
    <w:p>
      <w:pPr>
        <w:pStyle w:val="TextBody"/>
        <w:bidi w:val="0"/>
        <w:spacing w:before="0" w:after="240"/>
        <w:ind w:left="0" w:right="0" w:firstLine="720"/>
        <w:jc w:val="left"/>
        <w:rPr/>
      </w:pPr>
      <w:r>
        <w:rPr/>
        <w:t>“</w:t>
      </w:r>
      <w:r>
        <w:rPr>
          <w:rFonts w:ascii="Times New Roman;Times;serif" w:hAnsi="Times New Roman;Times;serif"/>
          <w:b/>
          <w:sz w:val="22"/>
        </w:rPr>
        <w:t>Loss</w:t>
      </w:r>
      <w:r>
        <w:rPr>
          <w:rFonts w:ascii="Times New Roman;Times;serif" w:hAnsi="Times New Roman;Times;serif"/>
          <w:sz w:val="22"/>
        </w:rPr>
        <w:t xml:space="preserve">” has the meaning set forth in </w:t>
      </w:r>
      <w:r>
        <w:rPr>
          <w:rFonts w:ascii="Times New Roman;Times;serif" w:hAnsi="Times New Roman;Times;serif"/>
          <w:sz w:val="22"/>
          <w:u w:val="single"/>
        </w:rPr>
        <w:t>Section 3.2(g)</w:t>
      </w:r>
      <w:r>
        <w:rPr>
          <w:rFonts w:ascii="Times New Roman;Times;serif" w:hAnsi="Times New Roman;Times;serif"/>
          <w:sz w:val="22"/>
        </w:rPr>
        <w:t>.</w:t>
      </w:r>
    </w:p>
    <w:p>
      <w:pPr>
        <w:pStyle w:val="TextBody"/>
        <w:bidi w:val="0"/>
        <w:spacing w:before="0" w:after="240"/>
        <w:ind w:left="0" w:right="0" w:firstLine="720"/>
        <w:jc w:val="left"/>
        <w:rPr/>
      </w:pPr>
      <w:r>
        <w:rPr/>
        <w:t>“</w:t>
      </w:r>
      <w:r>
        <w:rPr>
          <w:rFonts w:ascii="Times New Roman;Times;serif" w:hAnsi="Times New Roman;Times;serif"/>
          <w:b/>
          <w:sz w:val="22"/>
        </w:rPr>
        <w:t>Marketable Securities</w:t>
      </w:r>
      <w:r>
        <w:rPr>
          <w:rFonts w:ascii="Times New Roman;Times;serif" w:hAnsi="Times New Roman;Times;serif"/>
          <w:sz w:val="22"/>
        </w:rPr>
        <w:t>” means marketable securities that the Company or any of its Affiliates receives as consideration for any Dispositions pursuant to a Disposition Agreement during the CVR Term.</w:t>
      </w:r>
    </w:p>
    <w:p>
      <w:pPr>
        <w:pStyle w:val="TextBody"/>
        <w:bidi w:val="0"/>
        <w:spacing w:before="0" w:after="0"/>
        <w:ind w:left="0" w:right="0" w:firstLine="720"/>
        <w:jc w:val="left"/>
        <w:rPr/>
      </w:pPr>
      <w:r>
        <w:rPr/>
        <w:t>“</w:t>
      </w:r>
      <w:r>
        <w:rPr>
          <w:rFonts w:ascii="Times New Roman;Times;serif" w:hAnsi="Times New Roman;Times;serif"/>
          <w:b/>
          <w:sz w:val="22"/>
        </w:rPr>
        <w:t>Net Proceeds</w:t>
      </w:r>
      <w:r>
        <w:rPr>
          <w:rFonts w:ascii="Times New Roman;Times;serif" w:hAnsi="Times New Roman;Times;serif"/>
          <w:sz w:val="22"/>
        </w:rPr>
        <w:t xml:space="preserve">” means, for any CVR Payment Period, the Gross Proceeds actually received by the Company in such CVR Payment Period minus Permitted Deductions since the Distribution Date and through the end of such CVR Payment Period, all as calculated in a manner consistent with the Company’s accounting practices and the most recently filed annual audited financial statements with the Securities Exchange Commission, except as otherwise set forth herein. For clarity, (a) to the extent that any Permitted Deductions were taken into account in calculating Net Proceeds for any prior CVR Payment Periods, such Permitted Deductions shall not be taken into account again in calculating Net Proceeds in the current CVR Payment Period at issue, and (b) to the extent Permitted Deductions exceed Gross Proceeds for any CVR Payment Period, any excess Permitted Deductions from such CVR Payment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Period shall be applied against Gross Proceeds in subsequent CVR Payment Periods together with any Permitted Deductions from such subsequent CVR Payment Periods.</w:t>
      </w:r>
    </w:p>
    <w:p>
      <w:pPr>
        <w:pStyle w:val="TextBody"/>
        <w:bidi w:val="0"/>
        <w:spacing w:before="0" w:after="240"/>
        <w:ind w:left="0" w:right="0" w:firstLine="720"/>
        <w:jc w:val="left"/>
        <w:rPr/>
      </w:pPr>
      <w:r>
        <w:rPr/>
        <w:t>“</w:t>
      </w:r>
      <w:r>
        <w:rPr>
          <w:rFonts w:ascii="Times New Roman;Times;serif" w:hAnsi="Times New Roman;Times;serif"/>
          <w:b/>
          <w:sz w:val="22"/>
        </w:rPr>
        <w:t>Notice</w:t>
      </w:r>
      <w:r>
        <w:rPr>
          <w:rFonts w:ascii="Times New Roman;Times;serif" w:hAnsi="Times New Roman;Times;serif"/>
          <w:sz w:val="22"/>
        </w:rPr>
        <w:t xml:space="preserve">” has the meaning set forth in </w:t>
      </w:r>
      <w:r>
        <w:rPr>
          <w:rFonts w:ascii="Times New Roman;Times;serif" w:hAnsi="Times New Roman;Times;serif"/>
          <w:sz w:val="22"/>
          <w:u w:val="single"/>
        </w:rPr>
        <w:t>Section 7.1</w:t>
      </w:r>
      <w:r>
        <w:rPr>
          <w:rFonts w:ascii="Times New Roman;Times;serif" w:hAnsi="Times New Roman;Times;serif"/>
          <w:sz w:val="22"/>
        </w:rPr>
        <w:t>.</w:t>
      </w:r>
    </w:p>
    <w:p>
      <w:pPr>
        <w:pStyle w:val="TextBody"/>
        <w:bidi w:val="0"/>
        <w:spacing w:before="0" w:after="240"/>
        <w:ind w:left="0" w:right="0" w:firstLine="720"/>
        <w:jc w:val="left"/>
        <w:rPr/>
      </w:pPr>
      <w:r>
        <w:rPr/>
        <w:t>“</w:t>
      </w:r>
      <w:r>
        <w:rPr>
          <w:rFonts w:ascii="Times New Roman;Times;serif" w:hAnsi="Times New Roman;Times;serif"/>
          <w:b/>
          <w:sz w:val="22"/>
        </w:rPr>
        <w:t>Officer</w:t>
      </w:r>
      <w:r>
        <w:rPr>
          <w:rFonts w:ascii="Times New Roman;Times;serif" w:hAnsi="Times New Roman;Times;serif"/>
          <w:sz w:val="22"/>
        </w:rPr>
        <w:t>’</w:t>
      </w:r>
      <w:r>
        <w:rPr>
          <w:rFonts w:ascii="Times New Roman;Times;serif" w:hAnsi="Times New Roman;Times;serif"/>
          <w:b/>
          <w:sz w:val="22"/>
        </w:rPr>
        <w:t>s Certificate</w:t>
      </w:r>
      <w:r>
        <w:rPr>
          <w:rFonts w:ascii="Times New Roman;Times;serif" w:hAnsi="Times New Roman;Times;serif"/>
          <w:sz w:val="22"/>
        </w:rPr>
        <w:t>” means a certificate signed by the chief executive officer and the chief financial officer of the Company, in their respective official capacities.</w:t>
      </w:r>
    </w:p>
    <w:p>
      <w:pPr>
        <w:pStyle w:val="TextBody"/>
        <w:bidi w:val="0"/>
        <w:spacing w:before="0" w:after="240"/>
        <w:ind w:left="0" w:right="0" w:firstLine="720"/>
        <w:jc w:val="left"/>
        <w:rPr/>
      </w:pPr>
      <w:r>
        <w:rPr/>
        <w:t>“</w:t>
      </w:r>
      <w:r>
        <w:rPr>
          <w:rFonts w:ascii="Times New Roman;Times;serif" w:hAnsi="Times New Roman;Times;serif"/>
          <w:b/>
          <w:sz w:val="22"/>
        </w:rPr>
        <w:t>Party</w:t>
      </w:r>
      <w:r>
        <w:rPr>
          <w:rFonts w:ascii="Times New Roman;Times;serif" w:hAnsi="Times New Roman;Times;serif"/>
          <w:sz w:val="22"/>
        </w:rPr>
        <w:t>” means the Company or the Rights Agent.</w:t>
      </w:r>
    </w:p>
    <w:p>
      <w:pPr>
        <w:pStyle w:val="TextBody"/>
        <w:bidi w:val="0"/>
        <w:spacing w:before="0" w:after="240"/>
        <w:ind w:left="0" w:right="0" w:firstLine="720"/>
        <w:jc w:val="left"/>
        <w:rPr/>
      </w:pPr>
      <w:r>
        <w:rPr/>
        <w:t>“</w:t>
      </w:r>
      <w:r>
        <w:rPr>
          <w:rFonts w:ascii="Times New Roman;Times;serif" w:hAnsi="Times New Roman;Times;serif"/>
          <w:b/>
          <w:sz w:val="22"/>
        </w:rPr>
        <w:t>Permitted Deductions</w:t>
      </w:r>
      <w:r>
        <w:rPr>
          <w:rFonts w:ascii="Times New Roman;Times;serif" w:hAnsi="Times New Roman;Times;serif"/>
          <w:sz w:val="22"/>
        </w:rPr>
        <w:t>” means the sum of, without duplication,</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(a)any applicable Taxes imposed on Gross Proceeds and payable by the Company or any of its Affiliates (regardless of whether the due date for such Taxes arises during or after the CVR Term) and, without duplication, any income or other similar Taxes payable by the Company or any of its Affiliates that would not have been incurred by the Company or any of its Affiliates but for the Gross Proceeds; provided that, for purposes of calculating income Taxes incurred by the Company or its Affiliates in respect of the Gross Proceeds, any such income Taxes shall be computed based on the gain recognized by the Company or its Affiliates from the applicable Disposition after reduction for any net operating loss carryforwards or other Tax attributes of the Company or its Affiliates that are available to offset such gain after taking into account any limits of the usability of such attributes, including under Section 382 of the Code as determined by the Company’s tax advisers;</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(b)any reasonable out of pocket costs, fees and expenses incurred by the Company or any of its Affiliates in respect of its performance of this Agreement following the Distribution Date or in respect of its performance of any contract in connection with any Legacy BioSim Assets, including any costs related to the prosecution, maintenance or enforcement by the Company or any of its Subsidiaries of intellectual property rights (but excluding any costs related to a breach of this Agreement, including costs incurred in litigation in respect of the same) or storage costs of any cell line included in the Legacy BioSim Assets;</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(c)any out of pocket costs, fees and expenses incurred or accrued by the Company or any of its Affiliates in connection with (i) Disposition business development related efforts with respect to any Legacy BioSim Assets, (ii) maintenance costs related to the CVRs or the Legacy BioSim Assets (including fees and expenses related to the Rights Agent), (iii) the Company’s use of commercially reasonable efforts to negotiate or enter into any Disposition Agreement or consummate a Disposition of any Legacy BioSim Asset, (iv) any general administrative, legal, overhead, employee or other costs directly related to a Disposition, the CVRs or the Legacy BioSim Assets (including any costs related to the prosecution, maintenance or enforcement by the Company or any of its Subsidiaries of intellectual property rights relating to the Legacy BioSim Assets); and (v) any Rights Agent’s fee, or in respect of any of the foregoing clauses (i)-(iii) any brokerage fee, finder’s fee, opinion fee, success fee, engagement fee, transaction fee, service fee or other fee, commission or expense owed to any broker, finder, investment bank, auditor, accountant, counsel, advisor or other third party in relation thereto, but excluding (A) any costs or expenses previously deducted from Gross Proceeds, and (B) any costs solely resulting from a breach of this Agreement by the Company, including costs incurred in litigation in respect of the same;</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(d)any Losses incurred by the Company or any of its Affiliates arising out of any third-party claims, demands, actions, or other proceedings relating to or in connection with any Disposition, including indemnification obligations of the Company or any of its Affiliates set forth in any Disposition Agreement;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 xml:space="preserve">(e)any Losses borne by the Company or any of its Affiliates pursuant to contracts related to any Legacy BioSim Assets, including costs arising from the termination thereof; </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(f)any Holdback Amount (to the extent not previously deducted from Gross Proceeds); and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2"/>
        </w:rPr>
        <w:t xml:space="preserve">(g)any fees required to be paid pursuant to </w:t>
      </w:r>
      <w:r>
        <w:rPr>
          <w:rFonts w:ascii="Times New Roman;Times;serif" w:hAnsi="Times New Roman;Times;serif"/>
          <w:sz w:val="22"/>
          <w:u w:val="single"/>
        </w:rPr>
        <w:t>Section 3.2(h)</w:t>
      </w:r>
      <w:r>
        <w:rPr>
          <w:rFonts w:ascii="Times New Roman;Times;serif" w:hAnsi="Times New Roman;Times;serif"/>
          <w:sz w:val="22"/>
        </w:rPr>
        <w:t>.</w:t>
      </w:r>
    </w:p>
    <w:p>
      <w:pPr>
        <w:pStyle w:val="TextBody"/>
        <w:bidi w:val="0"/>
        <w:spacing w:before="0" w:after="240"/>
        <w:ind w:left="0" w:right="0" w:firstLine="720"/>
        <w:jc w:val="left"/>
        <w:rPr/>
      </w:pPr>
      <w:r>
        <w:rPr/>
        <w:t>“</w:t>
      </w:r>
      <w:r>
        <w:rPr>
          <w:rFonts w:ascii="Times New Roman;Times;serif" w:hAnsi="Times New Roman;Times;serif"/>
          <w:b/>
          <w:sz w:val="22"/>
        </w:rPr>
        <w:t>Permitted Transfer</w:t>
      </w:r>
      <w:r>
        <w:rPr>
          <w:rFonts w:ascii="Times New Roman;Times;serif" w:hAnsi="Times New Roman;Times;serif"/>
          <w:sz w:val="22"/>
        </w:rPr>
        <w:t xml:space="preserve">” means a transfer of CVRs (a) upon death of a Holder by will or intestacy; (b) pursuant to a court order; (c) by operation of law (including by consolidation or merger) or without consideration in connection with the dissolution, liquidation or termination of any corporation, limited liability company, partnership or other entity; (d) in the case of CVRs held in book-entry or other similar nominee form, from a nominee to a beneficial owner and, if applicable, through an intermediary, to the extent allowable by DTC; or (e) as provided in </w:t>
      </w:r>
      <w:r>
        <w:rPr>
          <w:rFonts w:ascii="Times New Roman;Times;serif" w:hAnsi="Times New Roman;Times;serif"/>
          <w:sz w:val="22"/>
          <w:u w:val="single"/>
        </w:rPr>
        <w:t>Section 2.6</w:t>
      </w:r>
      <w:r>
        <w:rPr>
          <w:rFonts w:ascii="Times New Roman;Times;serif" w:hAnsi="Times New Roman;Times;serif"/>
          <w:sz w:val="22"/>
        </w:rPr>
        <w:t>.</w:t>
      </w:r>
    </w:p>
    <w:p>
      <w:pPr>
        <w:pStyle w:val="TextBody"/>
        <w:bidi w:val="0"/>
        <w:spacing w:before="0" w:after="240"/>
        <w:ind w:left="0" w:right="0" w:firstLine="720"/>
        <w:jc w:val="left"/>
        <w:rPr/>
      </w:pPr>
      <w:r>
        <w:rPr/>
        <w:t>“</w:t>
      </w:r>
      <w:r>
        <w:rPr>
          <w:rFonts w:ascii="Times New Roman;Times;serif" w:hAnsi="Times New Roman;Times;serif"/>
          <w:b/>
          <w:sz w:val="22"/>
        </w:rPr>
        <w:t>Person</w:t>
      </w:r>
      <w:r>
        <w:rPr>
          <w:rFonts w:ascii="Times New Roman;Times;serif" w:hAnsi="Times New Roman;Times;serif"/>
          <w:sz w:val="22"/>
        </w:rPr>
        <w:t>” means any natural person, company, corporation, limited liability company, partnership, general partnership, limited partnership, trust, proprietorship, joint venture, business organization, unincorporated organization, joint-stock company, association, Governmental Entity or other entity</w:t>
      </w:r>
    </w:p>
    <w:p>
      <w:pPr>
        <w:pStyle w:val="TextBody"/>
        <w:bidi w:val="0"/>
        <w:spacing w:before="0" w:after="240"/>
        <w:ind w:left="0" w:right="0" w:firstLine="720"/>
        <w:jc w:val="left"/>
        <w:rPr/>
      </w:pPr>
      <w:r>
        <w:rPr/>
        <w:t>“</w:t>
      </w:r>
      <w:r>
        <w:rPr>
          <w:rFonts w:ascii="Times New Roman;Times;serif" w:hAnsi="Times New Roman;Times;serif"/>
          <w:b/>
          <w:sz w:val="22"/>
        </w:rPr>
        <w:t>Record Date</w:t>
      </w:r>
      <w:r>
        <w:rPr>
          <w:rFonts w:ascii="Times New Roman;Times;serif" w:hAnsi="Times New Roman;Times;serif"/>
          <w:sz w:val="22"/>
        </w:rPr>
        <w:t>” means September 30, 2026.</w:t>
      </w:r>
    </w:p>
    <w:p>
      <w:pPr>
        <w:pStyle w:val="TextBody"/>
        <w:bidi w:val="0"/>
        <w:spacing w:before="0" w:after="240"/>
        <w:ind w:left="0" w:right="0" w:firstLine="720"/>
        <w:jc w:val="left"/>
        <w:rPr/>
      </w:pPr>
      <w:r>
        <w:rPr/>
        <w:t>“</w:t>
      </w:r>
      <w:r>
        <w:rPr>
          <w:rFonts w:ascii="Times New Roman;Times;serif" w:hAnsi="Times New Roman;Times;serif"/>
          <w:b/>
          <w:sz w:val="22"/>
        </w:rPr>
        <w:t>Record Time</w:t>
      </w:r>
      <w:r>
        <w:rPr>
          <w:rFonts w:ascii="Times New Roman;Times;serif" w:hAnsi="Times New Roman;Times;serif"/>
          <w:sz w:val="22"/>
        </w:rPr>
        <w:t xml:space="preserve">” has the meaning set forth in </w:t>
      </w:r>
      <w:r>
        <w:rPr>
          <w:rFonts w:ascii="Times New Roman;Times;serif" w:hAnsi="Times New Roman;Times;serif"/>
          <w:sz w:val="22"/>
          <w:u w:val="single"/>
        </w:rPr>
        <w:t>Section 2.1(a)</w:t>
      </w:r>
      <w:r>
        <w:rPr>
          <w:rFonts w:ascii="Times New Roman;Times;serif" w:hAnsi="Times New Roman;Times;serif"/>
          <w:sz w:val="22"/>
        </w:rPr>
        <w:t>.</w:t>
      </w:r>
    </w:p>
    <w:p>
      <w:pPr>
        <w:pStyle w:val="TextBody"/>
        <w:bidi w:val="0"/>
        <w:spacing w:before="0" w:after="240"/>
        <w:ind w:left="0" w:right="0" w:firstLine="720"/>
        <w:jc w:val="left"/>
        <w:rPr/>
      </w:pPr>
      <w:r>
        <w:rPr/>
        <w:t>“</w:t>
      </w:r>
      <w:r>
        <w:rPr>
          <w:rFonts w:ascii="Times New Roman;Times;serif" w:hAnsi="Times New Roman;Times;serif"/>
          <w:b/>
          <w:sz w:val="22"/>
        </w:rPr>
        <w:t>Rights Agent</w:t>
      </w:r>
      <w:r>
        <w:rPr>
          <w:rFonts w:ascii="Times New Roman;Times;serif" w:hAnsi="Times New Roman;Times;serif"/>
          <w:sz w:val="22"/>
        </w:rPr>
        <w:t>” means the Rights Agent named in the first paragraph of this Agreement, until a successor Rights Agent will have become the Rights Agent pursuant to the applicable provisions of this Agreement, and thereafter “Rights Agent” will mean such successor Rights Agent.</w:t>
      </w:r>
    </w:p>
    <w:p>
      <w:pPr>
        <w:pStyle w:val="TextBody"/>
        <w:bidi w:val="0"/>
        <w:spacing w:before="0" w:after="240"/>
        <w:ind w:left="0" w:right="0" w:firstLine="720"/>
        <w:jc w:val="left"/>
        <w:rPr/>
      </w:pPr>
      <w:r>
        <w:rPr/>
        <w:t>“</w:t>
      </w:r>
      <w:r>
        <w:rPr>
          <w:rFonts w:ascii="Times New Roman;Times;serif" w:hAnsi="Times New Roman;Times;serif"/>
          <w:b/>
          <w:sz w:val="22"/>
        </w:rPr>
        <w:t>Securities Proceeds</w:t>
      </w:r>
      <w:r>
        <w:rPr>
          <w:rFonts w:ascii="Times New Roman;Times;serif" w:hAnsi="Times New Roman;Times;serif"/>
          <w:sz w:val="22"/>
        </w:rPr>
        <w:t>” means the cash proceeds actually received by the Company or any of its Affiliates during the CVR Term from the sale of any Marketable Securities.</w:t>
      </w:r>
    </w:p>
    <w:p>
      <w:pPr>
        <w:pStyle w:val="TextBody"/>
        <w:bidi w:val="0"/>
        <w:spacing w:before="0" w:after="240"/>
        <w:ind w:left="0" w:right="0" w:firstLine="720"/>
        <w:jc w:val="left"/>
        <w:rPr/>
      </w:pPr>
      <w:r>
        <w:rPr/>
        <w:t>“</w:t>
      </w:r>
      <w:r>
        <w:rPr>
          <w:rFonts w:ascii="Times New Roman;Times;serif" w:hAnsi="Times New Roman;Times;serif"/>
          <w:b/>
          <w:sz w:val="22"/>
        </w:rPr>
        <w:t>Subsidiary</w:t>
      </w:r>
      <w:r>
        <w:rPr>
          <w:rFonts w:ascii="Times New Roman;Times;serif" w:hAnsi="Times New Roman;Times;serif"/>
          <w:sz w:val="22"/>
        </w:rPr>
        <w:t>” means any corporation, association, business entity, partnership, limited liability company or other Person of which another Person, either alone or together with one or more Subsidiaries or by one or more other Subsidiaries (a) directly or indirectly owns or controls securities or other interests representing more than 50% of the voting power of such Person, or (b) is entitled, by contract or otherwise, to elect, appoint or designate directors constituting a majority of the members of such Person’s board of directors or other governing body.</w:t>
      </w:r>
    </w:p>
    <w:p>
      <w:pPr>
        <w:pStyle w:val="TextBody"/>
        <w:bidi w:val="0"/>
        <w:spacing w:before="0" w:after="240"/>
        <w:ind w:left="0" w:right="0" w:firstLine="720"/>
        <w:jc w:val="left"/>
        <w:rPr/>
      </w:pPr>
      <w:r>
        <w:rPr/>
        <w:t>“</w:t>
      </w:r>
      <w:r>
        <w:rPr>
          <w:rFonts w:ascii="Times New Roman;Times;serif" w:hAnsi="Times New Roman;Times;serif"/>
          <w:b/>
          <w:sz w:val="22"/>
        </w:rPr>
        <w:t>Tax</w:t>
      </w:r>
      <w:r>
        <w:rPr>
          <w:rFonts w:ascii="Times New Roman;Times;serif" w:hAnsi="Times New Roman;Times;serif"/>
          <w:sz w:val="22"/>
        </w:rPr>
        <w:t>” (and, with correlative meaning, “</w:t>
      </w:r>
      <w:r>
        <w:rPr>
          <w:rFonts w:ascii="Times New Roman;Times;serif" w:hAnsi="Times New Roman;Times;serif"/>
          <w:b/>
          <w:sz w:val="22"/>
        </w:rPr>
        <w:t>Taxes</w:t>
      </w:r>
      <w:r>
        <w:rPr>
          <w:rFonts w:ascii="Times New Roman;Times;serif" w:hAnsi="Times New Roman;Times;serif"/>
          <w:sz w:val="22"/>
        </w:rPr>
        <w:t>”, “</w:t>
      </w:r>
      <w:r>
        <w:rPr>
          <w:rFonts w:ascii="Times New Roman;Times;serif" w:hAnsi="Times New Roman;Times;serif"/>
          <w:b/>
          <w:sz w:val="22"/>
        </w:rPr>
        <w:t>Taxing</w:t>
      </w:r>
      <w:r>
        <w:rPr>
          <w:rFonts w:ascii="Times New Roman;Times;serif" w:hAnsi="Times New Roman;Times;serif"/>
          <w:sz w:val="22"/>
        </w:rPr>
        <w:t>” and “</w:t>
      </w:r>
      <w:r>
        <w:rPr>
          <w:rFonts w:ascii="Times New Roman;Times;serif" w:hAnsi="Times New Roman;Times;serif"/>
          <w:b/>
          <w:sz w:val="22"/>
        </w:rPr>
        <w:t>Taxable</w:t>
      </w:r>
      <w:r>
        <w:rPr>
          <w:rFonts w:ascii="Times New Roman;Times;serif" w:hAnsi="Times New Roman;Times;serif"/>
          <w:sz w:val="22"/>
        </w:rPr>
        <w:t xml:space="preserve">”) means (a) any U.S. or non-U.S. federal, state, county, local, provincial or other income, gross receipts, ad valorem, franchise, profits, sales or use, transfer, registration, excise, utility, environmental, communications, real or personal property, capital unit, license, payroll, wage or other withholding, employment, social security (or similar), severance, stamp, occupation, premium, windfall profits, tariff, customs duty, unemployment, disability, value added, healthcare, alternative or add on minimum (including under Section 59A of the Code), estimated and any other governmental charges in the nature of taxes, and (b) all fines, penalties, interest or additions to tax or additional amounts imposed by a Tax Authority in connection with any item described in the foregoing </w:t>
      </w:r>
      <w:r>
        <w:rPr>
          <w:rFonts w:ascii="Times New Roman;Times;serif" w:hAnsi="Times New Roman;Times;serif"/>
          <w:sz w:val="22"/>
          <w:u w:val="single"/>
        </w:rPr>
        <w:t>clause (a)</w:t>
      </w:r>
      <w:r>
        <w:rPr>
          <w:rFonts w:ascii="Times New Roman;Times;serif" w:hAnsi="Times New Roman;Times;serif"/>
          <w:sz w:val="22"/>
        </w:rPr>
        <w:t>.</w:t>
      </w:r>
    </w:p>
    <w:p>
      <w:pPr>
        <w:pStyle w:val="TextBody"/>
        <w:bidi w:val="0"/>
        <w:spacing w:before="0" w:after="240"/>
        <w:ind w:left="0" w:right="0" w:firstLine="720"/>
        <w:jc w:val="left"/>
        <w:rPr/>
      </w:pPr>
      <w:r>
        <w:rPr/>
        <w:t>“</w:t>
      </w:r>
      <w:r>
        <w:rPr>
          <w:rFonts w:ascii="Times New Roman;Times;serif" w:hAnsi="Times New Roman;Times;serif"/>
          <w:b/>
          <w:sz w:val="22"/>
        </w:rPr>
        <w:t>Third Party</w:t>
      </w:r>
      <w:r>
        <w:rPr>
          <w:rFonts w:ascii="Times New Roman;Times;serif" w:hAnsi="Times New Roman;Times;serif"/>
          <w:sz w:val="22"/>
        </w:rPr>
        <w:t>” means any Person that is not the Company or the Company’s Affiliates.</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caps/>
          <w:sz w:val="22"/>
        </w:rPr>
        <w:t>Article 2</w:t>
      </w:r>
      <w:r>
        <w:rPr>
          <w:rFonts w:ascii="Times New Roman;Times;serif" w:hAnsi="Times New Roman;Times;serif"/>
          <w:b/>
          <w:sz w:val="22"/>
        </w:rPr>
        <w:t>​</w:t>
        <w:br/>
        <w:t>​</w:t>
        <w:br/>
        <w:t>CONTINGENT VALUE RIGHTS</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Section 2.1Holders of CVRs; Appointment of Rights Agent.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2"/>
        </w:rPr>
        <w:t>(a)The CVRs represent the rights of Holders to receive CVR Payments pursuant to, and subject to the terms and conditions of, this Agreement. The initial Holders will be the holders of Common Stock as of 5:00 p.m. ET on the Record Date (the “</w:t>
      </w:r>
      <w:r>
        <w:rPr>
          <w:rFonts w:ascii="Times New Roman;Times;serif" w:hAnsi="Times New Roman;Times;serif"/>
          <w:b/>
          <w:sz w:val="22"/>
        </w:rPr>
        <w:t>Record Time</w:t>
      </w:r>
      <w:r>
        <w:rPr>
          <w:rFonts w:ascii="Times New Roman;Times;serif" w:hAnsi="Times New Roman;Times;serif"/>
          <w:sz w:val="24"/>
        </w:rPr>
        <w:t>”</w:t>
      </w:r>
      <w:r>
        <w:rPr>
          <w:rFonts w:ascii="Times New Roman;Times;serif" w:hAnsi="Times New Roman;Times;serif"/>
          <w:sz w:val="22"/>
        </w:rPr>
        <w:t xml:space="preserve">). One CVR will be issued with respect to each share of Common Stock that is outstanding as of the Record Time. </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(b)The Company hereby appoints the Rights Agent to act as Rights Agent for the Company in accordance with the express terms and conditions set forth in this Agreement, and the Rights Agent hereby accepts such appointment.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sz w:val="22"/>
        </w:rPr>
        <w:t>Section 2.2Non-transferable</w:t>
      </w:r>
      <w:r>
        <w:rPr>
          <w:rFonts w:ascii="Times New Roman;Times;serif" w:hAnsi="Times New Roman;Times;serif"/>
          <w:sz w:val="22"/>
        </w:rPr>
        <w:t>. The CVRs may not be sold, assigned, transferred, pledged, encumbered or in any other manner transferred or disposed of, in whole or in part, other than through a Permitted Transfer. The CVRs will not be listed on any quotation system or traded on any securities exchange.</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Section 2.3No Certificate; Registration; Registration of Transfer; Change of Address.</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(a)The CVRs will be issued in book-entry form only and will not be evidenced by a certificate or other instrument.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2"/>
        </w:rPr>
        <w:t>(b)The Rights Agent shall create and maintain a register (the “</w:t>
      </w:r>
      <w:r>
        <w:rPr>
          <w:rFonts w:ascii="Times New Roman;Times;serif" w:hAnsi="Times New Roman;Times;serif"/>
          <w:b/>
          <w:sz w:val="22"/>
        </w:rPr>
        <w:t>CVR Register</w:t>
      </w:r>
      <w:r>
        <w:rPr>
          <w:rFonts w:ascii="Times New Roman;Times;serif" w:hAnsi="Times New Roman;Times;serif"/>
          <w:sz w:val="24"/>
        </w:rPr>
        <w:t>”</w:t>
      </w:r>
      <w:r>
        <w:rPr>
          <w:rFonts w:ascii="Times New Roman;Times;serif" w:hAnsi="Times New Roman;Times;serif"/>
          <w:sz w:val="22"/>
        </w:rPr>
        <w:t xml:space="preserve">) for the purpose of registering CVRs and Permitted Transfers. The CVR Register will be created, and CVRs will be distributed, pursuant to written instructions to the Rights Agent from the Company. The CVR Register will initially show one position for Cede &amp; Co. representing shares of Common Stock held by DTC on behalf of the street holders of the shares of Common Stock held by such holders as of the Record Time. The Rights Agent will have no responsibility whatsoever directly or indirectly to the street name holders with respect to transfers of CVRs. With respect to any payments or issuances to be made under </w:t>
      </w:r>
      <w:r>
        <w:rPr>
          <w:rFonts w:ascii="Times New Roman;Times;serif" w:hAnsi="Times New Roman;Times;serif"/>
          <w:sz w:val="22"/>
          <w:u w:val="single"/>
        </w:rPr>
        <w:t>Section 2.4</w:t>
      </w:r>
      <w:r>
        <w:rPr>
          <w:rFonts w:ascii="Times New Roman;Times;serif" w:hAnsi="Times New Roman;Times;serif"/>
          <w:sz w:val="24"/>
        </w:rPr>
        <w:t xml:space="preserve"> </w:t>
      </w:r>
      <w:r>
        <w:rPr>
          <w:rFonts w:ascii="Times New Roman;Times;serif" w:hAnsi="Times New Roman;Times;serif"/>
          <w:sz w:val="22"/>
        </w:rPr>
        <w:t>below, the Rights Agent will accomplish the payment to any former street name holders of shares of Common Stock by sending one lump-sum payment or issuance to DTC. The Rights Agent will have no responsibilities whatsoever with regard to the distribution of payments by DTC to such street name holders.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2"/>
        </w:rPr>
        <w:t xml:space="preserve">(c)Subject to the restrictions on transferability set forth in </w:t>
      </w:r>
      <w:r>
        <w:rPr>
          <w:rFonts w:ascii="Times New Roman;Times;serif" w:hAnsi="Times New Roman;Times;serif"/>
          <w:sz w:val="22"/>
          <w:u w:val="single"/>
        </w:rPr>
        <w:t>Section 2.2</w:t>
      </w:r>
      <w:r>
        <w:rPr>
          <w:rFonts w:ascii="Times New Roman;Times;serif" w:hAnsi="Times New Roman;Times;serif"/>
          <w:sz w:val="22"/>
        </w:rPr>
        <w:t xml:space="preserve">, every request made to transfer a CVR must be in writing and accompanied by a written instrument of transfer in form reasonably satisfactory to the Rights Agent pursuant to its guidelines or procedures, including a guaranty of signature by an “eligible guarantor institution” that is a member or participant in the Securities Transfer Agents Medallion Program, duly executed by the Holder thereof, the Holder’s attorney duly authorized in writing, the Holder’s personal representative or the Holder’s survivor, and setting forth in reasonable detail the circumstances relating to the transfer. Upon receipt of such written notice, the Rights Agent will ask the Company to confirm whether the transfer instrument is in proper form and the transfer is a Permitted Transfer and otherwise complies on its face with the other terms and conditions of this Agreement, and if the Company so confirms, the Rights Agent will register the transfer of the applicable CVRs in the CVR Register. The Company and Rights Agent may require evidence of payment of a sum sufficient to cover any stamp, documentary, registration, or other Tax or governmental charge that is imposed in connection with any such registration of transfer (or evidence that such Taxes and charges are not applicable). All duly transferred CVRs registered in the CVR Register will be the valid obligations of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the Company and will entitle the transferee to the same benefits and rights under this Agreement as those held immediately prior to the transfer by the transferor. No transfer of a CVR will be valid until registered in the CVR Register.</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(d)A Holder may make a written request to the Rights Agent to change such Holder’s address of record in the CVR Register. The written request must be duly executed by the Holder. Upon receipt of such written notice, the Rights Agent shall, subject to its reasonable determination that the transfer instrument is in proper form, promptly record the change of address in the CVR Register.</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(e)The Company will provide written instructions to the Rights Agent for the distribution of CVRs to holders of Common Stock as of the Record Time. Subject to the terms and conditions of this Agreement, the Rights Agent shall effect the distribution of the CVRs, less any applicable Tax withholding, to each holder of Common Stock as of the Record Time by the mailing of a statement of holding reflecting such CVRs.</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Section 2.4Payment Procedures.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2"/>
        </w:rPr>
        <w:t xml:space="preserve">(a)No later than sixty (60) days following the end of each Calendar Quarter during the CVR Term beginning with the Calendar Quarter ending on December 31, 2026, commencing with the first CVR Payment Period in which the Company or its Affiliates receives Gross Proceeds, the Company shall deliver to the Rights Agent a CVR Payment Statement for such CVR Payment Period. Concurrent with the delivery of each CVR Payment Statement, on the terms and conditions of this Agreement, the Company shall pay the Rights Agent in U.S. dollars an amount equal to the CVR Payment for the applicable CVR Payment Period, </w:t>
      </w:r>
      <w:r>
        <w:rPr>
          <w:rFonts w:ascii="Times New Roman;Times;serif" w:hAnsi="Times New Roman;Times;serif"/>
          <w:i/>
          <w:sz w:val="22"/>
        </w:rPr>
        <w:t xml:space="preserve">provided </w:t>
      </w:r>
      <w:r>
        <w:rPr>
          <w:rFonts w:ascii="Times New Roman;Times;serif" w:hAnsi="Times New Roman;Times;serif"/>
          <w:sz w:val="22"/>
        </w:rPr>
        <w:t>that if the aggregate CVR Payment then owing pursuant to the terms of this Agreement in respect of a CVR Payment Period shall result in a payment of less than $0.01 per CVR (the “</w:t>
      </w:r>
      <w:r>
        <w:rPr>
          <w:rFonts w:ascii="Times New Roman;Times;serif" w:hAnsi="Times New Roman;Times;serif"/>
          <w:b/>
          <w:sz w:val="22"/>
        </w:rPr>
        <w:t>Minimum Per CVR Payment</w:t>
      </w:r>
      <w:r>
        <w:rPr>
          <w:rFonts w:ascii="Times New Roman;Times;serif" w:hAnsi="Times New Roman;Times;serif"/>
          <w:sz w:val="24"/>
        </w:rPr>
        <w:t>”</w:t>
      </w:r>
      <w:r>
        <w:rPr>
          <w:rFonts w:ascii="Times New Roman;Times;serif" w:hAnsi="Times New Roman;Times;serif"/>
          <w:sz w:val="22"/>
        </w:rPr>
        <w:t>) in respect of such CVR Payment Period, the Company shall be entitled to defer such CVR Payment; provided, however, that in the event that one or more CVR Payments are deferred pursuant to the terms of this proviso, the Company shall pay the aggregate amount of such deferred and unpaid CVR Payment(s) together with the next CVR Payment to be made hereunder that shall, when combined with all such deferred and unpaid CVR Payments, meet or exceed the Minimum Per CVR Payment (or, if no further CVR Payments are to be made hereunder, the aggregate amount of deferred and unpaid CVR Payments shall be paid in the CVR Payment Period for the last Calendar Quarter of the CVR Term).</w:t>
      </w:r>
      <w:r>
        <w:rPr>
          <w:rFonts w:ascii="Times New Roman;Times;serif" w:hAnsi="Times New Roman;Times;serif"/>
          <w:sz w:val="24"/>
        </w:rPr>
        <w:t xml:space="preserve"> </w:t>
      </w:r>
      <w:r>
        <w:rPr>
          <w:rFonts w:ascii="Times New Roman;Times;serif" w:hAnsi="Times New Roman;Times;serif"/>
          <w:sz w:val="22"/>
        </w:rPr>
        <w:t xml:space="preserve">Subject to the foregoing, such CVR Payment will be transferred by wire transfer of immediately available funds to an account designated in writing by the Rights Agent not less than twenty (20) Business Days prior to the date of the applicable payment. Upon receipt of the wire transfer referred to in the foregoing sentence, the Rights Agent shall promptly and as soon as practicable, pay to each Holder set forth in the CVR Register at such time, an amount equal to such Holder’s CVR Payment Amount. The Rights Agent shall promptly, and as soon as practicable after receipt of a CVR Payment Statement under this </w:t>
      </w:r>
      <w:r>
        <w:rPr>
          <w:rFonts w:ascii="Times New Roman;Times;serif" w:hAnsi="Times New Roman;Times;serif"/>
          <w:sz w:val="22"/>
          <w:u w:val="single"/>
        </w:rPr>
        <w:t>Section 2.4(a)</w:t>
      </w:r>
      <w:r>
        <w:rPr>
          <w:rFonts w:ascii="Times New Roman;Times;serif" w:hAnsi="Times New Roman;Times;serif"/>
          <w:sz w:val="22"/>
        </w:rPr>
        <w:t xml:space="preserve">, send each Holder a copy of such statement in accordance with </w:t>
      </w:r>
      <w:r>
        <w:rPr>
          <w:rFonts w:ascii="Times New Roman;Times;serif" w:hAnsi="Times New Roman;Times;serif"/>
          <w:sz w:val="22"/>
          <w:u w:val="single"/>
        </w:rPr>
        <w:t>Section 7.2</w:t>
      </w:r>
      <w:r>
        <w:rPr>
          <w:rFonts w:ascii="Times New Roman;Times;serif" w:hAnsi="Times New Roman;Times;serif"/>
          <w:sz w:val="22"/>
        </w:rPr>
        <w:t xml:space="preserve">. For the avoidance of doubt the Company shall have no further liability in respect of the relevant CVR Payment upon delivery of such CVR Payment in accordance with this </w:t>
      </w:r>
      <w:r>
        <w:rPr>
          <w:rFonts w:ascii="Times New Roman;Times;serif" w:hAnsi="Times New Roman;Times;serif"/>
          <w:sz w:val="22"/>
          <w:u w:val="single"/>
        </w:rPr>
        <w:t>Section 2.4(a)</w:t>
      </w:r>
      <w:r>
        <w:rPr>
          <w:rFonts w:ascii="Times New Roman;Times;serif" w:hAnsi="Times New Roman;Times;serif"/>
          <w:sz w:val="24"/>
        </w:rPr>
        <w:t xml:space="preserve"> </w:t>
      </w:r>
      <w:r>
        <w:rPr>
          <w:rFonts w:ascii="Times New Roman;Times;serif" w:hAnsi="Times New Roman;Times;serif"/>
          <w:sz w:val="22"/>
        </w:rPr>
        <w:t xml:space="preserve">and the satisfaction of each of the Company’s obligations set forth in this </w:t>
      </w:r>
      <w:r>
        <w:rPr>
          <w:rFonts w:ascii="Times New Roman;Times;serif" w:hAnsi="Times New Roman;Times;serif"/>
          <w:sz w:val="22"/>
          <w:u w:val="single"/>
        </w:rPr>
        <w:t>Section 2.4(a)</w:t>
      </w:r>
      <w:r>
        <w:rPr>
          <w:rFonts w:ascii="Times New Roman;Times;serif" w:hAnsi="Times New Roman;Times;serif"/>
          <w:sz w:val="22"/>
        </w:rPr>
        <w:t>. Notwithstanding the foregoing, no CVR Payment Statement shall be provided, and no CVR Payment shall be made, to the extent that the Company determines in its sole discretion that all or any portion of the CVR Payments are prohibited by the terms and conditions of that certain Loan and Security Agreement, dated as of August 12, 2026, by and among the Company and Innovatus Life Sciences Lending Fund I, L.P., as collateral agent, and the lenders listed on Schedule 1.1 thereto or otherwise a party thereto from time to time, as such Loan Agreement may be amended from time to time (as amended, the “</w:t>
      </w:r>
      <w:r>
        <w:rPr>
          <w:rFonts w:ascii="Times New Roman;Times;serif" w:hAnsi="Times New Roman;Times;serif"/>
          <w:b/>
          <w:sz w:val="22"/>
        </w:rPr>
        <w:t>Loan Agreement</w:t>
      </w:r>
      <w:r>
        <w:rPr>
          <w:rFonts w:ascii="Times New Roman;Times;serif" w:hAnsi="Times New Roman;Times;serif"/>
          <w:sz w:val="24"/>
        </w:rPr>
        <w:t>”</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 xml:space="preserve">(b)The Rights Agent shall solicit from each Holder an IRS Form W-9 or applicable IRS Form W-8 annually to permit any payment under this Agreement to be made without U.S. federal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backup withholding. That notwithstanding, the Company shall be entitled to deduct and withhold, and hereby authorizes the Rights Agent to deduct and withhold, any Tax that is required to be deducted or withheld under applicable law from any amounts payable pursuant to this Agreement. To the extent the amounts are so withheld by the Company or the Rights Agent, as the case may be, and paid over to the appropriate Governmental Entity, such withheld amounts shall be treated for all purposes of this Agreement as having been paid to the Person in respect of whom such deduction and withholding was made.</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(c)If any CVR Payment (or portion thereof) remains unclaimed by a Holder two (2) years after the applicable Calendar Quarter end (or immediately prior to such earlier date on which such CVR Payment would otherwise escheat to or become the property of any governmental body), such CVR Payment (or portion thereof) will, to the extent permitted by applicable law, become the property of the Company and will be transferred to the Company or a Person nominated in writing by the Company (with written notice thereof from the Company to the Rights Agent), free and clear of all claims or interest of any Person previously entitled thereto, and no consideration or compensation shall be payable therefor. Neither the Company nor the Rights Agent will be liable to any Person in respect of a CVR Payment delivered to a public official pursuant to any applicable abandoned property, escheat or similar legal requirement under applicable law. In addition to and not in limitation of any other indemnity obligation herein, the Company agrees to indemnify and hold harmless the Rights Agent with respect to any liability, penalty, cost or expense the Rights Agent may incur or be subject to in connection with transferring such property to the Company.</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Section 2.5No Voting, Dividends or Interest; No Equity or Ownership Interest.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(a)The CVRs will not have any voting or dividend rights, and interest will not accrue on any amounts payable in respect of CVRs to any Holder.</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(b)The CVRs will not represent any equity or ownership interest in the Company or any other Person. It is hereby acknowledged and agreed that a CVR shall not constitute a security of the Company or any of its Subsidiaries or Affiliates.</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(c)Nothing contained in this Agreement shall be construed as conferring upon any Holder, by virtue of the CVRs, any rights or obligations of any kind or nature whatsoever as a stockholder or member of the Company or any of its subsidiaries either at law or in equity. The rights of any Holder and the obligations of the Company and its Affiliates and their respective officers, directors and controlling Persons are contract rights limited to those expressly set forth in this Agreement, including, without limitation, Article 5 (Amendments) and Section 7.6 (Benefits of Agreement; Actions by Acting Holders).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2"/>
        </w:rPr>
        <w:t xml:space="preserve">(d)It is hereby acknowledged and agreed that the CVRs and the possibility of any payment hereunder with respect thereto are highly speculative and subject to numerous factors outside of the Company’s control, and there is no assurance that Holders will receive any payments under this Agreement or in connection with the CVRs. Each Holder acknowledges that it is highly possible that no Disposition will occur and that there will not be any Gross Proceeds that may be the subject of a CVR Payment Amount. It is also possible that even if any Disposition occurs or any Gross Proceeds are received, there will not be any Net Proceeds that may be the subject of a CVR Payment Amount given Permitted Deductions. It is further acknowledged and agreed that neither the Company nor its Affiliates owe, by virtue of their obligations under this Agreement, a fiduciary duty or any implied duties to the Holders and the parties hereto, and the Company and its Affiliates intend solely the express provisions of this Agreement to govern their contractual relationship with respect to the CVRs. It is acknowledged and agreed that this </w:t>
      </w:r>
      <w:r>
        <w:rPr>
          <w:rFonts w:ascii="Times New Roman;Times;serif" w:hAnsi="Times New Roman;Times;serif"/>
          <w:sz w:val="22"/>
          <w:u w:val="single"/>
        </w:rPr>
        <w:t>Section 2.5(d)</w:t>
      </w:r>
      <w:r>
        <w:rPr>
          <w:rFonts w:ascii="Times New Roman;Times;serif" w:hAnsi="Times New Roman;Times;serif"/>
          <w:sz w:val="24"/>
        </w:rPr>
        <w:t xml:space="preserve"> </w:t>
      </w:r>
      <w:r>
        <w:rPr>
          <w:rFonts w:ascii="Times New Roman;Times;serif" w:hAnsi="Times New Roman;Times;serif"/>
          <w:sz w:val="22"/>
        </w:rPr>
        <w:t>is an essential and material term of this Agreement.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sz w:val="22"/>
        </w:rPr>
        <w:t>Section 2.6Ability to Abandon CVR</w:t>
      </w:r>
      <w:r>
        <w:rPr>
          <w:rFonts w:ascii="Times New Roman;Times;serif" w:hAnsi="Times New Roman;Times;serif"/>
          <w:sz w:val="22"/>
        </w:rPr>
        <w:t>. A Holder may at any time, at such Holder’s option, abandon all of such Holder’s remaining rights represented by CVRs by transferring such CVRs to the Company or a Person nominated in writing by the Company (with written notice thereof from the Company to the Rights Agent) without consideration in compensation therefor, and such rights and CVRs will be cancelled, with the Rights Agent being promptly notified in writing by the Holder of such transfer and cancellation. Nothing in this Agreement is intended to prohibit the Company or its Affiliates from offering to acquire or acquiring CVRs, in private transactions or otherwise, for consideration in its sole discretion.</w:t>
      </w:r>
    </w:p>
    <w:p>
      <w:pPr>
        <w:pStyle w:val="TextBody"/>
        <w:bidi w:val="0"/>
        <w:spacing w:before="240" w:after="240"/>
        <w:ind w:left="0" w:right="0" w:hanging="0"/>
        <w:jc w:val="center"/>
        <w:rPr>
          <w:rFonts w:ascii="Times New Roman;Times;serif" w:hAnsi="Times New Roman;Times;serif"/>
          <w:b/>
          <w:sz w:val="22"/>
        </w:rPr>
      </w:pPr>
      <w:r>
        <w:rPr>
          <w:rFonts w:ascii="Times New Roman;Times;serif" w:hAnsi="Times New Roman;Times;serif"/>
          <w:b/>
          <w:caps/>
          <w:sz w:val="22"/>
        </w:rPr>
        <w:t>Article 3</w:t>
      </w:r>
      <w:r>
        <w:rPr>
          <w:rFonts w:ascii="Times New Roman;Times;serif" w:hAnsi="Times New Roman;Times;serif"/>
          <w:b/>
          <w:sz w:val="22"/>
        </w:rPr>
        <w:t>​</w:t>
        <w:br/>
        <w:t>​</w:t>
        <w:br/>
        <w:t>THE RIGHTS AGENT</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Section 3.1Certain Duties and Responsibilities.</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(a)The Rights Agent will not have any liability for any actions taken or not taken in connection with this Agreement, except to the extent such liability arises as a result of the willful misconduct, fraud, bad faith or gross negligence of the Rights Agent (in each case as determined by a final non-appealable judgment of court of competent jurisdiction). Notwithstanding anything in this Agreement to the contrary, any liability of the Rights Agent under this Agreement will be limited to the amount of annual fees paid by the Company to the Rights Agent in connection with this Agreement (but not including reimbursable expenses and other charges).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(b)The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the Company. The Rights Agent may (but shall not be required to) enforce all rights of action under this Agreement and any related claim, action, suit, audit, investigation or proceeding instituted by the Rights Agent may be brought in its name as the Rights Agent and any recovery in connection therewith will be for the proportionate benefit of all the Holders, as their respective rights or interests may appear on the CVR Register.</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Section 3.2Certain Rights of Rights Agent.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(a)The Rights Agent undertakes to perform such duties and only such duties as are specifically set forth in this Agreement, and no implied covenants or obligations will be read into this Agreement against the Rights Agent.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(b)The Rights Agent may rely and will be protected by the Company in acting or refraining from acting upon any resolution, certificate, statement, instrument, opinion, report, notice, request, direction, consent, order or other paper or document reasonably believed by it in the absence of bad faith to be genuine and to have been signed or presented by or on behalf of the Company.</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 xml:space="preserve">(c)Whenever the Rights Agent deems it desirable that a matter be proved or established prior to taking or omitting any action hereunder, the Rights Agent may rely upon an Officer’s Certificate, which certificate shall be full authorization and protection to the Rights Agent, and the Rights Agent shall, in the absence of bad faith, fraud, gross negligence or willful misconduct (each as determined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by a final non-appealable judgment of a court of competent jurisdiction) on its part, incur no liability and be held harmless by the Company for or in respect of any action taken or omitted to be taken by it under the provisions of this Agreement in reliance upon such Officer’s Certificate.</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(d)The Rights Agent may engage and consult with counsel of its selection, and the advice or opinion of such counsel will, in the absence of bad faith, fraud, gross negligence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(e)Any permissive rights of the Rights Agent hereunder will not be construed as a duty.</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(f)The Rights Agent will not be required to give any note or surety in respect of the execution of its powers or otherwise under this Agreement.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2"/>
        </w:rPr>
        <w:t>(g)The Company agrees to indemnify the Rights Agent for, and to hold the Rights Agent harmless from and against, any loss, liability, damage, judgment, fine, penalty, cost or expense (each, a “</w:t>
      </w:r>
      <w:r>
        <w:rPr>
          <w:rFonts w:ascii="Times New Roman;Times;serif" w:hAnsi="Times New Roman;Times;serif"/>
          <w:b/>
          <w:sz w:val="22"/>
        </w:rPr>
        <w:t>Loss</w:t>
      </w:r>
      <w:r>
        <w:rPr>
          <w:rFonts w:ascii="Times New Roman;Times;serif" w:hAnsi="Times New Roman;Times;serif"/>
          <w:sz w:val="24"/>
        </w:rPr>
        <w:t>”</w:t>
      </w:r>
      <w:r>
        <w:rPr>
          <w:rFonts w:ascii="Times New Roman;Times;serif" w:hAnsi="Times New Roman;Times;serif"/>
          <w:sz w:val="22"/>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fraud, gross negligence, bad faith or willful misconduct; provided that this </w:t>
      </w:r>
      <w:r>
        <w:rPr>
          <w:rFonts w:ascii="Times New Roman;Times;serif" w:hAnsi="Times New Roman;Times;serif"/>
          <w:sz w:val="22"/>
          <w:u w:val="single"/>
        </w:rPr>
        <w:t>Section 3.2(g)</w:t>
      </w:r>
      <w:r>
        <w:rPr>
          <w:rFonts w:ascii="Times New Roman;Times;serif" w:hAnsi="Times New Roman;Times;serif"/>
          <w:sz w:val="24"/>
        </w:rPr>
        <w:t xml:space="preserve"> </w:t>
      </w:r>
      <w:r>
        <w:rPr>
          <w:rFonts w:ascii="Times New Roman;Times;serif" w:hAnsi="Times New Roman;Times;serif"/>
          <w:sz w:val="22"/>
        </w:rPr>
        <w:t>shall not apply with respect to income, receipt, franchise or similar Taxes imposed with respect to payments to the Rights Agent for its services pursuant to this Agreement.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2"/>
        </w:rPr>
        <w:t xml:space="preserve">(h)The Company agrees (i) to pay the fees of the Rights Agent in connection with the Rights Agent’s performance of its obligations hereunder, as agreed upon in writing by the Rights Agent and the Company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stamp and transfer Taxes (and excluding for the avoidance of doubt, any income, receipt, franchise or similar Taxes on payments to the Rights Agent for its services pursuant to this Agreement) and governmental charges, incurred by the Rights Agent in the performance of its obligations under this Agreement, except that the Company will have no obligation to pay the fees of the Rights Agent or reimburse the Rights Agent for the fees of counsel in connection with any lawsuit initiated by the Rights Agent on behalf of itself or the Holders, except in the case of any suit enforcing the provisions of </w:t>
      </w:r>
      <w:r>
        <w:rPr>
          <w:rFonts w:ascii="Times New Roman;Times;serif" w:hAnsi="Times New Roman;Times;serif"/>
          <w:sz w:val="22"/>
          <w:u w:val="single"/>
        </w:rPr>
        <w:t>Section 2.4(a)</w:t>
      </w:r>
      <w:r>
        <w:rPr>
          <w:rFonts w:ascii="Times New Roman;Times;serif" w:hAnsi="Times New Roman;Times;serif"/>
          <w:sz w:val="24"/>
        </w:rPr>
        <w:t xml:space="preserve"> </w:t>
      </w:r>
      <w:r>
        <w:rPr>
          <w:rFonts w:ascii="Times New Roman;Times;serif" w:hAnsi="Times New Roman;Times;serif"/>
          <w:sz w:val="22"/>
        </w:rPr>
        <w:t xml:space="preserve">and </w:t>
      </w:r>
      <w:r>
        <w:rPr>
          <w:rFonts w:ascii="Times New Roman;Times;serif" w:hAnsi="Times New Roman;Times;serif"/>
          <w:sz w:val="22"/>
          <w:u w:val="single"/>
        </w:rPr>
        <w:t>Section 3.2(g)</w:t>
      </w:r>
      <w:r>
        <w:rPr>
          <w:rFonts w:ascii="Times New Roman;Times;serif" w:hAnsi="Times New Roman;Times;serif"/>
          <w:sz w:val="22"/>
        </w:rPr>
        <w:t>, if the Company is found by a court of competent jurisdiction to be liable to the Rights Agent or the Holders, as applicable in such suit.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(i)No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 xml:space="preserve">(j)The Rights Agent shall not be subject to, nor be required to comply with, or determine if any Person has complied with, any agreement between or among any of the Company or the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Holders, even though reference thereto may be made in this Agreement, or to comply with any notice, instruction, direction, request or other communication, paper or document other than as expressly set forth in this Agreement.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(k)In the event the Rights Agent reasonably believes any ambiguity or uncertainty exists hereunder or in any notice, instruction, direction, request or other communication, paper or document received by the Rights Agent hereunder, the Rights Agent shall, as soon as practicable, provide notice to the Company, and the Rights Agent may, in its sole discretion, refrain from taking any action, and shall be fully protected and shall not be liable in any way to the Company or any Holder or any other Person for refraining from taking such action, unless the Rights Agent receives written instructions from the Company or such Holder or other Person which eliminate such ambiguity or uncertainty to the reasonable satisfaction of the Rights Agent;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(l)The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the Company resulting from any such act, default, neglect or misconduct, absent gross negligence, bad faith or willful misconduct (each as determined by a final non-appealable judgment of a court of competent jurisdiction) in the selection and continued employment thereof.</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(m)The Rights Agent shall not be liable for or by reason of any of the statements of fact or recitals contained in this Agreement (except its countersignature thereof) or be required to verify the same, and all such statements and recitals are and shall be deemed to have been made by the Company only.</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(n)The Rights Agent shall act hereunder solely as agent for the Company and shall not assume any obligations or relationship of agency or trust with any of the owners or Holders of the CVRs. The Rights Agent shall not have any duty or responsibility in the case of the receipt of any written demand from any Holders with respect to any action or default by the Company, including, without limiting the generality of the foregoing, any duty or responsibility to initiate or attempt to initiate any proceedings at law or otherwise or to make any demand upon the Company.</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(o)The Rights Agent may rely on and be fully authorized and protected in acting or failing to act upon (i) any guaranty of signature by an “eligible guarantor institution” that is a member or participant in the Securities Transfer Agents Medallion Program or other comparable “signature guarantee program” or insurance program in addition to, or in substitution for, the foregoing; or (ii) any law, act, regulation or any interpretation of the same even though such law, act, or regulation may thereafter have been altered, changed, amended or repealed.</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(p)The Rights Agent shall not be liable or responsible for any failure of the Company to comply with any of its obligations under this Agreement or under applicable regulation or law.</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2"/>
        </w:rPr>
        <w:t xml:space="preserve">(q)The obligations of the Company and the rights of the Rights Agent under this </w:t>
      </w:r>
      <w:r>
        <w:rPr>
          <w:rFonts w:ascii="Times New Roman;Times;serif" w:hAnsi="Times New Roman;Times;serif"/>
          <w:sz w:val="22"/>
          <w:u w:val="single"/>
        </w:rPr>
        <w:t>Section 3.2</w:t>
      </w:r>
      <w:r>
        <w:rPr>
          <w:rFonts w:ascii="Times New Roman;Times;serif" w:hAnsi="Times New Roman;Times;serif"/>
          <w:sz w:val="22"/>
        </w:rPr>
        <w:t xml:space="preserve">, </w:t>
      </w:r>
      <w:r>
        <w:rPr>
          <w:rFonts w:ascii="Times New Roman;Times;serif" w:hAnsi="Times New Roman;Times;serif"/>
          <w:sz w:val="22"/>
          <w:u w:val="single"/>
        </w:rPr>
        <w:t>Section 3.1</w:t>
      </w:r>
      <w:r>
        <w:rPr>
          <w:rFonts w:ascii="Times New Roman;Times;serif" w:hAnsi="Times New Roman;Times;serif"/>
          <w:sz w:val="24"/>
        </w:rPr>
        <w:t xml:space="preserve"> </w:t>
      </w:r>
      <w:r>
        <w:rPr>
          <w:rFonts w:ascii="Times New Roman;Times;serif" w:hAnsi="Times New Roman;Times;serif"/>
          <w:sz w:val="22"/>
        </w:rPr>
        <w:t xml:space="preserve">and </w:t>
      </w:r>
      <w:r>
        <w:rPr>
          <w:rFonts w:ascii="Times New Roman;Times;serif" w:hAnsi="Times New Roman;Times;serif"/>
          <w:sz w:val="22"/>
          <w:u w:val="single"/>
        </w:rPr>
        <w:t>Section 2.4</w:t>
      </w:r>
      <w:r>
        <w:rPr>
          <w:rFonts w:ascii="Times New Roman;Times;serif" w:hAnsi="Times New Roman;Times;serif"/>
          <w:sz w:val="24"/>
        </w:rPr>
        <w:t xml:space="preserve"> </w:t>
      </w:r>
      <w:r>
        <w:rPr>
          <w:rFonts w:ascii="Times New Roman;Times;serif" w:hAnsi="Times New Roman;Times;serif"/>
          <w:sz w:val="22"/>
        </w:rPr>
        <w:t>shall survive the expiration of the CVRs and the termination of this Agreement (as provided in Section 7.12) and the resignation, replacement or removal of the Rights Agent.</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Section 3.3Resignation and Removal; Appointment of Successor.</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(a)The Rights Agent may resign at any time by written notice to the Company. Any such resignation notice shall specify the date on which such resignation will take effect (which shall be at least thirty (30) days following the date that such resignation notice is delivered), and such resignation will be effective on the earlier of (x) the date so specified and (y) the appointment of a successor Rights Agent.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(b)The Company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2"/>
        </w:rPr>
        <w:t xml:space="preserve">(c)If the Rights Agent resigns, is removed or becomes incapable of acting, the Company will promptly appoint a qualified successor Rights Agent. Notwithstanding the foregoing, if the Company fails to make such 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Times;serif" w:hAnsi="Times New Roman;Times;serif"/>
          <w:sz w:val="22"/>
          <w:u w:val="single"/>
        </w:rPr>
        <w:t>Section 3.3(c)</w:t>
      </w:r>
      <w:r>
        <w:rPr>
          <w:rFonts w:ascii="Times New Roman;Times;serif" w:hAnsi="Times New Roman;Times;serif"/>
          <w:sz w:val="24"/>
        </w:rPr>
        <w:t xml:space="preserve"> </w:t>
      </w:r>
      <w:r>
        <w:rPr>
          <w:rFonts w:ascii="Times New Roman;Times;serif" w:hAnsi="Times New Roman;Times;serif"/>
          <w:sz w:val="22"/>
        </w:rPr>
        <w:t xml:space="preserve">and </w:t>
      </w:r>
      <w:r>
        <w:rPr>
          <w:rFonts w:ascii="Times New Roman;Times;serif" w:hAnsi="Times New Roman;Times;serif"/>
          <w:sz w:val="22"/>
          <w:u w:val="single"/>
        </w:rPr>
        <w:t>Section 3.4</w:t>
      </w:r>
      <w:r>
        <w:rPr>
          <w:rFonts w:ascii="Times New Roman;Times;serif" w:hAnsi="Times New Roman;Times;serif"/>
          <w:sz w:val="22"/>
        </w:rPr>
        <w:t>, become the Rights Agent for all purposes hereunder.</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2"/>
        </w:rPr>
        <w:t xml:space="preserve">(d)The Company will give notice to the Holders of each resignation or removal of the Rights Agent and each appointment of a successor Rights Agent in accordance with </w:t>
      </w:r>
      <w:r>
        <w:rPr>
          <w:rFonts w:ascii="Times New Roman;Times;serif" w:hAnsi="Times New Roman;Times;serif"/>
          <w:sz w:val="22"/>
          <w:u w:val="single"/>
        </w:rPr>
        <w:t>Section 7.2</w:t>
      </w:r>
      <w:r>
        <w:rPr>
          <w:rFonts w:ascii="Times New Roman;Times;serif" w:hAnsi="Times New Roman;Times;serif"/>
          <w:sz w:val="22"/>
        </w:rPr>
        <w:t>. Each notice will include the name and address of the successor Rights Agent. If the Company fails to send such notice within ten (10) Business Days after acceptance of appointment by a successor Rights Agent, the successor Rights Agent will cause the notice to be mailed at the expense of the Company.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2"/>
        </w:rPr>
        <w:t xml:space="preserve">(e)Notwithstanding anything to the contrary in this </w:t>
      </w:r>
      <w:r>
        <w:rPr>
          <w:rFonts w:ascii="Times New Roman;Times;serif" w:hAnsi="Times New Roman;Times;serif"/>
          <w:sz w:val="22"/>
          <w:u w:val="single"/>
        </w:rPr>
        <w:t>Section 3.3</w:t>
      </w:r>
      <w:r>
        <w:rPr>
          <w:rFonts w:ascii="Times New Roman;Times;serif" w:hAnsi="Times New Roman;Times;serif"/>
          <w:sz w:val="22"/>
        </w:rPr>
        <w:t>, the Company will use commercially reasonable efforts to appoint as a successor Rights Agent a stock transfer agent of national reputation or the corporate trust department of a commercial bank.</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(f)The Rights Agent will reasonably cooperate with the Company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sz w:val="22"/>
        </w:rPr>
        <w:t>Section 3.4Acceptance of Appointment by Successor</w:t>
      </w:r>
      <w:r>
        <w:rPr>
          <w:rFonts w:ascii="Times New Roman;Times;serif" w:hAnsi="Times New Roman;Times;serif"/>
          <w:sz w:val="22"/>
        </w:rPr>
        <w:t xml:space="preserve">. Every successor Rights Agent appointed hereunder will, at or prior to such appointment, execute, acknowledge and deliver to the Company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Times;serif" w:hAnsi="Times New Roman;Times;serif"/>
          <w:i/>
          <w:sz w:val="22"/>
        </w:rPr>
        <w:t xml:space="preserve">provided </w:t>
      </w:r>
      <w:r>
        <w:rPr>
          <w:rFonts w:ascii="Times New Roman;Times;serif" w:hAnsi="Times New Roman;Times;serif"/>
          <w:sz w:val="22"/>
        </w:rPr>
        <w:t>that upon the request of the Company or the successor Rights Agent, such resigning or removed Rights Agent will execute and deliver an instrument transferring to such successor Rights Agent all the rights, powers and trusts of such resigning or removed Rights Agent.</w:t>
      </w:r>
    </w:p>
    <w:p>
      <w:pPr>
        <w:pStyle w:val="TextBody"/>
        <w:bidi w:val="0"/>
        <w:spacing w:before="240" w:after="240"/>
        <w:ind w:left="0" w:right="0" w:hanging="0"/>
        <w:jc w:val="center"/>
        <w:rPr>
          <w:rFonts w:ascii="Times New Roman;Times;serif" w:hAnsi="Times New Roman;Times;serif"/>
          <w:b/>
          <w:sz w:val="22"/>
        </w:rPr>
      </w:pPr>
      <w:r>
        <w:rPr>
          <w:rFonts w:ascii="Times New Roman;Times;serif" w:hAnsi="Times New Roman;Times;serif"/>
          <w:b/>
          <w:caps/>
          <w:sz w:val="22"/>
        </w:rPr>
        <w:t>Article 4</w:t>
      </w:r>
      <w:r>
        <w:rPr>
          <w:rFonts w:ascii="Times New Roman;Times;serif" w:hAnsi="Times New Roman;Times;serif"/>
          <w:b/>
          <w:sz w:val="22"/>
        </w:rPr>
        <w:t>​</w:t>
        <w:br/>
        <w:t>​</w:t>
        <w:br/>
        <w:t>COVENANTS</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sz w:val="22"/>
        </w:rPr>
        <w:t>Section 4.1List of Holders</w:t>
      </w:r>
      <w:r>
        <w:rPr>
          <w:rFonts w:ascii="Times New Roman;Times;serif" w:hAnsi="Times New Roman;Times;serif"/>
          <w:sz w:val="22"/>
        </w:rPr>
        <w:t xml:space="preserve">. The Company will furnish or cause to be furnished to the Rights Agent, in such form as the Company receives from the Company’s transfer agent (or other agent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 xml:space="preserve">performing similar services for the Company), the names and addresses of the Holders within two (2) Business Days following the Record Date. </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sz w:val="22"/>
        </w:rPr>
        <w:t>Section 4.2Limited Obligations of the Company</w:t>
      </w:r>
      <w:r>
        <w:rPr>
          <w:rFonts w:ascii="Times New Roman;Times;serif" w:hAnsi="Times New Roman;Times;serif"/>
          <w:sz w:val="22"/>
        </w:rPr>
        <w:t>. Notwithstanding anything herein to the contrary, and for the avoidance of doubt: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 xml:space="preserve">(a)during the CVR Term, the Company shall use commercially reasonable efforts to effect Dispositions of the Legacy BioSim Assets; provided that, notwithstanding the foregoing, nothing in this Agreement shall require the Company or its Affiliates or Subsidiaries to (1) take any action, or omit to take any action, that could reasonably be expected to have an adverse effect on the Company, any of its Affiliates or Subsidiaries, or any of its or its Affiliates’ or Subsidiaries’ business, operations, assets, liabilities, financial position, or results of operations; (2) incur any costs or expenses, or agree to or assume any liabilities or obligations (including indemnification obligations), that are disproportionate in light of the value of the applicable Legacy BioSim Assets or the anticipated benefits of any Disposition; (3) accept any offer or enter into any agreement for the sale of any Legacy BioSim Assets on terms that, in the Company’s sole discretion, are not commercially reasonable or are materially less favorable than those customarily accepted in similar transactions; (4) violate any applicable law or regulation or conflict with any agreement to which the Company or any of its Affiliates or Subsidiaries is a party; (5) commence, defend or otherwise pursue any litigation, arbitration, regulatory action or other legal proceeding relating to any of the Legacy BioSim Assets, any Disposition or any Disposition Agreement; (6) divert senior management or key employees from their ordinary course responsibilities; or (7) take any action, including agree to, effect or consummate any Disposition, if the Company determines in its sole discretion that such Disposition is prohibited by the terms and conditions of the Loan Agreement; </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 xml:space="preserve">(b)the Company shall have sole discretion regarding, and not be liable for, (1) the manner, timing, and strategy of marketing and selling and/or licensing the Legacy BioSim Assets or Marketable Securities (including, without limitation, any decision not to sell or license all or any portion of the Legacy BioSim Assets or Marketable Securities), (2) the terms and conditions of any sale or license of the Legacy BioSim Assets or any sale of Marketable Securities, and (3) any determination regarding the terms and conditions of the Loan Agreement, including any prohibition or other limitation thereunder on any Dispositions, sale of Marketable Securities or CVR Payments; and </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 xml:space="preserve">(c)none of the Company or any of its Affiliates or Subsidiaries (or any directors, officer, employee, or other representative of the foregoing) owes any fiduciary duty or similar duty to any Holder (in his, her or its capacity as such) in respect of the Legacy BioSim Assets (including the marketing and sale thereof) or the CVRs, it being understood and agreed that, for the avoidance of doubt, nothing in this clause (c) shall be deemed to modify, alter or otherwise affect any fiduciary duties of the Company and its fiduciaries to stockholders under applicable law. </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sz w:val="22"/>
        </w:rPr>
        <w:t>Section 4.3Books and Records</w:t>
      </w:r>
      <w:r>
        <w:rPr>
          <w:rFonts w:ascii="Times New Roman;Times;serif" w:hAnsi="Times New Roman;Times;serif"/>
          <w:sz w:val="22"/>
        </w:rPr>
        <w:t>. Until the end of the CVR Term, the Company shall, and shall cause its Affiliates to, keep true, complete and accurate records in reasonably sufficient detail to enable the Rights Agent to confirm each CVR Payment payable hereunder in accordance with the terms specified in this Agreement.</w:t>
      </w:r>
    </w:p>
    <w:p>
      <w:pPr>
        <w:pStyle w:val="TextBody"/>
        <w:bidi w:val="0"/>
        <w:spacing w:before="240" w:after="240"/>
        <w:ind w:left="0" w:right="0" w:hanging="0"/>
        <w:jc w:val="center"/>
        <w:rPr>
          <w:rFonts w:ascii="Times New Roman;Times;serif" w:hAnsi="Times New Roman;Times;serif"/>
          <w:b/>
          <w:sz w:val="22"/>
        </w:rPr>
      </w:pPr>
      <w:r>
        <w:rPr>
          <w:rFonts w:ascii="Times New Roman;Times;serif" w:hAnsi="Times New Roman;Times;serif"/>
          <w:b/>
          <w:caps/>
          <w:sz w:val="22"/>
        </w:rPr>
        <w:t>Article 5</w:t>
      </w:r>
      <w:r>
        <w:rPr>
          <w:rFonts w:ascii="Times New Roman;Times;serif" w:hAnsi="Times New Roman;Times;serif"/>
          <w:b/>
          <w:sz w:val="22"/>
        </w:rPr>
        <w:t>​</w:t>
        <w:br/>
        <w:t>​</w:t>
        <w:br/>
        <w:t>AMENDMENTS</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Section 5.1Amendments Without Consent of Holders or Rights Agent.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 xml:space="preserve">(a)The Company, at any time and from time to time, may (without the consent of any Holder or other Person, other than the Rights Agent (with such consent not to be unreasonably withheld, conditioned or delayed)) enter into one or more amendments to this Agreement for any purpose. </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2"/>
        </w:rPr>
        <w:t xml:space="preserve">(b)Promptly after the execution by the Company of any amendment pursuant to this </w:t>
      </w:r>
      <w:r>
        <w:rPr>
          <w:rFonts w:ascii="Times New Roman;Times;serif" w:hAnsi="Times New Roman;Times;serif"/>
          <w:sz w:val="22"/>
          <w:u w:val="single"/>
        </w:rPr>
        <w:t>Section 5.1</w:t>
      </w:r>
      <w:r>
        <w:rPr>
          <w:rFonts w:ascii="Times New Roman;Times;serif" w:hAnsi="Times New Roman;Times;serif"/>
          <w:sz w:val="22"/>
        </w:rPr>
        <w:t xml:space="preserve">, the Company will (or will cause the Rights Agent to) notify the Holders in general terms of the substance of such amendment in accordance with </w:t>
      </w:r>
      <w:r>
        <w:rPr>
          <w:rFonts w:ascii="Times New Roman;Times;serif" w:hAnsi="Times New Roman;Times;serif"/>
          <w:sz w:val="22"/>
          <w:u w:val="single"/>
        </w:rPr>
        <w:t>Section 7.2</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Section 5.2[Reserved].</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sz w:val="22"/>
        </w:rPr>
        <w:t>Section 5.3Effect of Amendments</w:t>
      </w:r>
      <w:r>
        <w:rPr>
          <w:rFonts w:ascii="Times New Roman;Times;serif" w:hAnsi="Times New Roman;Times;serif"/>
          <w:sz w:val="22"/>
        </w:rPr>
        <w:t>. Upon the execution of any amendment under this A</w:t>
      </w:r>
      <w:r>
        <w:rPr>
          <w:rFonts w:ascii="Times New Roman;Times;serif" w:hAnsi="Times New Roman;Times;serif"/>
          <w:sz w:val="22"/>
          <w:u w:val="single"/>
        </w:rPr>
        <w:t>rticle 5</w:t>
      </w:r>
      <w:r>
        <w:rPr>
          <w:rFonts w:ascii="Times New Roman;Times;serif" w:hAnsi="Times New Roman;Times;serif"/>
          <w:sz w:val="22"/>
        </w:rPr>
        <w:t>, this Agreement will be modified in accordance therewith, such amendment will form a part of this Agreement for all purposes and every Holder will be bound thereby. Upon the delivery of a certificate from an appropriate officer of the Company which states that the proposed supplement or amendment is in compliance with the terms of this Article 5,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w:t>
      </w:r>
    </w:p>
    <w:p>
      <w:pPr>
        <w:pStyle w:val="TextBody"/>
        <w:bidi w:val="0"/>
        <w:spacing w:before="240" w:after="240"/>
        <w:ind w:left="0" w:right="0" w:hanging="0"/>
        <w:jc w:val="center"/>
        <w:rPr>
          <w:rFonts w:ascii="Times New Roman;Times;serif" w:hAnsi="Times New Roman;Times;serif"/>
          <w:b/>
          <w:sz w:val="22"/>
        </w:rPr>
      </w:pPr>
      <w:r>
        <w:rPr>
          <w:rFonts w:ascii="Times New Roman;Times;serif" w:hAnsi="Times New Roman;Times;serif"/>
          <w:b/>
          <w:caps/>
          <w:sz w:val="22"/>
        </w:rPr>
        <w:t>Article 6</w:t>
      </w:r>
      <w:r>
        <w:rPr>
          <w:rFonts w:ascii="Times New Roman;Times;serif" w:hAnsi="Times New Roman;Times;serif"/>
          <w:b/>
          <w:sz w:val="22"/>
        </w:rPr>
        <w:t>​</w:t>
        <w:br/>
        <w:t>​</w:t>
        <w:br/>
        <w:t>CONSOLIDATION, MERGER, SALE OR CONVEYANCE</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sz w:val="22"/>
        </w:rPr>
        <w:t>Section 6.1The Company May Not Consolidate, Etc</w:t>
      </w:r>
      <w:r>
        <w:rPr>
          <w:rFonts w:ascii="Times New Roman;Times;serif" w:hAnsi="Times New Roman;Times;serif"/>
          <w:sz w:val="22"/>
        </w:rPr>
        <w:t>. During the CVR Term, the Company shall not consolidate with or merge into any other Person or convey, transfer or lease its properties and assets substantially as an entirety to any Person, unless: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2"/>
        </w:rPr>
        <w:t>(a)The Person formed by such consolidation or into which the Company is merged or the Person that acquires by conveyance or transfer, or that leases or licenses, the properties and assets of the Company substantially as an entirety (the “</w:t>
      </w:r>
      <w:r>
        <w:rPr>
          <w:rFonts w:ascii="Times New Roman;Times;serif" w:hAnsi="Times New Roman;Times;serif"/>
          <w:b/>
          <w:sz w:val="22"/>
        </w:rPr>
        <w:t>Surviving Person</w:t>
      </w:r>
      <w:r>
        <w:rPr>
          <w:rFonts w:ascii="Times New Roman;Times;serif" w:hAnsi="Times New Roman;Times;serif"/>
          <w:sz w:val="24"/>
        </w:rPr>
        <w:t>”</w:t>
      </w:r>
      <w:r>
        <w:rPr>
          <w:rFonts w:ascii="Times New Roman;Times;serif" w:hAnsi="Times New Roman;Times;serif"/>
          <w:sz w:val="22"/>
        </w:rPr>
        <w:t>) shall expressly assume payment of amounts on all CVRs (when and as due hereunder) and the performance of every duty and covenant of this Agreement on the part of the Company to be performed or observed; and</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(b)The Company has delivered to the Rights Agent an Officer’s Certificate, stating that such consolidation, merger, conveyance, transfer or lease complies with this Article 6 and that all conditions precedent herein provided for relating to such transaction have been complied with.</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sz w:val="22"/>
        </w:rPr>
        <w:t>Section 6.2Successor Substituted</w:t>
      </w:r>
      <w:r>
        <w:rPr>
          <w:rFonts w:ascii="Times New Roman;Times;serif" w:hAnsi="Times New Roman;Times;serif"/>
          <w:sz w:val="22"/>
        </w:rPr>
        <w:t xml:space="preserve">. Upon any consolidation of or merger by the Company with or into any other Person, or any conveyance, transfer or lease of the properties and assets substantially as an entirety to any Person in accordance with </w:t>
      </w:r>
      <w:r>
        <w:rPr>
          <w:rFonts w:ascii="Times New Roman;Times;serif" w:hAnsi="Times New Roman;Times;serif"/>
          <w:sz w:val="22"/>
          <w:u w:val="single"/>
        </w:rPr>
        <w:t>Section 6.1</w:t>
      </w:r>
      <w:r>
        <w:rPr>
          <w:rFonts w:ascii="Times New Roman;Times;serif" w:hAnsi="Times New Roman;Times;serif"/>
          <w:sz w:val="22"/>
        </w:rPr>
        <w:t>, the Surviving Person shall succeed to, and be substituted for, and may exercise every right and power of, and shall assume all of the obligations of the Company under this Agreement with the same effect as if the Surviving Person had been named as the Company herein.</w:t>
      </w:r>
    </w:p>
    <w:p>
      <w:pPr>
        <w:pStyle w:val="TextBody"/>
        <w:bidi w:val="0"/>
        <w:spacing w:before="240" w:after="240"/>
        <w:ind w:left="0" w:right="0" w:hanging="0"/>
        <w:jc w:val="center"/>
        <w:rPr>
          <w:rFonts w:ascii="Times New Roman;Times;serif" w:hAnsi="Times New Roman;Times;serif"/>
          <w:b/>
          <w:sz w:val="22"/>
        </w:rPr>
      </w:pPr>
      <w:r>
        <w:rPr>
          <w:rFonts w:ascii="Times New Roman;Times;serif" w:hAnsi="Times New Roman;Times;serif"/>
          <w:b/>
          <w:caps/>
          <w:sz w:val="22"/>
        </w:rPr>
        <w:t>Article 7</w:t>
      </w:r>
      <w:r>
        <w:rPr>
          <w:rFonts w:ascii="Times New Roman;Times;serif" w:hAnsi="Times New Roman;Times;serif"/>
          <w:b/>
          <w:sz w:val="22"/>
        </w:rPr>
        <w:t>​</w:t>
        <w:br/>
        <w:t>​</w:t>
        <w:br/>
        <w:t>MISCELLANEOUS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b/>
          <w:sz w:val="22"/>
        </w:rPr>
        <w:t>Section 7.1Notices to Rights Agent and to the Company</w:t>
      </w:r>
      <w:r>
        <w:rPr>
          <w:rFonts w:ascii="Times New Roman;Times;serif" w:hAnsi="Times New Roman;Times;serif"/>
          <w:sz w:val="22"/>
        </w:rPr>
        <w:t xml:space="preserve">. All notices and other communications hereunder shall be in writing and shall be deemed to have been duly delivered and received hereunder (a) one Business Day after being sent for next Business Day delivery, fees prepaid, via a reputable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international overnight courier service, (b) upon delivery in the case of delivery by hand, or (c) on the date delivered in the place of delivery if sent by email (with a written or electronic confirmation of delivery) prior to 5:00 p.m. Eastern Time, otherwise on the next succeeding Business Day, in each case to the intended recipient as set forth below:</w:t>
      </w:r>
    </w:p>
    <w:p>
      <w:pPr>
        <w:pStyle w:val="TextBody"/>
        <w:bidi w:val="0"/>
        <w:spacing w:before="0" w:after="240"/>
        <w:ind w:left="1440" w:right="0" w:hanging="0"/>
        <w:jc w:val="left"/>
        <w:rPr>
          <w:rFonts w:ascii="Times New Roman;Times;serif" w:hAnsi="Times New Roman;Times;serif"/>
          <w:sz w:val="22"/>
        </w:rPr>
      </w:pPr>
      <w:r>
        <w:rPr>
          <w:rFonts w:ascii="Times New Roman;Times;serif" w:hAnsi="Times New Roman;Times;serif"/>
          <w:sz w:val="22"/>
        </w:rPr>
        <w:t>if to the Rights Agent, to:</w:t>
      </w:r>
    </w:p>
    <w:p>
      <w:pPr>
        <w:pStyle w:val="TextBody"/>
        <w:bidi w:val="0"/>
        <w:spacing w:before="0" w:after="240"/>
        <w:ind w:left="1440" w:right="0" w:hanging="0"/>
        <w:jc w:val="left"/>
        <w:rPr>
          <w:rFonts w:ascii="Times New Roman;Times;serif" w:hAnsi="Times New Roman;Times;serif"/>
          <w:sz w:val="22"/>
        </w:rPr>
      </w:pPr>
      <w:r>
        <w:rPr>
          <w:rFonts w:ascii="Times New Roman;Times;serif" w:hAnsi="Times New Roman;Times;serif"/>
          <w:sz w:val="22"/>
        </w:rPr>
        <w:t>Equiniti Trust Company, LLC</w:t>
        <w:br/>
        <w:t>Attn: Account Management Team</w:t>
        <w:br/>
        <w:t>1110 Centre Pointe Curve, Suite 101</w:t>
        <w:br/>
        <w:t>Mendota Heights, Minnesota 55120-4101</w:t>
        <w:br/>
        <w:t xml:space="preserve">Email: </w:t>
      </w:r>
      <w:r>
        <w:rPr>
          <w:rFonts w:ascii="Times New Roman;Times;serif" w:hAnsi="Times New Roman;Times;serif"/>
          <w:color w:val="0462C1"/>
          <w:sz w:val="22"/>
        </w:rPr>
        <w:t>EQSS-AccountManagement@equiniti.com</w:t>
      </w:r>
    </w:p>
    <w:p>
      <w:pPr>
        <w:pStyle w:val="TextBody"/>
        <w:bidi w:val="0"/>
        <w:spacing w:before="0" w:after="240"/>
        <w:ind w:left="1440" w:right="0" w:hanging="0"/>
        <w:jc w:val="left"/>
        <w:rPr>
          <w:rFonts w:ascii="Times New Roman;Times;serif" w:hAnsi="Times New Roman;Times;serif"/>
          <w:sz w:val="22"/>
        </w:rPr>
      </w:pPr>
      <w:r>
        <w:rPr>
          <w:rFonts w:ascii="Times New Roman;Times;serif" w:hAnsi="Times New Roman;Times;serif"/>
          <w:sz w:val="22"/>
        </w:rPr>
        <w:t>with a copy to:</w:t>
      </w:r>
    </w:p>
    <w:p>
      <w:pPr>
        <w:pStyle w:val="TextBody"/>
        <w:bidi w:val="0"/>
        <w:spacing w:before="0" w:after="240"/>
        <w:ind w:left="1440" w:right="0" w:hanging="0"/>
        <w:jc w:val="left"/>
        <w:rPr>
          <w:rFonts w:ascii="Times New Roman;Times;serif" w:hAnsi="Times New Roman;Times;serif"/>
          <w:sz w:val="22"/>
        </w:rPr>
      </w:pPr>
      <w:r>
        <w:rPr>
          <w:rFonts w:ascii="Times New Roman;Times;serif" w:hAnsi="Times New Roman;Times;serif"/>
          <w:sz w:val="22"/>
        </w:rPr>
        <w:t>Equiniti Trust Company, LLC</w:t>
        <w:br/>
        <w:t>28 Liberty Street, 53rd Floor</w:t>
        <w:br/>
        <w:t>New York, NY 10005</w:t>
        <w:br/>
        <w:t>Attention: Legal Department</w:t>
        <w:br/>
        <w:t>Email: LegalTeamUS@equiniti.com</w:t>
      </w:r>
    </w:p>
    <w:p>
      <w:pPr>
        <w:pStyle w:val="TextBody"/>
        <w:bidi w:val="0"/>
        <w:spacing w:before="0" w:after="240"/>
        <w:ind w:left="1440" w:right="0" w:hanging="0"/>
        <w:jc w:val="left"/>
        <w:rPr>
          <w:rFonts w:ascii="Times New Roman;Times;serif" w:hAnsi="Times New Roman;Times;serif"/>
          <w:sz w:val="22"/>
        </w:rPr>
      </w:pPr>
      <w:r>
        <w:rPr>
          <w:rFonts w:ascii="Times New Roman;Times;serif" w:hAnsi="Times New Roman;Times;serif"/>
          <w:sz w:val="22"/>
        </w:rPr>
        <w:t>if to the Company, to:</w:t>
      </w:r>
    </w:p>
    <w:p>
      <w:pPr>
        <w:pStyle w:val="TextBody"/>
        <w:bidi w:val="0"/>
        <w:spacing w:before="0" w:after="240"/>
        <w:ind w:left="1440" w:right="0" w:hanging="0"/>
        <w:jc w:val="left"/>
        <w:rPr>
          <w:rFonts w:ascii="Times New Roman;Times;serif" w:hAnsi="Times New Roman;Times;serif"/>
          <w:sz w:val="22"/>
        </w:rPr>
      </w:pPr>
      <w:r>
        <w:rPr>
          <w:rFonts w:ascii="Times New Roman;Times;serif" w:hAnsi="Times New Roman;Times;serif"/>
          <w:sz w:val="22"/>
        </w:rPr>
        <w:t>Coherus Oncology, Inc.</w:t>
        <w:br/>
        <w:t>333 Twin Dolphin Drive, Suite 600</w:t>
        <w:br/>
        <w:t>Redwood City, California</w:t>
      </w:r>
      <w:r>
        <w:rPr>
          <w:rFonts w:ascii="Times New Roman;Times;serif" w:hAnsi="Times New Roman;Times;serif"/>
          <w:b/>
          <w:sz w:val="22"/>
        </w:rPr>
        <w:br/>
      </w:r>
      <w:r>
        <w:rPr>
          <w:rFonts w:ascii="Times New Roman;Times;serif" w:hAnsi="Times New Roman;Times;serif"/>
          <w:sz w:val="22"/>
        </w:rPr>
        <w:t>Email: bmcmichael@coherus.com</w:t>
      </w:r>
    </w:p>
    <w:p>
      <w:pPr>
        <w:pStyle w:val="TextBody"/>
        <w:bidi w:val="0"/>
        <w:spacing w:before="0" w:after="240"/>
        <w:ind w:left="1440" w:right="0" w:hanging="0"/>
        <w:jc w:val="left"/>
        <w:rPr>
          <w:rFonts w:ascii="Times New Roman;Times;serif" w:hAnsi="Times New Roman;Times;serif"/>
          <w:sz w:val="22"/>
        </w:rPr>
      </w:pPr>
      <w:r>
        <w:rPr>
          <w:rFonts w:ascii="Times New Roman;Times;serif" w:hAnsi="Times New Roman;Times;serif"/>
          <w:sz w:val="22"/>
        </w:rPr>
        <w:t>with a copy, which shall not constitute notice, to:</w:t>
      </w:r>
    </w:p>
    <w:p>
      <w:pPr>
        <w:pStyle w:val="TextBody"/>
        <w:bidi w:val="0"/>
        <w:spacing w:before="0" w:after="0"/>
        <w:ind w:left="1440" w:right="0" w:hanging="0"/>
        <w:jc w:val="left"/>
        <w:rPr>
          <w:rFonts w:ascii="Times New Roman;Times;serif" w:hAnsi="Times New Roman;Times;serif"/>
          <w:sz w:val="22"/>
        </w:rPr>
      </w:pPr>
      <w:r>
        <w:rPr>
          <w:rFonts w:ascii="Times New Roman;Times;serif" w:hAnsi="Times New Roman;Times;serif"/>
          <w:sz w:val="22"/>
        </w:rPr>
        <w:t xml:space="preserve">Wilmer Cutler Pickering Hale and Dorr LLP </w:t>
      </w:r>
    </w:p>
    <w:p>
      <w:pPr>
        <w:pStyle w:val="TextBody"/>
        <w:bidi w:val="0"/>
        <w:spacing w:before="0" w:after="0"/>
        <w:ind w:left="1440" w:right="0" w:hanging="0"/>
        <w:jc w:val="left"/>
        <w:rPr>
          <w:rFonts w:ascii="Times New Roman;Times;serif" w:hAnsi="Times New Roman;Times;serif"/>
          <w:sz w:val="22"/>
        </w:rPr>
      </w:pPr>
      <w:r>
        <w:rPr>
          <w:rFonts w:ascii="Times New Roman;Times;serif" w:hAnsi="Times New Roman;Times;serif"/>
          <w:sz w:val="22"/>
        </w:rPr>
        <w:t>50 California Street, Suite 3600</w:t>
      </w:r>
    </w:p>
    <w:p>
      <w:pPr>
        <w:pStyle w:val="TextBody"/>
        <w:bidi w:val="0"/>
        <w:spacing w:before="0" w:after="0"/>
        <w:ind w:left="1440" w:right="0" w:hanging="0"/>
        <w:jc w:val="left"/>
        <w:rPr>
          <w:rFonts w:ascii="Times New Roman;Times;serif" w:hAnsi="Times New Roman;Times;serif"/>
          <w:sz w:val="22"/>
        </w:rPr>
      </w:pPr>
      <w:r>
        <w:rPr>
          <w:rFonts w:ascii="Times New Roman;Times;serif" w:hAnsi="Times New Roman;Times;serif"/>
          <w:sz w:val="22"/>
        </w:rPr>
        <w:t xml:space="preserve">San Francisco, CA 94111 </w:t>
        <w:br/>
        <w:t>Email: ben.fackler@wilmerhale.com</w:t>
      </w:r>
    </w:p>
    <w:p>
      <w:pPr>
        <w:pStyle w:val="TextBody"/>
        <w:bidi w:val="0"/>
        <w:spacing w:before="0" w:after="0"/>
        <w:ind w:left="1440" w:right="0" w:hanging="0"/>
        <w:jc w:val="left"/>
        <w:rPr/>
      </w:pPr>
      <w:r>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or to such other address or email address as such Party may hereafter specify for the purpose by notice to the other Party.</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sz w:val="22"/>
        </w:rPr>
        <w:t>Section 7.2Notice to Holders</w:t>
      </w:r>
      <w:r>
        <w:rPr>
          <w:rFonts w:ascii="Times New Roman;Times;serif" w:hAnsi="Times New Roman;Times;serif"/>
          <w:sz w:val="22"/>
        </w:rPr>
        <w:t>. Where this Agreement provides for notice to Holders, such notice will be sufficiently given (unless otherwise herein expressly provided) if in writing and transmitted through the facilities of DTC in accordance with DTC’s procedures or mailed first-class postage prepaid, or sent by email,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sz w:val="22"/>
        </w:rPr>
        <w:t>Section 7.3Entire Agreement</w:t>
      </w:r>
      <w:r>
        <w:rPr>
          <w:rFonts w:ascii="Times New Roman;Times;serif" w:hAnsi="Times New Roman;Times;serif"/>
          <w:sz w:val="22"/>
        </w:rPr>
        <w: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sz w:val="22"/>
        </w:rPr>
        <w:t>Section 7.4Merger or Consolidation or Change of Name of Rights Agent</w:t>
      </w:r>
      <w:r>
        <w:rPr>
          <w:rFonts w:ascii="Times New Roman;Times;serif" w:hAnsi="Times New Roman;Times;serif"/>
          <w:sz w:val="22"/>
        </w:rPr>
        <w:t xml:space="preserve">. Any Person into which the Rights Agent or any successor Rights 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provided that such Person would be eligible for appointment as a successor Rights Agent under the provisions of </w:t>
      </w:r>
      <w:r>
        <w:rPr>
          <w:rFonts w:ascii="Times New Roman;Times;serif" w:hAnsi="Times New Roman;Times;serif"/>
          <w:sz w:val="22"/>
          <w:u w:val="single"/>
        </w:rPr>
        <w:t>Section 3.3</w:t>
      </w:r>
      <w:r>
        <w:rPr>
          <w:rFonts w:ascii="Times New Roman;Times;serif" w:hAnsi="Times New Roman;Times;serif"/>
          <w:sz w:val="22"/>
        </w:rPr>
        <w:t xml:space="preserve">. The purchase of all or substantially all of the Rights Agent’s assets employed in the performance of transfer agent activities shall be deemed a merger or consolidation for purposes of this </w:t>
      </w:r>
      <w:r>
        <w:rPr>
          <w:rFonts w:ascii="Times New Roman;Times;serif" w:hAnsi="Times New Roman;Times;serif"/>
          <w:sz w:val="22"/>
          <w:u w:val="single"/>
        </w:rPr>
        <w:t>Section 7.4</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sz w:val="22"/>
        </w:rPr>
        <w:t>Section 7.5Successors and Assigns</w:t>
      </w:r>
      <w:r>
        <w:rPr>
          <w:rFonts w:ascii="Times New Roman;Times;serif" w:hAnsi="Times New Roman;Times;serif"/>
          <w:sz w:val="22"/>
        </w:rPr>
        <w:t xml:space="preserve">. This Agreement will be binding upon, and will be enforceable by and inure solely to the benefit of, the Holders, the Company and the Rights Agent and their respective successors and assigns. Except for assignments pursuant to </w:t>
      </w:r>
      <w:r>
        <w:rPr>
          <w:rFonts w:ascii="Times New Roman;Times;serif" w:hAnsi="Times New Roman;Times;serif"/>
          <w:sz w:val="22"/>
          <w:u w:val="single"/>
        </w:rPr>
        <w:t>Section 7.4</w:t>
      </w:r>
      <w:r>
        <w:rPr>
          <w:rFonts w:ascii="Times New Roman;Times;serif" w:hAnsi="Times New Roman;Times;serif"/>
          <w:sz w:val="22"/>
        </w:rPr>
        <w:t xml:space="preserve">, the Rights Agent may not assign this Agreement without the Company’s prior written consent. Subject to </w:t>
      </w:r>
      <w:r>
        <w:rPr>
          <w:rFonts w:ascii="Times New Roman;Times;serif" w:hAnsi="Times New Roman;Times;serif"/>
          <w:sz w:val="22"/>
          <w:u w:val="single"/>
        </w:rPr>
        <w:t>Section 5.1(a)(ii)</w:t>
      </w:r>
      <w:r>
        <w:rPr>
          <w:rFonts w:ascii="Times New Roman;Times;serif" w:hAnsi="Times New Roman;Times;serif"/>
          <w:sz w:val="22"/>
        </w:rPr>
        <w:t xml:space="preserve"> and Article 6 hereof, the Company may assign, in its sole discretion and without the consent of any other party, any or all of its rights, interests and obligations hereunder to one or more of its Affiliates or to any Person with whom the Company is merged or consolidated, or any entity resulting from any merger or consolidation to which the Company shall be a party, or any Person that acquires by conveyance or transfer, or that leases or licenses, the properties and assets of the Company substantially as an entirety (each, an “</w:t>
      </w:r>
      <w:r>
        <w:rPr>
          <w:rFonts w:ascii="Times New Roman;Times;serif" w:hAnsi="Times New Roman;Times;serif"/>
          <w:b/>
          <w:sz w:val="22"/>
        </w:rPr>
        <w:t>Assignee</w:t>
      </w:r>
      <w:r>
        <w:rPr>
          <w:rFonts w:ascii="Times New Roman;Times;serif" w:hAnsi="Times New Roman;Times;serif"/>
          <w:sz w:val="22"/>
        </w:rPr>
        <w:t xml:space="preserve">”); </w:t>
      </w:r>
      <w:r>
        <w:rPr>
          <w:rFonts w:ascii="Times New Roman;Times;serif" w:hAnsi="Times New Roman;Times;serif"/>
          <w:i/>
          <w:sz w:val="22"/>
        </w:rPr>
        <w:t>provided</w:t>
      </w:r>
      <w:r>
        <w:rPr>
          <w:rFonts w:ascii="Times New Roman;Times;serif" w:hAnsi="Times New Roman;Times;serif"/>
          <w:sz w:val="22"/>
        </w:rPr>
        <w:t xml:space="preserve">, that in connection with any assignment to an Assignee, the Company shall agree to remain liable for the performance by the Company of its obligations hereunder (to the extent the Company exists following such assignment). The Company or an Assignee may not otherwise assign this Agreement without the prior consent of the Rights Agent (such consent not to be unreasonably withheld, conditioned or delayed). Any attempted assignment of this Agreement in violation of this </w:t>
      </w:r>
      <w:r>
        <w:rPr>
          <w:rFonts w:ascii="Times New Roman;Times;serif" w:hAnsi="Times New Roman;Times;serif"/>
          <w:sz w:val="22"/>
          <w:u w:val="single"/>
        </w:rPr>
        <w:t>Section 7.5</w:t>
      </w:r>
      <w:r>
        <w:rPr>
          <w:rFonts w:ascii="Times New Roman;Times;serif" w:hAnsi="Times New Roman;Times;serif"/>
          <w:sz w:val="22"/>
        </w:rPr>
        <w:t xml:space="preserve"> will be void </w:t>
      </w:r>
      <w:r>
        <w:rPr>
          <w:rFonts w:ascii="Times New Roman;Times;serif" w:hAnsi="Times New Roman;Times;serif"/>
          <w:i/>
          <w:sz w:val="22"/>
        </w:rPr>
        <w:t xml:space="preserve">ab initio </w:t>
      </w:r>
      <w:r>
        <w:rPr>
          <w:rFonts w:ascii="Times New Roman;Times;serif" w:hAnsi="Times New Roman;Times;serif"/>
          <w:sz w:val="22"/>
        </w:rPr>
        <w:t>and of no effect.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sz w:val="22"/>
        </w:rPr>
        <w:t>Section 7.6Benefits of Agreement; Action by Acting Holders</w:t>
      </w:r>
      <w:r>
        <w:rPr>
          <w:rFonts w:ascii="Times New Roman;Times;serif" w:hAnsi="Times New Roman;Times;serif"/>
          <w:sz w:val="22"/>
        </w:rPr>
        <w:t>. Nothing in this Agreement, express or implied, will give to any Person (other than the Company,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the Company, the Rights Agent, the Holders and their permitted successors and assigns. The Holders will have no rights hereunder except as are expressly set forth herein. Notwithstanding anything herein to the contrary, except for the rights of the Rights Agent set forth herein, the Acting Holders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sz w:val="22"/>
        </w:rPr>
        <w:t>Section 7.7Governing Law</w:t>
      </w:r>
      <w:r>
        <w:rPr>
          <w:rFonts w:ascii="Times New Roman;Times;serif" w:hAnsi="Times New Roman;Times;serif"/>
          <w:sz w:val="22"/>
        </w:rPr>
        <w:t>. This Agreement and the CVRs will be governed by, and construed in accordance with, the laws of the State of Delaware, regardless of the Laws that might otherwise govern under applicable principles of conflicts of laws.</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sz w:val="22"/>
        </w:rPr>
        <w:t>Section 7.8Jurisdiction</w:t>
      </w:r>
      <w:r>
        <w:rPr>
          <w:rFonts w:ascii="Times New Roman;Times;serif" w:hAnsi="Times New Roman;Times;serif"/>
          <w:sz w:val="22"/>
        </w:rPr>
        <w:t xml:space="preserve">. In any action or proceeding between any of the parties hereto arising out of or relating to this Agreement or any of the transactions contemplated hereby, each of the parties hereto: (a) irrevocably and unconditionally consents and submits to the exclusive jurisdiction and venue of the Chancery Court of the State of Delaware, County of New Castle, or, if under applicable Law exclusive jurisdiction is vested in the Federal courts, the United States District Court for the District of Delaware (and appellate courts thereof); (b) agrees that all claims in respect of such action or proceeding shall be heard and determined exclusively in accordance with clause (a) of this </w:t>
      </w:r>
      <w:r>
        <w:rPr>
          <w:rFonts w:ascii="Times New Roman;Times;serif" w:hAnsi="Times New Roman;Times;serif"/>
          <w:sz w:val="22"/>
          <w:u w:val="single"/>
        </w:rPr>
        <w:t>Section 7.8</w:t>
      </w:r>
      <w:r>
        <w:rPr>
          <w:rFonts w:ascii="Times New Roman;Times;serif" w:hAnsi="Times New Roman;Times;serif"/>
          <w:sz w:val="22"/>
        </w:rPr>
        <w:t xml:space="preserve">; (c) waives any objection to laying venue in any such action or proceeding in such courts; (d) waives any objection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 xml:space="preserve">that such courts are an inconvenient forum or do not have jurisdiction over any Party; and (e) agrees that service of process upon such Party in any such action or proceeding shall be effective if notice is given in accordance with </w:t>
      </w:r>
      <w:r>
        <w:rPr>
          <w:rFonts w:ascii="Times New Roman;Times;serif" w:hAnsi="Times New Roman;Times;serif"/>
          <w:sz w:val="22"/>
          <w:u w:val="single"/>
        </w:rPr>
        <w:t>Section 7.1</w:t>
      </w:r>
      <w:r>
        <w:rPr>
          <w:rFonts w:ascii="Times New Roman;Times;serif" w:hAnsi="Times New Roman;Times;serif"/>
          <w:sz w:val="22"/>
        </w:rPr>
        <w:t xml:space="preserve"> or </w:t>
      </w:r>
      <w:r>
        <w:rPr>
          <w:rFonts w:ascii="Times New Roman;Times;serif" w:hAnsi="Times New Roman;Times;serif"/>
          <w:sz w:val="22"/>
          <w:u w:val="single"/>
        </w:rPr>
        <w:t>Section 7.2</w:t>
      </w:r>
      <w:r>
        <w:rPr>
          <w:rFonts w:ascii="Times New Roman;Times;serif" w:hAnsi="Times New Roman;Times;serif"/>
          <w:sz w:val="22"/>
        </w:rPr>
        <w:t xml:space="preserve"> of this Agreement.</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Section 7.9WAIVER OF JURY TRIAL. EACH OF THE PARTIES HERETO HEREBY IRREVOCABLY WAIVES ANY AND ALL RIGHT TO TRIAL BY JURY IN ANY LEGAL PROCEEDING ARISING OUT OF OR RELATED TO THIS AGREEMENT OR THE TRANSACTIONS CONTEMPLATED HEREBY.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 OF THIS WAIVER, (C) EACH PARTY MAKES THIS WAIVER VOLUNTARILY, AND (D) EACH PARTY HAS BEEN INDUCED TO ENTER INTO THIS AGREEMENT BY, AMONG OTHER THINGS, THE MUTUAL WAIVERS AND CERTIFICATIONS IN THIS SECTION 7.9.</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sz w:val="22"/>
        </w:rPr>
        <w:t>Section 7.10Severability Clause</w:t>
      </w:r>
      <w:r>
        <w:rPr>
          <w:rFonts w:ascii="Times New Roman;Times;serif" w:hAnsi="Times New Roman;Times;serif"/>
          <w:sz w:val="22"/>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sz w:val="22"/>
        </w:rPr>
        <w:t>Section 7.11Counterparts; Effectiveness</w:t>
      </w:r>
      <w:r>
        <w:rPr>
          <w:rFonts w:ascii="Times New Roman;Times;serif" w:hAnsi="Times New Roman;Times;serif"/>
          <w:sz w:val="22"/>
        </w:rPr>
        <w:t>. This Agreement may be executed in several counterparts, each of which shall be deemed an original and all of which shall constitute one and the same instrument.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b/>
          <w:sz w:val="22"/>
        </w:rPr>
        <w:t>Section 7.12Termination</w:t>
      </w:r>
      <w:r>
        <w:rPr>
          <w:rFonts w:ascii="Times New Roman;Times;serif" w:hAnsi="Times New Roman;Times;serif"/>
          <w:sz w:val="22"/>
        </w:rPr>
        <w:t xml:space="preserve">. This Agreement will automatically terminate and be of no further force or effect and, except as provided in </w:t>
      </w:r>
      <w:r>
        <w:rPr>
          <w:rFonts w:ascii="Times New Roman;Times;serif" w:hAnsi="Times New Roman;Times;serif"/>
          <w:sz w:val="22"/>
          <w:u w:val="single"/>
        </w:rPr>
        <w:t>Section 3.2</w:t>
      </w:r>
      <w:r>
        <w:rPr>
          <w:rFonts w:ascii="Times New Roman;Times;serif" w:hAnsi="Times New Roman;Times;serif"/>
          <w:sz w:val="22"/>
        </w:rPr>
        <w:t xml:space="preserve">, the parties hereto will have no further liability hereunder, and the CVRs will expire without any consideration or compensation therefor, upon the expiration of the CVR Term. The termination of this Agreement will not affect or limit the right of Holders to receive the CVR Payments under </w:t>
      </w:r>
      <w:r>
        <w:rPr>
          <w:rFonts w:ascii="Times New Roman;Times;serif" w:hAnsi="Times New Roman;Times;serif"/>
          <w:sz w:val="22"/>
          <w:u w:val="single"/>
        </w:rPr>
        <w:t>Section 2.4</w:t>
      </w:r>
      <w:r>
        <w:rPr>
          <w:rFonts w:ascii="Times New Roman;Times;serif" w:hAnsi="Times New Roman;Times;serif"/>
          <w:sz w:val="22"/>
        </w:rPr>
        <w:t xml:space="preserve"> to the extent earned prior to the termination of this Agreement, and the provisions applicable thereto will survive the expiration or termination of this Agreement until such CVR Payments have been made, if applicable.</w:t>
      </w:r>
    </w:p>
    <w:p>
      <w:pPr>
        <w:pStyle w:val="TextBody"/>
        <w:bidi w:val="0"/>
        <w:spacing w:before="0" w:after="240"/>
        <w:ind w:left="0" w:right="0" w:hanging="0"/>
        <w:jc w:val="left"/>
        <w:rPr>
          <w:rFonts w:ascii="Times New Roman;Times;serif" w:hAnsi="Times New Roman;Times;serif"/>
          <w:b/>
          <w:sz w:val="22"/>
        </w:rPr>
      </w:pPr>
      <w:r>
        <w:rPr>
          <w:rFonts w:ascii="Times New Roman;Times;serif" w:hAnsi="Times New Roman;Times;serif"/>
          <w:b/>
          <w:sz w:val="22"/>
        </w:rPr>
        <w:t>Section 7.13Construction.</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(a)For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(b)As used in this Agreement, the words “include” and “including,” and variations thereof, shall not be deemed to be terms of limitation, but rather shall be deemed to be followed by the words “without limitation.”</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(c)The headings contained in this Agreement are for convenience of reference only, will not be deemed to be a part of this Agreement and will not be referred to in connection with the construction or interpretation of this Agreement.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(d)Unless stated otherwise, “Article” and “Section” followed by a number or letter mean and refer to the specified Article or Section of this Agreement. The term “Agreement” and any reference in this Agreement to this Agreement or any other agreement or document includes, and is a reference to, this Agreement or such other agreement or document as it may have been, or may from time to time be, amended, restated, replaced, supplemented or novated and includes all schedules to it.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(e)A period of time is to be computed as beginning on the day following the event that began the period and ending at 4:30 p.m. (Eastern Time) on the last day of the period, if the last day of the period is a Business Day, or at 4:30 p.m. (Eastern Time) on the next Business Day if the last day of the period is not a Business Day.</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(f)Any reference in this Agreement to a date or time shall be deemed to be such date or time in New York, New York,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the Company and no presumption or burden of proof shall arise favoring or disfavoring any Person by virtue of the authorship of any provision of this Agreement.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 xml:space="preserve">(g)References to “cash,” “dollars” or “$” are to U.S. dollars. </w:t>
      </w:r>
    </w:p>
    <w:p>
      <w:pPr>
        <w:pStyle w:val="TextBody"/>
        <w:bidi w:val="0"/>
        <w:spacing w:before="0" w:after="0"/>
        <w:ind w:left="0" w:right="0" w:hanging="0"/>
        <w:jc w:val="center"/>
        <w:rPr>
          <w:rFonts w:ascii="Times New Roman;Times;serif" w:hAnsi="Times New Roman;Times;serif"/>
          <w:i/>
          <w:sz w:val="22"/>
        </w:rPr>
      </w:pPr>
      <w:r>
        <w:rPr>
          <w:rFonts w:ascii="Times New Roman;Times;serif" w:hAnsi="Times New Roman;Times;serif"/>
          <w:i/>
          <w:sz w:val="22"/>
        </w:rPr>
        <w:t>[Remainder of page intentionally left blank]</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b/>
          <w:sz w:val="22"/>
        </w:rPr>
        <w:t>IN WITNESS WHEREOF</w:t>
      </w:r>
      <w:r>
        <w:rPr>
          <w:rFonts w:ascii="Times New Roman;Times;serif" w:hAnsi="Times New Roman;Times;serif"/>
          <w:sz w:val="22"/>
        </w:rPr>
        <w:t>, each of the parties has caused this Agreement to be executed as of the day and year first above written.</w:t>
      </w:r>
    </w:p>
    <w:p>
      <w:pPr>
        <w:pStyle w:val="TextBody"/>
        <w:bidi w:val="0"/>
        <w:spacing w:before="0" w:after="0"/>
        <w:ind w:left="5040" w:right="0" w:hanging="0"/>
        <w:jc w:val="left"/>
        <w:rPr>
          <w:rFonts w:ascii="Times New Roman;Times;serif" w:hAnsi="Times New Roman;Times;serif"/>
          <w:b/>
          <w:caps/>
          <w:sz w:val="22"/>
        </w:rPr>
      </w:pPr>
      <w:r>
        <w:rPr>
          <w:rFonts w:ascii="Times New Roman;Times;serif" w:hAnsi="Times New Roman;Times;serif"/>
          <w:b/>
          <w:caps/>
          <w:sz w:val="22"/>
        </w:rPr>
        <w:t>Coherus Oncology, Inc.</w:t>
      </w:r>
    </w:p>
    <w:p>
      <w:pPr>
        <w:pStyle w:val="TextBody"/>
        <w:bidi w:val="0"/>
        <w:spacing w:before="480" w:after="0"/>
        <w:ind w:left="5040" w:right="0" w:hanging="0"/>
        <w:jc w:val="left"/>
        <w:rPr>
          <w:rFonts w:ascii="Times New Roman;Times;serif" w:hAnsi="Times New Roman;Times;serif"/>
          <w:sz w:val="22"/>
        </w:rPr>
      </w:pPr>
      <w:r>
        <w:rPr>
          <w:rFonts w:ascii="Times New Roman;Times;serif" w:hAnsi="Times New Roman;Times;serif"/>
          <w:sz w:val="22"/>
        </w:rPr>
        <w:t xml:space="preserve">By: </w:t>
      </w:r>
      <w:r>
        <w:rPr>
          <w:rFonts w:ascii="Times New Roman;Times;serif" w:hAnsi="Times New Roman;Times;serif"/>
          <w:sz w:val="22"/>
          <w:u w:val="single"/>
        </w:rPr>
        <w:t> /s/ Dennis M. Lanfear                       </w:t>
      </w:r>
      <w:r>
        <w:rPr>
          <w:rFonts w:ascii="Times New Roman;Times;serif" w:hAnsi="Times New Roman;Times;serif"/>
          <w:sz w:val="22"/>
        </w:rPr>
        <w:br/>
        <w:t>Name: Dennis M. Lanfear</w:t>
        <w:br/>
        <w:t>Title: Chief Executive Officer</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b/>
          <w:sz w:val="22"/>
        </w:rPr>
        <w:t xml:space="preserve">IN WITNESS WHEREOF, </w:t>
      </w:r>
      <w:r>
        <w:rPr>
          <w:rFonts w:ascii="Times New Roman;Times;serif" w:hAnsi="Times New Roman;Times;serif"/>
          <w:color w:val="3F3F3F"/>
          <w:sz w:val="22"/>
        </w:rPr>
        <w:t>eac</w:t>
      </w:r>
      <w:r>
        <w:rPr>
          <w:rFonts w:ascii="Times New Roman;Times;serif" w:hAnsi="Times New Roman;Times;serif"/>
          <w:color w:val="0E0E0E"/>
          <w:sz w:val="22"/>
        </w:rPr>
        <w:t xml:space="preserve">h </w:t>
      </w:r>
      <w:r>
        <w:rPr>
          <w:rFonts w:ascii="Times New Roman;Times;serif" w:hAnsi="Times New Roman;Times;serif"/>
          <w:color w:val="3F3F3F"/>
          <w:sz w:val="22"/>
        </w:rPr>
        <w:t xml:space="preserve">of </w:t>
      </w:r>
      <w:r>
        <w:rPr>
          <w:rFonts w:ascii="Times New Roman;Times;serif" w:hAnsi="Times New Roman;Times;serif"/>
          <w:sz w:val="22"/>
        </w:rPr>
        <w:t xml:space="preserve">the parties has </w:t>
      </w:r>
      <w:r>
        <w:rPr>
          <w:rFonts w:ascii="Times New Roman;Times;serif" w:hAnsi="Times New Roman;Times;serif"/>
          <w:color w:val="3F3F3F"/>
          <w:sz w:val="22"/>
        </w:rPr>
        <w:t xml:space="preserve">caused </w:t>
      </w:r>
      <w:r>
        <w:rPr>
          <w:rFonts w:ascii="Times New Roman;Times;serif" w:hAnsi="Times New Roman;Times;serif"/>
          <w:sz w:val="22"/>
        </w:rPr>
        <w:t xml:space="preserve">this </w:t>
      </w:r>
      <w:r>
        <w:rPr>
          <w:rFonts w:ascii="Times New Roman;Times;serif" w:hAnsi="Times New Roman;Times;serif"/>
          <w:color w:val="313131"/>
          <w:sz w:val="22"/>
        </w:rPr>
        <w:t xml:space="preserve">Agreement </w:t>
      </w:r>
      <w:r>
        <w:rPr>
          <w:rFonts w:ascii="Times New Roman;Times;serif" w:hAnsi="Times New Roman;Times;serif"/>
          <w:sz w:val="22"/>
        </w:rPr>
        <w:t xml:space="preserve">to </w:t>
      </w:r>
      <w:r>
        <w:rPr>
          <w:rFonts w:ascii="Times New Roman;Times;serif" w:hAnsi="Times New Roman;Times;serif"/>
          <w:color w:val="3F3F3F"/>
          <w:sz w:val="22"/>
        </w:rPr>
        <w:t xml:space="preserve">be executed </w:t>
      </w:r>
      <w:r>
        <w:rPr>
          <w:rFonts w:ascii="Times New Roman;Times;serif" w:hAnsi="Times New Roman;Times;serif"/>
          <w:color w:val="313131"/>
          <w:sz w:val="22"/>
        </w:rPr>
        <w:t xml:space="preserve">as </w:t>
      </w:r>
      <w:r>
        <w:rPr>
          <w:rFonts w:ascii="Times New Roman;Times;serif" w:hAnsi="Times New Roman;Times;serif"/>
          <w:color w:val="3F3F3F"/>
          <w:sz w:val="22"/>
        </w:rPr>
        <w:t xml:space="preserve">of </w:t>
      </w:r>
      <w:r>
        <w:rPr>
          <w:rFonts w:ascii="Times New Roman;Times;serif" w:hAnsi="Times New Roman;Times;serif"/>
          <w:sz w:val="22"/>
        </w:rPr>
        <w:t xml:space="preserve">the </w:t>
      </w:r>
      <w:r>
        <w:rPr>
          <w:rFonts w:ascii="Times New Roman;Times;serif" w:hAnsi="Times New Roman;Times;serif"/>
          <w:color w:val="3F3F3F"/>
          <w:sz w:val="22"/>
        </w:rPr>
        <w:t>day a</w:t>
      </w:r>
      <w:r>
        <w:rPr>
          <w:rFonts w:ascii="Times New Roman;Times;serif" w:hAnsi="Times New Roman;Times;serif"/>
          <w:color w:val="0E0E0E"/>
          <w:sz w:val="22"/>
        </w:rPr>
        <w:t>n</w:t>
      </w:r>
      <w:r>
        <w:rPr>
          <w:rFonts w:ascii="Times New Roman;Times;serif" w:hAnsi="Times New Roman;Times;serif"/>
          <w:color w:val="313131"/>
          <w:sz w:val="22"/>
        </w:rPr>
        <w:t xml:space="preserve">d </w:t>
      </w:r>
      <w:r>
        <w:rPr>
          <w:rFonts w:ascii="Times New Roman;Times;serif" w:hAnsi="Times New Roman;Times;serif"/>
          <w:color w:val="3F3F3F"/>
          <w:sz w:val="22"/>
        </w:rPr>
        <w:t xml:space="preserve">year </w:t>
      </w:r>
      <w:r>
        <w:rPr>
          <w:rFonts w:ascii="Times New Roman;Times;serif" w:hAnsi="Times New Roman;Times;serif"/>
          <w:sz w:val="22"/>
        </w:rPr>
        <w:t xml:space="preserve">first above </w:t>
      </w:r>
      <w:r>
        <w:rPr>
          <w:rFonts w:ascii="Times New Roman;Times;serif" w:hAnsi="Times New Roman;Times;serif"/>
          <w:color w:val="313131"/>
          <w:sz w:val="22"/>
        </w:rPr>
        <w:t>written.</w:t>
      </w:r>
    </w:p>
    <w:p>
      <w:pPr>
        <w:pStyle w:val="TextBody"/>
        <w:bidi w:val="0"/>
        <w:spacing w:before="0" w:after="240"/>
        <w:ind w:left="5040" w:right="0" w:hanging="0"/>
        <w:jc w:val="left"/>
        <w:rPr>
          <w:rFonts w:ascii="Times New Roman;Times;serif" w:hAnsi="Times New Roman;Times;serif"/>
          <w:b/>
          <w:caps/>
          <w:sz w:val="22"/>
        </w:rPr>
      </w:pPr>
      <w:r>
        <w:rPr>
          <w:rFonts w:ascii="Times New Roman;Times;serif" w:hAnsi="Times New Roman;Times;serif"/>
          <w:b/>
          <w:caps/>
          <w:sz w:val="22"/>
        </w:rPr>
        <w:t>Equiniti Trust Company, LLC</w:t>
      </w:r>
    </w:p>
    <w:p>
      <w:pPr>
        <w:pStyle w:val="TextBody"/>
        <w:bidi w:val="0"/>
        <w:spacing w:before="480" w:after="240"/>
        <w:ind w:left="504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shd w:fill="FFFFFF" w:val="clear"/>
        </w:rPr>
        <w:t xml:space="preserve">By: </w:t>
      </w:r>
      <w:r>
        <w:rPr>
          <w:rFonts w:ascii="Times New Roman;Times;serif" w:hAnsi="Times New Roman;Times;serif"/>
          <w:b w:val="false"/>
          <w:i w:val="false"/>
          <w:caps w:val="false"/>
          <w:smallCaps w:val="false"/>
          <w:sz w:val="22"/>
          <w:u w:val="single"/>
          <w:shd w:fill="FFFFFF" w:val="clear"/>
        </w:rPr>
        <w:t>/s/ Martin Knapp</w:t>
      </w:r>
      <w:r>
        <w:rPr>
          <w:rFonts w:ascii="Times New Roman;Times;serif" w:hAnsi="Times New Roman;Times;serif"/>
          <w:b w:val="false"/>
          <w:i w:val="false"/>
          <w:caps w:val="false"/>
          <w:smallCaps w:val="false"/>
          <w:sz w:val="22"/>
          <w:shd w:fill="FFFFFF" w:val="clear"/>
        </w:rPr>
        <w:t>Name: Martin Knapp</w:t>
      </w:r>
      <w:r>
        <w:rPr>
          <w:rFonts w:ascii="Times New Roman;Times;serif" w:hAnsi="Times New Roman;Times;serif"/>
          <w:b w:val="false"/>
          <w:i w:val="false"/>
          <w:caps w:val="false"/>
          <w:smallCaps w:val="false"/>
          <w:sz w:val="22"/>
          <w:shd w:fill="FFFFFF" w:val="clear"/>
        </w:rPr>
        <w:t>Title: Senior Vice President</w:t>
      </w:r>
      <w:r>
        <mc:AlternateContent>
          <mc:Choice Requires="wps">
            <w:drawing>
              <wp:anchor behindDoc="0" distT="0" distB="0" distL="0" distR="0" simplePos="0" locked="0" layoutInCell="1" allowOverlap="1" relativeHeight="15">
                <wp:simplePos x="0" y="0"/>
                <wp:positionH relativeFrom="page">
                  <wp:posOffset>0</wp:posOffset>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r>
        <mc:AlternateContent>
          <mc:Choice Requires="wps">
            <w:drawing>
              <wp:anchor behindDoc="0" distT="0" distB="0" distL="0" distR="0" simplePos="0" locked="0" layoutInCell="1" allowOverlap="1" relativeHeight="16">
                <wp:simplePos x="0" y="0"/>
                <wp:positionH relativeFrom="page">
                  <wp:posOffset>0</wp:posOffset>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Annex A</w:t>
        <w:br/>
        <w:br/>
        <w:t>Legacy BioSim Assets</w:t>
      </w:r>
    </w:p>
    <w:tbl>
      <w:tblPr>
        <w:tblW w:w="1150" w:type="dxa"/>
        <w:jc w:val="left"/>
        <w:tblInd w:w="0" w:type="dxa"/>
        <w:tblLayout w:type="fixed"/>
        <w:tblCellMar>
          <w:top w:w="0" w:type="dxa"/>
          <w:left w:w="0" w:type="dxa"/>
          <w:bottom w:w="0" w:type="dxa"/>
          <w:right w:w="0" w:type="dxa"/>
        </w:tblCellMar>
      </w:tblPr>
      <w:tblGrid>
        <w:gridCol w:w="200"/>
        <w:gridCol w:w="950"/>
      </w:tblGrid>
      <w:tr>
        <w:trPr/>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w:t>
            </w:r>
          </w:p>
        </w:tc>
        <w:tc>
          <w:tcPr>
            <w:tcW w:w="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Cell lines:</w:t>
            </w:r>
          </w:p>
        </w:tc>
      </w:tr>
    </w:tbl>
    <w:tbl>
      <w:tblPr>
        <w:tblW w:w="3483" w:type="dxa"/>
        <w:jc w:val="left"/>
        <w:tblInd w:w="0" w:type="dxa"/>
        <w:tblLayout w:type="fixed"/>
        <w:tblCellMar>
          <w:top w:w="0" w:type="dxa"/>
          <w:left w:w="0" w:type="dxa"/>
          <w:bottom w:w="0" w:type="dxa"/>
          <w:right w:w="0" w:type="dxa"/>
        </w:tblCellMar>
      </w:tblPr>
      <w:tblGrid>
        <w:gridCol w:w="23"/>
        <w:gridCol w:w="185"/>
        <w:gridCol w:w="327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3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CHS-0214        Enbrel (etanercept)</w:t>
            </w:r>
          </w:p>
        </w:tc>
      </w:tr>
    </w:tbl>
    <w:tbl>
      <w:tblPr>
        <w:tblW w:w="3393" w:type="dxa"/>
        <w:jc w:val="left"/>
        <w:tblInd w:w="0" w:type="dxa"/>
        <w:tblLayout w:type="fixed"/>
        <w:tblCellMar>
          <w:top w:w="0" w:type="dxa"/>
          <w:left w:w="0" w:type="dxa"/>
          <w:bottom w:w="0" w:type="dxa"/>
          <w:right w:w="0" w:type="dxa"/>
        </w:tblCellMar>
      </w:tblPr>
      <w:tblGrid>
        <w:gridCol w:w="23"/>
        <w:gridCol w:w="200"/>
        <w:gridCol w:w="317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3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CHS-2020        Eylea (aflibricept)</w:t>
            </w:r>
          </w:p>
        </w:tc>
      </w:tr>
    </w:tbl>
    <w:tbl>
      <w:tblPr>
        <w:tblW w:w="3873" w:type="dxa"/>
        <w:jc w:val="left"/>
        <w:tblInd w:w="0" w:type="dxa"/>
        <w:tblLayout w:type="fixed"/>
        <w:tblCellMar>
          <w:top w:w="0" w:type="dxa"/>
          <w:left w:w="0" w:type="dxa"/>
          <w:bottom w:w="0" w:type="dxa"/>
          <w:right w:w="0" w:type="dxa"/>
        </w:tblCellMar>
      </w:tblPr>
      <w:tblGrid>
        <w:gridCol w:w="23"/>
        <w:gridCol w:w="185"/>
        <w:gridCol w:w="3665"/>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c.</w:t>
            </w:r>
          </w:p>
        </w:tc>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CHS-5217        Avastin (bevacizumab)</w:t>
            </w:r>
          </w:p>
        </w:tc>
      </w:tr>
    </w:tbl>
    <w:tbl>
      <w:tblPr>
        <w:tblW w:w="3558" w:type="dxa"/>
        <w:jc w:val="left"/>
        <w:tblInd w:w="0" w:type="dxa"/>
        <w:tblLayout w:type="fixed"/>
        <w:tblCellMar>
          <w:top w:w="0" w:type="dxa"/>
          <w:left w:w="0" w:type="dxa"/>
          <w:bottom w:w="0" w:type="dxa"/>
          <w:right w:w="0" w:type="dxa"/>
        </w:tblCellMar>
      </w:tblPr>
      <w:tblGrid>
        <w:gridCol w:w="23"/>
        <w:gridCol w:w="200"/>
        <w:gridCol w:w="333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d.</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CHS-4028        Rituxan (rituximab)</w:t>
            </w:r>
          </w:p>
        </w:tc>
      </w:tr>
    </w:tbl>
    <w:tbl>
      <w:tblPr>
        <w:tblW w:w="3798" w:type="dxa"/>
        <w:jc w:val="left"/>
        <w:tblInd w:w="0" w:type="dxa"/>
        <w:tblLayout w:type="fixed"/>
        <w:tblCellMar>
          <w:top w:w="0" w:type="dxa"/>
          <w:left w:w="0" w:type="dxa"/>
          <w:bottom w:w="0" w:type="dxa"/>
          <w:right w:w="0" w:type="dxa"/>
        </w:tblCellMar>
      </w:tblPr>
      <w:tblGrid>
        <w:gridCol w:w="23"/>
        <w:gridCol w:w="185"/>
        <w:gridCol w:w="3590"/>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e.</w:t>
            </w:r>
          </w:p>
        </w:tc>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CHS-4102        Remicade (infliximab)</w:t>
            </w:r>
          </w:p>
        </w:tc>
      </w:tr>
    </w:tbl>
    <w:tbl>
      <w:tblPr>
        <w:tblW w:w="3543" w:type="dxa"/>
        <w:jc w:val="left"/>
        <w:tblInd w:w="0" w:type="dxa"/>
        <w:tblLayout w:type="fixed"/>
        <w:tblCellMar>
          <w:top w:w="0" w:type="dxa"/>
          <w:left w:w="0" w:type="dxa"/>
          <w:bottom w:w="0" w:type="dxa"/>
          <w:right w:w="0" w:type="dxa"/>
        </w:tblCellMar>
      </w:tblPr>
      <w:tblGrid>
        <w:gridCol w:w="23"/>
        <w:gridCol w:w="155"/>
        <w:gridCol w:w="336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f.</w:t>
            </w:r>
          </w:p>
        </w:tc>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CHS-1138        Soliris (eculizumab)</w:t>
            </w:r>
          </w:p>
        </w:tc>
      </w:tr>
    </w:tbl>
    <w:tbl>
      <w:tblPr>
        <w:tblW w:w="3768" w:type="dxa"/>
        <w:jc w:val="left"/>
        <w:tblInd w:w="0" w:type="dxa"/>
        <w:tblLayout w:type="fixed"/>
        <w:tblCellMar>
          <w:top w:w="0" w:type="dxa"/>
          <w:left w:w="0" w:type="dxa"/>
          <w:bottom w:w="0" w:type="dxa"/>
          <w:right w:w="0" w:type="dxa"/>
        </w:tblCellMar>
      </w:tblPr>
      <w:tblGrid>
        <w:gridCol w:w="23"/>
        <w:gridCol w:w="200"/>
        <w:gridCol w:w="354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g.</w:t>
            </w:r>
          </w:p>
        </w:tc>
        <w:tc>
          <w:tcPr>
            <w:tcW w:w="3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CHS-1225        Tysabri (natalizumab)</w:t>
            </w:r>
          </w:p>
        </w:tc>
      </w:tr>
    </w:tbl>
    <w:tbl>
      <w:tblPr>
        <w:tblW w:w="3798" w:type="dxa"/>
        <w:jc w:val="left"/>
        <w:tblInd w:w="0" w:type="dxa"/>
        <w:tblLayout w:type="fixed"/>
        <w:tblCellMar>
          <w:top w:w="0" w:type="dxa"/>
          <w:left w:w="0" w:type="dxa"/>
          <w:bottom w:w="0" w:type="dxa"/>
          <w:right w:w="0" w:type="dxa"/>
        </w:tblCellMar>
      </w:tblPr>
      <w:tblGrid>
        <w:gridCol w:w="23"/>
        <w:gridCol w:w="200"/>
        <w:gridCol w:w="357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h.</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CHS-4714        Stelara (Ustekinumab)</w:t>
            </w:r>
          </w:p>
        </w:tc>
      </w:tr>
    </w:tbl>
    <w:tbl>
      <w:tblPr>
        <w:tblW w:w="4218" w:type="dxa"/>
        <w:jc w:val="left"/>
        <w:tblInd w:w="0" w:type="dxa"/>
        <w:tblLayout w:type="fixed"/>
        <w:tblCellMar>
          <w:top w:w="0" w:type="dxa"/>
          <w:left w:w="0" w:type="dxa"/>
          <w:bottom w:w="0" w:type="dxa"/>
          <w:right w:w="0" w:type="dxa"/>
        </w:tblCellMar>
      </w:tblPr>
      <w:tblGrid>
        <w:gridCol w:w="23"/>
        <w:gridCol w:w="140"/>
        <w:gridCol w:w="405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i.</w:t>
            </w:r>
          </w:p>
        </w:tc>
        <w:tc>
          <w:tcPr>
            <w:tcW w:w="4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CHS-4014        Prolia /Xgeva (denosumab)</w:t>
            </w:r>
          </w:p>
        </w:tc>
      </w:tr>
    </w:tbl>
    <w:tbl>
      <w:tblPr>
        <w:tblW w:w="3828" w:type="dxa"/>
        <w:jc w:val="left"/>
        <w:tblInd w:w="0" w:type="dxa"/>
        <w:tblLayout w:type="fixed"/>
        <w:tblCellMar>
          <w:top w:w="0" w:type="dxa"/>
          <w:left w:w="0" w:type="dxa"/>
          <w:bottom w:w="0" w:type="dxa"/>
          <w:right w:w="0" w:type="dxa"/>
        </w:tblCellMar>
      </w:tblPr>
      <w:tblGrid>
        <w:gridCol w:w="23"/>
        <w:gridCol w:w="140"/>
        <w:gridCol w:w="366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j.</w:t>
            </w:r>
          </w:p>
        </w:tc>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CHS-3351        Lucentis (ranibizumab)</w:t>
            </w:r>
          </w:p>
        </w:tc>
      </w:tr>
    </w:tbl>
    <w:p>
      <w:pPr>
        <w:pStyle w:val="TextBody"/>
        <w:pBdr/>
        <w:bidi w:val="0"/>
        <w:spacing w:lineRule="atLeast" w:line="269" w:before="0" w:after="0"/>
        <w:ind w:left="0" w:right="0" w:hanging="360"/>
        <w:jc w:val="left"/>
        <w:rPr/>
      </w:pPr>
      <w:r>
        <w:rPr/>
        <w:t>​</w:t>
      </w:r>
    </w:p>
    <w:tbl>
      <w:tblPr>
        <w:tblW w:w="2500" w:type="dxa"/>
        <w:jc w:val="left"/>
        <w:tblInd w:w="0" w:type="dxa"/>
        <w:tblLayout w:type="fixed"/>
        <w:tblCellMar>
          <w:top w:w="0" w:type="dxa"/>
          <w:left w:w="0" w:type="dxa"/>
          <w:bottom w:w="0" w:type="dxa"/>
          <w:right w:w="0" w:type="dxa"/>
        </w:tblCellMar>
      </w:tblPr>
      <w:tblGrid>
        <w:gridCol w:w="200"/>
        <w:gridCol w:w="2300"/>
      </w:tblGrid>
      <w:tr>
        <w:trPr/>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2.</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Pfizer license agreement</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License and Settlement Agreement, dated as of October 21, 2019, by and between the Company and Pfizer Inc. </w:t>
            </w:r>
          </w:p>
        </w:tc>
      </w:tr>
    </w:tbl>
    <w:p>
      <w:pPr>
        <w:pStyle w:val="TextBody"/>
        <w:pBdr/>
        <w:bidi w:val="0"/>
        <w:spacing w:lineRule="atLeast" w:line="269" w:before="0" w:after="0"/>
        <w:ind w:left="0" w:right="0" w:hanging="360"/>
        <w:jc w:val="left"/>
        <w:rPr/>
      </w:pPr>
      <w:r>
        <w:rPr/>
        <w:t>​</w:t>
      </w:r>
    </w:p>
    <w:tbl>
      <w:tblPr>
        <w:tblW w:w="940" w:type="dxa"/>
        <w:jc w:val="left"/>
        <w:tblInd w:w="0" w:type="dxa"/>
        <w:tblLayout w:type="fixed"/>
        <w:tblCellMar>
          <w:top w:w="0" w:type="dxa"/>
          <w:left w:w="0" w:type="dxa"/>
          <w:bottom w:w="0" w:type="dxa"/>
          <w:right w:w="0" w:type="dxa"/>
        </w:tblCellMar>
      </w:tblPr>
      <w:tblGrid>
        <w:gridCol w:w="200"/>
        <w:gridCol w:w="740"/>
      </w:tblGrid>
      <w:tr>
        <w:trPr/>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3.</w:t>
            </w:r>
          </w:p>
        </w:tc>
        <w:tc>
          <w:tcPr>
            <w:tcW w:w="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Patents </w:t>
            </w:r>
          </w:p>
        </w:tc>
      </w:tr>
    </w:tbl>
    <w:p>
      <w:pPr>
        <w:pStyle w:val="TextBody"/>
        <w:pBdr/>
        <w:bidi w:val="0"/>
        <w:spacing w:before="0" w:after="0"/>
        <w:ind w:left="360" w:right="0" w:hanging="360"/>
        <w:jc w:val="left"/>
        <w:rPr>
          <w:rFonts w:ascii="Times New Roman;Times;serif" w:hAnsi="Times New Roman;Times;serif"/>
          <w:i/>
          <w:sz w:val="22"/>
        </w:rPr>
      </w:pPr>
      <w:r>
        <w:rPr>
          <w:rFonts w:ascii="Times New Roman;Times;serif" w:hAnsi="Times New Roman;Times;serif"/>
          <w:i/>
          <w:sz w:val="22"/>
        </w:rPr>
        <w:t>Application TitleApp No.Patent No.App Status</w:t>
      </w:r>
    </w:p>
    <w:tbl>
      <w:tblPr>
        <w:tblW w:w="9514" w:type="dxa"/>
        <w:jc w:val="left"/>
        <w:tblInd w:w="0" w:type="dxa"/>
        <w:tblLayout w:type="fixed"/>
        <w:tblCellMar>
          <w:top w:w="0" w:type="dxa"/>
          <w:left w:w="0" w:type="dxa"/>
          <w:bottom w:w="0" w:type="dxa"/>
          <w:right w:w="0" w:type="dxa"/>
        </w:tblCellMar>
      </w:tblPr>
      <w:tblGrid>
        <w:gridCol w:w="5896"/>
        <w:gridCol w:w="1186"/>
        <w:gridCol w:w="1186"/>
        <w:gridCol w:w="1246"/>
      </w:tblGrid>
      <w:tr>
        <w:trPr/>
        <w:tc>
          <w:tcPr>
            <w:tcW w:w="58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STABLE AQUEOUS FORMULATIONS OF ADALIMUMAB</w:t>
            </w:r>
          </w:p>
        </w:tc>
        <w:tc>
          <w:tcPr>
            <w:tcW w:w="1186" w:type="dxa"/>
            <w:tcBorders/>
            <w:vAlign w:val="center"/>
          </w:tcPr>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15/726,165</w:t>
            </w:r>
          </w:p>
        </w:tc>
        <w:tc>
          <w:tcPr>
            <w:tcW w:w="1186" w:type="dxa"/>
            <w:tcBorders/>
            <w:vAlign w:val="center"/>
          </w:tcPr>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10,159,732</w:t>
            </w:r>
          </w:p>
        </w:tc>
        <w:tc>
          <w:tcPr>
            <w:tcW w:w="1246" w:type="dxa"/>
            <w:tcBorders/>
            <w:vAlign w:val="center"/>
          </w:tcPr>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Issued</w:t>
            </w:r>
          </w:p>
        </w:tc>
      </w:tr>
      <w:tr>
        <w:trPr/>
        <w:tc>
          <w:tcPr>
            <w:tcW w:w="5896" w:type="dxa"/>
            <w:tcBorders/>
            <w:vAlign w:val="center"/>
          </w:tcPr>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b.</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Stable Aqueous Formulations Of Adalimumab</w:t>
            </w:r>
          </w:p>
        </w:tc>
        <w:tc>
          <w:tcPr>
            <w:tcW w:w="1186" w:type="dxa"/>
            <w:tcBorders/>
            <w:vAlign w:val="center"/>
          </w:tcPr>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15/726,195</w:t>
            </w:r>
          </w:p>
        </w:tc>
        <w:tc>
          <w:tcPr>
            <w:tcW w:w="1186" w:type="dxa"/>
            <w:tcBorders/>
            <w:vAlign w:val="center"/>
          </w:tcPr>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10,207,000</w:t>
            </w:r>
          </w:p>
        </w:tc>
        <w:tc>
          <w:tcPr>
            <w:tcW w:w="1246" w:type="dxa"/>
            <w:tcBorders/>
            <w:vAlign w:val="center"/>
          </w:tcPr>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Issued</w:t>
            </w:r>
          </w:p>
        </w:tc>
      </w:tr>
      <w:tr>
        <w:trPr/>
        <w:tc>
          <w:tcPr>
            <w:tcW w:w="5896" w:type="dxa"/>
            <w:tcBorders/>
            <w:vAlign w:val="center"/>
          </w:tcPr>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c.</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Stable Aqueous Formulations Of Adalimumab</w:t>
            </w:r>
          </w:p>
        </w:tc>
        <w:tc>
          <w:tcPr>
            <w:tcW w:w="1186" w:type="dxa"/>
            <w:tcBorders/>
            <w:vAlign w:val="center"/>
          </w:tcPr>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15/726,215</w:t>
            </w:r>
          </w:p>
        </w:tc>
        <w:tc>
          <w:tcPr>
            <w:tcW w:w="1186" w:type="dxa"/>
            <w:tcBorders/>
            <w:vAlign w:val="center"/>
          </w:tcPr>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10,159,733</w:t>
            </w:r>
          </w:p>
        </w:tc>
        <w:tc>
          <w:tcPr>
            <w:tcW w:w="1246" w:type="dxa"/>
            <w:tcBorders/>
            <w:vAlign w:val="center"/>
          </w:tcPr>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Issued</w:t>
            </w:r>
          </w:p>
        </w:tc>
      </w:tr>
      <w:tr>
        <w:trPr/>
        <w:tc>
          <w:tcPr>
            <w:tcW w:w="5896" w:type="dxa"/>
            <w:tcBorders/>
            <w:vAlign w:val="center"/>
          </w:tcPr>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d.</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Stable Aqueous Formulations Of Adalimumab</w:t>
            </w:r>
          </w:p>
        </w:tc>
        <w:tc>
          <w:tcPr>
            <w:tcW w:w="1186" w:type="dxa"/>
            <w:tcBorders/>
            <w:vAlign w:val="center"/>
          </w:tcPr>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15/799,851</w:t>
            </w:r>
          </w:p>
        </w:tc>
        <w:tc>
          <w:tcPr>
            <w:tcW w:w="1186" w:type="dxa"/>
            <w:tcBorders/>
            <w:vAlign w:val="center"/>
          </w:tcPr>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10,155,039</w:t>
            </w:r>
          </w:p>
        </w:tc>
        <w:tc>
          <w:tcPr>
            <w:tcW w:w="1246" w:type="dxa"/>
            <w:tcBorders/>
            <w:vAlign w:val="center"/>
          </w:tcPr>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Issued</w:t>
            </w:r>
          </w:p>
        </w:tc>
      </w:tr>
      <w:tr>
        <w:trPr/>
        <w:tc>
          <w:tcPr>
            <w:tcW w:w="5896" w:type="dxa"/>
            <w:tcBorders/>
            <w:vAlign w:val="center"/>
          </w:tcPr>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e.</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STABLE AQUEOUS FORMULATIONS OF AFLIBERCEPT</w:t>
            </w:r>
          </w:p>
        </w:tc>
        <w:tc>
          <w:tcPr>
            <w:tcW w:w="1186" w:type="dxa"/>
            <w:tcBorders/>
            <w:vAlign w:val="center"/>
          </w:tcPr>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16/297,387</w:t>
            </w:r>
          </w:p>
        </w:tc>
        <w:tc>
          <w:tcPr>
            <w:tcW w:w="1186" w:type="dxa"/>
            <w:tcBorders/>
            <w:vAlign w:val="center"/>
          </w:tcPr>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11,667,702</w:t>
            </w:r>
          </w:p>
        </w:tc>
        <w:tc>
          <w:tcPr>
            <w:tcW w:w="1246" w:type="dxa"/>
            <w:tcBorders/>
            <w:vAlign w:val="center"/>
          </w:tcPr>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Issued</w:t>
            </w:r>
          </w:p>
        </w:tc>
      </w:tr>
      <w:tr>
        <w:trPr/>
        <w:tc>
          <w:tcPr>
            <w:tcW w:w="5896" w:type="dxa"/>
            <w:tcBorders/>
            <w:vAlign w:val="center"/>
          </w:tcPr>
          <w:p>
            <w:pPr>
              <w:pStyle w:val="TableContents"/>
              <w:bidi w:val="0"/>
              <w:spacing w:before="0" w:after="0"/>
              <w:jc w:val="left"/>
              <w:rPr>
                <w:rFonts w:ascii="Times New Roman;Times;serif" w:hAnsi="Times New Roman;Times;serif"/>
                <w:sz w:val="22"/>
              </w:rPr>
            </w:pPr>
            <w:r>
              <w:rPr>
                <w:rFonts w:ascii="Times New Roman;Times;serif" w:hAnsi="Times New Roman;Times;serif"/>
                <w:sz w:val="22"/>
              </w:rPr>
              <w:t>f.</w:t>
            </w:r>
          </w:p>
          <w:p>
            <w:pPr>
              <w:pStyle w:val="TableContents"/>
              <w:bidi w:val="0"/>
              <w:spacing w:before="0" w:after="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STABLE AQUEOUS FORMULATIONS OF AFLIBERCEPT</w:t>
            </w:r>
          </w:p>
        </w:tc>
        <w:tc>
          <w:tcPr>
            <w:tcW w:w="1186" w:type="dxa"/>
            <w:tcBorders/>
            <w:vAlign w:val="center"/>
          </w:tcPr>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16/566,847</w:t>
            </w:r>
          </w:p>
        </w:tc>
        <w:tc>
          <w:tcPr>
            <w:tcW w:w="1186" w:type="dxa"/>
            <w:tcBorders/>
            <w:vAlign w:val="center"/>
          </w:tcPr>
          <w:p>
            <w:pPr>
              <w:pStyle w:val="TableContents"/>
              <w:pBdr/>
              <w:bidi w:val="0"/>
              <w:spacing w:before="0" w:after="0"/>
              <w:ind w:left="0" w:right="0" w:hanging="0"/>
              <w:jc w:val="left"/>
              <w:rPr>
                <w:rFonts w:ascii="Times New Roman;Times;serif" w:hAnsi="Times New Roman;Times;serif"/>
                <w:sz w:val="22"/>
              </w:rPr>
            </w:pPr>
            <w:r>
              <w:rPr>
                <w:rFonts w:ascii="Times New Roman;Times;serif" w:hAnsi="Times New Roman;Times;serif"/>
                <w:sz w:val="22"/>
              </w:rPr>
              <w:t>11,426,446</w:t>
            </w:r>
          </w:p>
        </w:tc>
        <w:tc>
          <w:tcPr>
            <w:tcW w:w="1246" w:type="dxa"/>
            <w:tcBorders/>
            <w:vAlign w:val="center"/>
          </w:tcPr>
          <w:p>
            <w:pPr>
              <w:pStyle w:val="TableContents"/>
              <w:pBdr/>
              <w:bidi w:val="0"/>
              <w:spacing w:before="0" w:after="0"/>
              <w:ind w:left="0" w:right="0" w:hanging="360"/>
              <w:jc w:val="left"/>
              <w:rPr>
                <w:rFonts w:ascii="Times New Roman;Times;serif" w:hAnsi="Times New Roman;Times;serif"/>
                <w:sz w:val="22"/>
              </w:rPr>
            </w:pPr>
            <w:r>
              <w:rPr>
                <w:rFonts w:ascii="Times New Roman;Times;serif" w:hAnsi="Times New Roman;Times;serif"/>
                <w:sz w:val="22"/>
              </w:rPr>
              <w:t>Issued/drop</w:t>
            </w:r>
          </w:p>
        </w:tc>
      </w:tr>
    </w:tbl>
    <w:p>
      <w:pPr>
        <w:pStyle w:val="TextBody"/>
        <w:bidi w:val="0"/>
        <w:spacing w:lineRule="atLeast" w:line="269"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4.</w:t>
            </w:r>
          </w:p>
        </w:tc>
        <w:tc>
          <w:tcPr>
            <w:tcW w:w="100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Materials that are exclusively related to the Legacy Biosim Assets including, but not limited to, laboratory notebooks, regulatory filings, and product samples.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Helvetica">
    <w:altName w:val="Arial"/>
    <w:charset w:val="01"/>
    <w:family w:val="auto"/>
    <w:pitch w:val="default"/>
  </w:font>
  <w:font w:name="Aptos">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16060</Words>
  <Characters>85266</Characters>
  <CharactersWithSpaces>101353</CharactersWithSpaces>
  <Paragraphs>626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