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Coherus Oncology,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02/05/2026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Timothy G. Youngquist 2020 Irrevocable Trust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ind w:left="1120" w:hanging="1112"/>
        <w:spacing w:after="0" w:line="184" w:lineRule="auto"/>
        <w:tabs>
          <w:tab w:leader="none" w:pos="1120" w:val="left"/>
        </w:tabs>
        <w:numPr>
          <w:ilvl w:val="0"/>
          <w:numId w:val="3"/>
        </w:numPr>
        <w:rPr>
          <w:rFonts w:ascii="Times New Roman" w:cs="Times New Roman" w:eastAsia="Times New Roman" w:hAnsi="Times New Roman"/>
          <w:sz w:val="37"/>
          <w:szCs w:val="37"/>
          <w:color w:val="auto"/>
          <w:vertAlign w:val="subscript"/>
        </w:rPr>
      </w:pPr>
      <w:r>
        <w:rPr>
          <w:rFonts w:ascii="Times New Roman" w:cs="Times New Roman" w:eastAsia="Times New Roman" w:hAnsi="Times New Roman"/>
          <w:sz w:val="19"/>
          <w:szCs w:val="19"/>
          <w:color w:val="auto"/>
        </w:rPr>
        <w:t>Citizenship or Place of Organization</w:t>
      </w:r>
    </w:p>
    <w:p>
      <w:pPr>
        <w:spacing w:after="0" w:line="258" w:lineRule="exact"/>
        <w:rPr>
          <w:sz w:val="24"/>
          <w:szCs w:val="24"/>
          <w:color w:val="auto"/>
        </w:rPr>
      </w:pPr>
    </w:p>
    <w:p>
      <w:pPr>
        <w:spacing w:after="0"/>
        <w:tabs>
          <w:tab w:leader="none" w:pos="1140" w:val="left"/>
        </w:tabs>
        <w:rPr>
          <w:sz w:val="20"/>
          <w:szCs w:val="20"/>
          <w:color w:val="auto"/>
        </w:rPr>
      </w:pPr>
      <w:r>
        <w:rPr>
          <w:rFonts w:ascii="Times New Roman" w:cs="Times New Roman" w:eastAsia="Times New Roman" w:hAnsi="Times New Roman"/>
          <w:sz w:val="43"/>
          <w:szCs w:val="43"/>
          <w:color w:val="auto"/>
          <w:vertAlign w:val="superscript"/>
        </w:rPr>
        <w:t>Number of</w:t>
      </w:r>
      <w:r>
        <w:rPr>
          <w:rFonts w:ascii="Times New Roman" w:cs="Times New Roman" w:eastAsia="Times New Roman" w:hAnsi="Times New Roman"/>
          <w:sz w:val="22"/>
          <w:szCs w:val="22"/>
          <w:color w:val="auto"/>
        </w:rPr>
        <w:tab/>
        <w:t>5 Sole Voting Power</w:t>
      </w:r>
    </w:p>
    <w:p>
      <w:pPr>
        <w:sectPr>
          <w:pgSz w:w="11900" w:h="16912"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Shares</w:t>
      </w:r>
    </w:p>
    <w:p>
      <w:pPr>
        <w:spacing w:after="0" w:line="1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3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38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3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280" w:hanging="231"/>
        <w:spacing w:after="0"/>
        <w:tabs>
          <w:tab w:leader="none" w:pos="280" w:val="left"/>
        </w:tabs>
        <w:numPr>
          <w:ilvl w:val="0"/>
          <w:numId w:val="4"/>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Shared Voting Power</w:t>
      </w:r>
    </w:p>
    <w:p>
      <w:pPr>
        <w:spacing w:after="0" w:line="121" w:lineRule="exact"/>
        <w:rPr>
          <w:rFonts w:ascii="Times New Roman" w:cs="Times New Roman" w:eastAsia="Times New Roman" w:hAnsi="Times New Roman"/>
          <w:sz w:val="43"/>
          <w:szCs w:val="43"/>
          <w:color w:val="auto"/>
          <w:vertAlign w:val="subscript"/>
        </w:rPr>
      </w:pPr>
    </w:p>
    <w:p>
      <w:pPr>
        <w:ind w:left="4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 Power</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321" w:lineRule="exact"/>
        <w:rPr>
          <w:sz w:val="20"/>
          <w:szCs w:val="20"/>
          <w:color w:val="auto"/>
        </w:rPr>
      </w:pPr>
    </w:p>
    <w:p>
      <w:pPr>
        <w:sectPr>
          <w:pgSz w:w="11900" w:h="16838" w:orient="portrait"/>
          <w:cols w:equalWidth="0" w:num="2">
            <w:col w:w="1100" w:space="60"/>
            <w:col w:w="10020"/>
          </w:cols>
          <w:pgMar w:left="320" w:top="111" w:right="399" w:bottom="0" w:gutter="0" w:footer="0" w:header="0"/>
        </w:sectPr>
      </w:pPr>
    </w:p>
    <w:p>
      <w:pPr>
        <w:spacing w:after="0" w:line="191"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The percentage reported is based on 154,217,609 shares of the Issuer's common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stock outstanding as of April 16, 2026, as reported in the Issuer's Definitive Proxy Statement on Schedule 14A filed with the Securities and Exchange Commission on April 20, 2026. The shares reported herein are held by the Timothy G. Youngquist 2020 Irrevocable Trust, dated 2020, as amended and/or restated (the "Trust"), of which Trista Kragh is a trustee. Includes 500,000 shares of common stock underlying call options that constitute a right to acquire shares within 60 days for purposes of Rule 13d-3. For purposes of calculating the Reporting Person's percentage of class, such underlying shares are deemed outstanding.</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Coherus Oncology, Inc.</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C/O DENNIS M. LANFEAR, C/O DENNIS M. LANFEAR, REDWOOD CITY, CALIFORNIA, 94065.</w:t>
      </w:r>
    </w:p>
    <w:p>
      <w:pPr>
        <w:spacing w:after="0" w:line="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Timothy G. Youngquist 2020 Irrevocable Trust</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ind w:left="960"/>
        <w:spacing w:after="0"/>
        <w:rPr>
          <w:sz w:val="20"/>
          <w:szCs w:val="20"/>
          <w:color w:val="auto"/>
        </w:rPr>
      </w:pPr>
      <w:r>
        <w:rPr>
          <w:rFonts w:ascii="Times New Roman" w:cs="Times New Roman" w:eastAsia="Times New Roman" w:hAnsi="Times New Roman"/>
          <w:sz w:val="22"/>
          <w:szCs w:val="22"/>
          <w:color w:val="auto"/>
        </w:rPr>
        <w:t>15581 Pine Ridge Road Fort Myers, Fl 33908</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ind w:left="960"/>
        <w:spacing w:after="0"/>
        <w:rPr>
          <w:sz w:val="20"/>
          <w:szCs w:val="20"/>
          <w:color w:val="auto"/>
        </w:rPr>
      </w:pPr>
      <w:r>
        <w:rPr>
          <w:rFonts w:ascii="Times New Roman" w:cs="Times New Roman" w:eastAsia="Times New Roman" w:hAnsi="Times New Roman"/>
          <w:sz w:val="22"/>
          <w:szCs w:val="22"/>
          <w:color w:val="auto"/>
        </w:rPr>
        <w:t>USA</w:t>
      </w:r>
    </w:p>
    <w:p>
      <w:pPr>
        <w:spacing w:after="0" w:line="2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ind w:left="960"/>
        <w:spacing w:after="0"/>
        <w:rPr>
          <w:sz w:val="20"/>
          <w:szCs w:val="20"/>
          <w:color w:val="auto"/>
        </w:rPr>
      </w:pPr>
      <w:r>
        <w:rPr>
          <w:rFonts w:ascii="Times New Roman" w:cs="Times New Roman" w:eastAsia="Times New Roman" w:hAnsi="Times New Roman"/>
          <w:sz w:val="22"/>
          <w:szCs w:val="22"/>
          <w:color w:val="auto"/>
        </w:rPr>
        <w:t>Common Stock, par value $0.0001 per share</w:t>
      </w:r>
    </w:p>
    <w:p>
      <w:pPr>
        <w:ind w:left="960" w:hanging="912"/>
        <w:spacing w:after="0" w:line="180" w:lineRule="auto"/>
        <w:tabs>
          <w:tab w:leader="none" w:pos="960" w:val="left"/>
        </w:tabs>
        <w:numPr>
          <w:ilvl w:val="0"/>
          <w:numId w:val="5"/>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ind w:left="40"/>
        <w:spacing w:after="0"/>
        <w:tabs>
          <w:tab w:leader="none" w:pos="94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60" w:hanging="912"/>
        <w:spacing w:after="0"/>
        <w:tabs>
          <w:tab w:leader="none" w:pos="9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w:t>
      </w:r>
    </w:p>
    <w:p>
      <w:pPr>
        <w:sectPr>
          <w:pgSz w:w="11900" w:h="16838" w:orient="portrait"/>
          <w:cols w:equalWidth="0" w:num="1">
            <w:col w:w="11180"/>
          </w:cols>
          <w:pgMar w:left="320" w:top="111" w:right="399" w:bottom="0" w:gutter="0" w:footer="0" w:header="0"/>
          <w:type w:val="continuous"/>
        </w:sectPr>
      </w:pPr>
    </w:p>
    <w:bookmarkStart w:id="2" w:name="page3"/>
    <w:bookmarkEnd w:id="2"/>
    <w:p>
      <w:pPr>
        <w:ind w:left="920"/>
        <w:spacing w:after="0"/>
        <w:rPr>
          <w:sz w:val="20"/>
          <w:szCs w:val="20"/>
          <w:color w:val="auto"/>
        </w:rPr>
      </w:pPr>
      <w:r>
        <w:rPr>
          <w:rFonts w:ascii="Times New Roman" w:cs="Times New Roman" w:eastAsia="Times New Roman" w:hAnsi="Times New Roman"/>
          <w:sz w:val="22"/>
          <w:szCs w:val="22"/>
          <w:color w:val="auto"/>
        </w:rPr>
        <w:t>Investment Company Act of 1940 (15 U.S.C. 80a-3);</w:t>
      </w:r>
    </w:p>
    <w:p>
      <w:pPr>
        <w:spacing w:after="0" w:line="58"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right"/>
        <w:ind w:left="1300" w:right="6640" w:hanging="1292"/>
        <w:spacing w:after="0" w:line="263" w:lineRule="auto"/>
        <w:tabs>
          <w:tab w:leader="none" w:pos="922"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accordance with § 240.13d-1(b)(1)(ii)(J), please specify the type of institution:</w:t>
      </w:r>
    </w:p>
    <w:p>
      <w:pPr>
        <w:spacing w:after="0" w:line="13"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12,790,800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8.267%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12,790,800</w:t>
      </w:r>
    </w:p>
    <w:p>
      <w:pPr>
        <w:spacing w:after="0" w:line="287" w:lineRule="exact"/>
        <w:rPr>
          <w:sz w:val="20"/>
          <w:szCs w:val="20"/>
          <w:color w:val="auto"/>
        </w:rPr>
      </w:pPr>
    </w:p>
    <w:p>
      <w:pPr>
        <w:ind w:left="1240" w:hanging="314"/>
        <w:spacing w:after="0"/>
        <w:tabs>
          <w:tab w:leader="none" w:pos="12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12,790,800</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Ownership of more than 5 Percent on Behalf of Another Person.</w:t>
      </w:r>
    </w:p>
    <w:p>
      <w:pPr>
        <w:spacing w:after="0" w:line="44" w:lineRule="exact"/>
        <w:rPr>
          <w:sz w:val="20"/>
          <w:szCs w:val="20"/>
          <w:color w:val="auto"/>
        </w:rPr>
      </w:pPr>
    </w:p>
    <w:p>
      <w:pPr>
        <w:jc w:val="both"/>
        <w:ind w:left="920"/>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ectPr>
          <w:pgSz w:w="11900" w:h="16838" w:orient="portrait"/>
          <w:cols w:equalWidth="0" w:num="1">
            <w:col w:w="11140"/>
          </w:cols>
          <w:pgMar w:left="360" w:top="111" w:right="399" w:bottom="7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Timothy G. Youngquist 2020 Irrevocable Trust</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§240.13d-1(b)(1)(ii)(J), so indicate under Item 3(j)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ectPr>
          <w:pgSz w:w="11900" w:h="16838" w:orient="portrait"/>
          <w:cols w:equalWidth="0" w:num="2">
            <w:col w:w="620" w:space="300"/>
            <w:col w:w="10220"/>
          </w:cols>
          <w:pgMar w:left="360" w:top="111" w:right="399" w:bottom="79" w:gutter="0" w:footer="0" w:header="0"/>
          <w:type w:val="continuous"/>
        </w:sectPr>
      </w:pPr>
    </w:p>
    <w:p>
      <w:pPr>
        <w:spacing w:after="0" w:line="24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Trust</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79" w:gutter="0" w:footer="0" w:header="0"/>
          <w:type w:val="continuous"/>
        </w:sectPr>
      </w:pPr>
    </w:p>
    <w:bookmarkStart w:id="3" w:name="page4"/>
    <w:bookmarkEnd w:id="3"/>
    <w:p>
      <w:pPr>
        <w:jc w:val="right"/>
        <w:ind w:right="1779"/>
        <w:spacing w:after="0"/>
        <w:rPr>
          <w:sz w:val="20"/>
          <w:szCs w:val="20"/>
          <w:color w:val="auto"/>
        </w:rPr>
      </w:pPr>
      <w:r>
        <w:rPr>
          <w:rFonts w:ascii="Times New Roman" w:cs="Times New Roman" w:eastAsia="Times New Roman" w:hAnsi="Times New Roman"/>
          <w:sz w:val="22"/>
          <w:szCs w:val="22"/>
          <w:color w:val="auto"/>
        </w:rPr>
        <w:t>Timothy G. Youngquist 2020 Irrevocable Trust</w:t>
      </w:r>
    </w:p>
    <w:p>
      <w:pPr>
        <w:spacing w:after="0" w:line="153" w:lineRule="exact"/>
        <w:rPr>
          <w:sz w:val="20"/>
          <w:szCs w:val="20"/>
          <w:color w:val="auto"/>
        </w:rPr>
      </w:pPr>
    </w:p>
    <w:p>
      <w:pPr>
        <w:ind w:left="1400"/>
        <w:spacing w:after="0"/>
        <w:tabs>
          <w:tab w:leader="none" w:pos="2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Nolan Rheam</w:t>
      </w:r>
    </w:p>
    <w:p>
      <w:pPr>
        <w:spacing w:after="0" w:line="44" w:lineRule="exact"/>
        <w:rPr>
          <w:sz w:val="20"/>
          <w:szCs w:val="20"/>
          <w:color w:val="auto"/>
        </w:rPr>
      </w:pPr>
    </w:p>
    <w:p>
      <w:pPr>
        <w:ind w:left="1400"/>
        <w:spacing w:after="0"/>
        <w:rPr>
          <w:sz w:val="20"/>
          <w:szCs w:val="20"/>
          <w:color w:val="auto"/>
        </w:rPr>
      </w:pPr>
      <w:r>
        <w:rPr>
          <w:rFonts w:ascii="Times New Roman" w:cs="Times New Roman" w:eastAsia="Times New Roman" w:hAnsi="Times New Roman"/>
          <w:sz w:val="22"/>
          <w:szCs w:val="22"/>
          <w:color w:val="auto"/>
        </w:rPr>
        <w:t>Name/Title: Manager</w:t>
      </w:r>
    </w:p>
    <w:p>
      <w:pPr>
        <w:spacing w:after="0" w:line="44" w:lineRule="exact"/>
        <w:rPr>
          <w:sz w:val="20"/>
          <w:szCs w:val="20"/>
          <w:color w:val="auto"/>
        </w:rPr>
      </w:pPr>
    </w:p>
    <w:p>
      <w:pPr>
        <w:ind w:left="1400"/>
        <w:spacing w:after="0"/>
        <w:tabs>
          <w:tab w:leader="none" w:pos="2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05/11/2026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4"/>
      <w:numFmt w:val="bullet"/>
      <w:start w:val="1"/>
    </w:lvl>
  </w:abstractNum>
  <w:abstractNum w:abstractNumId="3">
    <w:nsid w:val="2EB141F2"/>
    <w:multiLevelType w:val="hybridMultilevel"/>
    <w:lvl w:ilvl="0">
      <w:lvlJc w:val="left"/>
      <w:lvlText w:val="6"/>
      <w:numFmt w:val="bullet"/>
      <w:start w:val="1"/>
    </w:lvl>
  </w:abstractNum>
  <w:abstractNum w:abstractNumId="4">
    <w:nsid w:val="41B71EFB"/>
    <w:multiLevelType w:val="hybridMultilevel"/>
    <w:lvl w:ilvl="0">
      <w:lvlJc w:val="left"/>
      <w:lvlText w:val="(%1)"/>
      <w:numFmt w:val="lowerLetter"/>
      <w:start w:val="5"/>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0"/>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2026-05-11T08:22:58Z</dcterms:created>
  <dcterms:modified xsi:type="dcterms:W3CDTF">2026-05-11T08:22:58Z</dcterms:modified>
</cp:coreProperties>
</file>