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January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7"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380"/>
        <w:spacing w:after="0"/>
        <w:tabs>
          <w:tab w:leader="none" w:pos="1320" w:val="left"/>
        </w:tabs>
        <w:rPr>
          <w:sz w:val="20"/>
          <w:szCs w:val="20"/>
          <w:color w:val="auto"/>
        </w:rPr>
      </w:pPr>
      <w:r>
        <w:rPr>
          <w:rFonts w:ascii="Calibri" w:cs="Calibri" w:eastAsia="Calibri" w:hAnsi="Calibri"/>
          <w:sz w:val="18"/>
          <w:szCs w:val="18"/>
          <w:b w:val="1"/>
          <w:bCs w:val="1"/>
          <w:color w:val="auto"/>
        </w:rPr>
        <w:t>Item 8.01</w:t>
      </w:r>
      <w:r>
        <w:rPr>
          <w:sz w:val="20"/>
          <w:szCs w:val="20"/>
          <w:color w:val="auto"/>
        </w:rPr>
        <w:tab/>
      </w:r>
      <w:r>
        <w:rPr>
          <w:rFonts w:ascii="Calibri" w:cs="Calibri" w:eastAsia="Calibri" w:hAnsi="Calibri"/>
          <w:sz w:val="17"/>
          <w:szCs w:val="17"/>
          <w:b w:val="1"/>
          <w:bCs w:val="1"/>
          <w:color w:val="auto"/>
        </w:rPr>
        <w:t>Other Events.</w:t>
      </w:r>
    </w:p>
    <w:p>
      <w:pPr>
        <w:spacing w:after="0" w:line="217" w:lineRule="exact"/>
        <w:rPr>
          <w:sz w:val="20"/>
          <w:szCs w:val="20"/>
          <w:color w:val="auto"/>
        </w:rPr>
      </w:pPr>
    </w:p>
    <w:p>
      <w:pPr>
        <w:jc w:val="both"/>
        <w:ind w:left="60" w:right="59" w:firstLine="324"/>
        <w:spacing w:after="0" w:line="235" w:lineRule="auto"/>
        <w:rPr>
          <w:sz w:val="20"/>
          <w:szCs w:val="20"/>
          <w:color w:val="auto"/>
        </w:rPr>
      </w:pPr>
      <w:r>
        <w:rPr>
          <w:rFonts w:ascii="Calibri" w:cs="Calibri" w:eastAsia="Calibri" w:hAnsi="Calibri"/>
          <w:sz w:val="18"/>
          <w:szCs w:val="18"/>
          <w:color w:val="auto"/>
        </w:rPr>
        <w:t>On January 10, 2024, Coherus BioSciences, Inc. (the “Company”) announced that it had delivered a notce of terminaton of the TIGIT Program (as defned in the Collaboraton Agreement) to Shanghai Junshi Biosciences, Co., Ltd (“Junshi Biosciences”) pursuant to the Exclusive License and Commercializaton Agreement (the “Collaboraton Agreement”) dated February 1, 2021, between the Company and Junshi Biosciences. The Company had previously notfed Junshi Biosciences on January 9, 2022 of its electon to exercise the license opton for the TIGIT program CHS-006 described in the Collaboraton Agreement (the “TIGIT Program”).</w:t>
      </w:r>
    </w:p>
    <w:p>
      <w:pPr>
        <w:spacing w:after="0" w:line="221" w:lineRule="exact"/>
        <w:rPr>
          <w:sz w:val="20"/>
          <w:szCs w:val="20"/>
          <w:color w:val="auto"/>
        </w:rPr>
      </w:pPr>
    </w:p>
    <w:p>
      <w:pPr>
        <w:jc w:val="both"/>
        <w:ind w:left="60" w:right="59" w:firstLine="324"/>
        <w:spacing w:after="0" w:line="235" w:lineRule="auto"/>
        <w:rPr>
          <w:sz w:val="20"/>
          <w:szCs w:val="20"/>
          <w:color w:val="auto"/>
        </w:rPr>
      </w:pPr>
      <w:r>
        <w:rPr>
          <w:rFonts w:ascii="Calibri" w:cs="Calibri" w:eastAsia="Calibri" w:hAnsi="Calibri"/>
          <w:sz w:val="18"/>
          <w:szCs w:val="18"/>
          <w:color w:val="auto"/>
        </w:rPr>
        <w:t>Afer its acquisiton of Surface Oncology, Inc. in September 2023, the Company disclosed that it would conduct a portolio prioritzaton process to allocate resources towards the most promising and/or compettvely positoned product candidates in its pipeline. The Company believes it is in its best interests to terminate future work with Junshi Biosciences on the TIGIT Program. The Company plans to wind down work with Junshi Biosciences on the TIGIT Program over the coming months pursuant to the terminaton. Despite the terminaton of the work with Junshi BioSciences on the TIGIT Program, the Company will contnue to support patents in its current studies involving CHS-006 (clinicaltrials.gov identfer# NCT05061628 and clinicaltrials.gov identfer# NCT05757492).</w:t>
      </w:r>
    </w:p>
    <w:p>
      <w:pPr>
        <w:spacing w:after="0" w:line="222" w:lineRule="exact"/>
        <w:rPr>
          <w:sz w:val="20"/>
          <w:szCs w:val="20"/>
          <w:color w:val="auto"/>
        </w:rPr>
      </w:pPr>
    </w:p>
    <w:p>
      <w:pPr>
        <w:jc w:val="both"/>
        <w:ind w:left="60" w:right="59" w:firstLine="324"/>
        <w:spacing w:after="0" w:line="235" w:lineRule="auto"/>
        <w:rPr>
          <w:sz w:val="20"/>
          <w:szCs w:val="20"/>
          <w:color w:val="auto"/>
        </w:rPr>
      </w:pPr>
      <w:r>
        <w:rPr>
          <w:rFonts w:ascii="Calibri" w:cs="Calibri" w:eastAsia="Calibri" w:hAnsi="Calibri"/>
          <w:sz w:val="18"/>
          <w:szCs w:val="18"/>
          <w:color w:val="auto"/>
        </w:rPr>
        <w:t>The Collaboraton Agreement remains efectve and actve for all other purposes as the Company contnues to work together with Junshi Biosciences on the development of LOQTORZI™ (toripalimab-tpzi).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1318260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Calibri" w:cs="Calibri" w:eastAsia="Calibri" w:hAnsi="Calibri"/>
                <w:sz w:val="18"/>
                <w:szCs w:val="18"/>
                <w:color w:val="auto"/>
              </w:rPr>
              <w:t>Date: January 10, 2024</w:t>
            </w:r>
          </w:p>
        </w:tc>
        <w:tc>
          <w:tcPr>
            <w:tcW w:w="5780" w:type="dxa"/>
            <w:vAlign w:val="bottom"/>
            <w:gridSpan w:val="2"/>
          </w:tcPr>
          <w:p>
            <w:pPr>
              <w:ind w:left="150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2160" w:type="dxa"/>
            <w:vAlign w:val="bottom"/>
          </w:tcPr>
          <w:p>
            <w:pPr>
              <w:ind w:left="150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160" w:type="dxa"/>
            <w:vAlign w:val="bottom"/>
            <w:vMerge w:val="restart"/>
          </w:tcPr>
          <w:p>
            <w:pPr>
              <w:ind w:left="150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160" w:type="dxa"/>
            <w:vAlign w:val="bottom"/>
          </w:tcPr>
          <w:p>
            <w:pPr>
              <w:ind w:left="150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President and Chief Executve Ofcer</w:t>
            </w:r>
          </w:p>
        </w:tc>
        <w:tc>
          <w:tcPr>
            <w:tcW w:w="0" w:type="dxa"/>
            <w:vAlign w:val="bottom"/>
          </w:tcPr>
          <w:p>
            <w:pPr>
              <w:spacing w:after="0"/>
              <w:rPr>
                <w:sz w:val="1"/>
                <w:szCs w:val="1"/>
                <w:color w:val="auto"/>
              </w:rPr>
            </w:pPr>
          </w:p>
        </w:tc>
      </w:tr>
      <w:tr>
        <w:trPr>
          <w:trHeight w:val="1245"/>
        </w:trPr>
        <w:tc>
          <w:tcPr>
            <w:tcW w:w="3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2024-01-10T05:12:06Z</dcterms:created>
  <dcterms:modified xsi:type="dcterms:W3CDTF">2024-01-10T05:12:06Z</dcterms:modified>
</cp:coreProperties>
</file>