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16"/>
          <w:szCs w:val="16"/>
          <w:b w:val="1"/>
          <w:bCs w:val="1"/>
          <w:color w:val="auto"/>
        </w:rPr>
        <mc:AlternateContent>
          <mc:Choice Requires="wps">
            <w:drawing>
              <wp:anchor simplePos="0" relativeHeight="251657728" behindDoc="1" locked="0" layoutInCell="0" allowOverlap="1">
                <wp:simplePos x="0" y="0"/>
                <wp:positionH relativeFrom="page">
                  <wp:posOffset>328295</wp:posOffset>
                </wp:positionH>
                <wp:positionV relativeFrom="page">
                  <wp:posOffset>417195</wp:posOffset>
                </wp:positionV>
                <wp:extent cx="711517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5175"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85pt,32.85pt" to="586.1pt,32.85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328295</wp:posOffset>
                </wp:positionH>
                <wp:positionV relativeFrom="page">
                  <wp:posOffset>478790</wp:posOffset>
                </wp:positionV>
                <wp:extent cx="711517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51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5.85pt,37.7pt" to="586.1pt,37.7pt" o:allowincell="f" strokecolor="#000000" strokeweight="0.4799pt">
                <w10:wrap anchorx="page" anchory="page"/>
              </v:line>
            </w:pict>
          </mc:Fallback>
        </mc:AlternateContent>
        <w:t>UNITED STATES</w:t>
      </w:r>
    </w:p>
    <w:p>
      <w:pPr>
        <w:spacing w:after="0" w:line="24"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SECURITIES AND EXCHANGE COMMISSION</w:t>
      </w:r>
    </w:p>
    <w:p>
      <w:pPr>
        <w:jc w:val="center"/>
        <w:spacing w:after="0"/>
        <w:rPr>
          <w:sz w:val="20"/>
          <w:szCs w:val="20"/>
          <w:color w:val="auto"/>
        </w:rPr>
      </w:pPr>
      <w:r>
        <w:rPr>
          <w:rFonts w:ascii="Calibri" w:cs="Calibri" w:eastAsia="Calibri" w:hAnsi="Calibri"/>
          <w:sz w:val="16"/>
          <w:szCs w:val="16"/>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2656840</wp:posOffset>
                </wp:positionH>
                <wp:positionV relativeFrom="paragraph">
                  <wp:posOffset>30480</wp:posOffset>
                </wp:positionV>
                <wp:extent cx="177038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03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2pt,2.4pt" to="348.6pt,2.4pt" o:allowincell="f" strokecolor="#000000" strokeweight="1.02pt"/>
            </w:pict>
          </mc:Fallback>
        </mc:AlternateContent>
      </w:r>
    </w:p>
    <w:p>
      <w:pPr>
        <w:spacing w:after="0" w:line="77"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2656840</wp:posOffset>
                </wp:positionH>
                <wp:positionV relativeFrom="paragraph">
                  <wp:posOffset>46990</wp:posOffset>
                </wp:positionV>
                <wp:extent cx="177038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03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2pt,3.7pt" to="348.6pt,3.7pt" o:allowincell="f" strokecolor="#000000" strokeweight="1.02pt"/>
            </w:pict>
          </mc:Fallback>
        </mc:AlternateContent>
      </w:r>
    </w:p>
    <w:p>
      <w:pPr>
        <w:spacing w:after="0" w:line="103"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ANNUAL REPORT PURSUANT TO SECTION 13 OR 15(d)</w:t>
      </w:r>
    </w:p>
    <w:p>
      <w:pPr>
        <w:spacing w:after="0" w:line="24"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OF THE SECURITIES EXCHANGE ACT OF 1934</w:t>
      </w:r>
    </w:p>
    <w:p>
      <w:pPr>
        <w:spacing w:after="0"/>
        <w:tabs>
          <w:tab w:leader="none" w:pos="480" w:val="left"/>
        </w:tabs>
        <w:rPr>
          <w:sz w:val="20"/>
          <w:szCs w:val="20"/>
          <w:color w:val="auto"/>
        </w:rPr>
      </w:pPr>
      <w:r>
        <w:rPr>
          <w:rFonts w:ascii="Segoe UI" w:cs="Segoe UI" w:eastAsia="Segoe UI" w:hAnsi="Segoe UI"/>
          <w:sz w:val="18"/>
          <w:szCs w:val="18"/>
          <w:color w:val="auto"/>
        </w:rPr>
        <w:t>ց</w:t>
      </w:r>
      <w:r>
        <w:rPr>
          <w:sz w:val="20"/>
          <w:szCs w:val="20"/>
          <w:color w:val="auto"/>
        </w:rPr>
        <w:tab/>
      </w:r>
      <w:r>
        <w:rPr>
          <w:rFonts w:ascii="Calibri" w:cs="Calibri" w:eastAsia="Calibri" w:hAnsi="Calibri"/>
          <w:sz w:val="18"/>
          <w:szCs w:val="18"/>
          <w:b w:val="1"/>
          <w:bCs w:val="1"/>
          <w:color w:val="auto"/>
        </w:rPr>
        <w:t>ANNUAL REPORT PURSUANT TO SECTION 13 OR 15(d) OF THE SECURITIES EXCHANGE ACT OF 1934</w:t>
      </w:r>
    </w:p>
    <w:p>
      <w:pPr>
        <w:spacing w:after="0" w:line="79"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For the fiscal year ended December 31, 2025</w:t>
      </w:r>
    </w:p>
    <w:p>
      <w:pPr>
        <w:spacing w:after="0" w:line="16"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OR</w:t>
      </w:r>
    </w:p>
    <w:p>
      <w:pPr>
        <w:spacing w:after="0" w:line="24" w:lineRule="exact"/>
        <w:rPr>
          <w:sz w:val="24"/>
          <w:szCs w:val="24"/>
          <w:color w:val="auto"/>
        </w:rPr>
      </w:pPr>
    </w:p>
    <w:p>
      <w:pPr>
        <w:spacing w:after="0"/>
        <w:tabs>
          <w:tab w:leader="none" w:pos="480" w:val="left"/>
        </w:tabs>
        <w:rPr>
          <w:sz w:val="20"/>
          <w:szCs w:val="20"/>
          <w:color w:val="auto"/>
        </w:rPr>
      </w:pPr>
      <w:r>
        <w:rPr>
          <w:rFonts w:ascii="Segoe UI" w:cs="Segoe UI" w:eastAsia="Segoe UI" w:hAnsi="Segoe UI"/>
          <w:sz w:val="18"/>
          <w:szCs w:val="18"/>
          <w:color w:val="auto"/>
        </w:rPr>
        <w:t>տ</w:t>
      </w:r>
      <w:r>
        <w:rPr>
          <w:sz w:val="20"/>
          <w:szCs w:val="20"/>
          <w:color w:val="auto"/>
        </w:rPr>
        <w:tab/>
      </w:r>
      <w:r>
        <w:rPr>
          <w:rFonts w:ascii="Calibri" w:cs="Calibri" w:eastAsia="Calibri" w:hAnsi="Calibri"/>
          <w:sz w:val="18"/>
          <w:szCs w:val="18"/>
          <w:b w:val="1"/>
          <w:bCs w:val="1"/>
          <w:color w:val="auto"/>
        </w:rPr>
        <w:t>TRANSITION REPORT PURSUANT TO SECTION 13 OR 15(d) OF THE SECURITIES EXCHANGE ACT OF 1934</w:t>
      </w:r>
    </w:p>
    <w:p>
      <w:pPr>
        <w:spacing w:after="0" w:line="81" w:lineRule="exact"/>
        <w:rPr>
          <w:sz w:val="24"/>
          <w:szCs w:val="24"/>
          <w:color w:val="auto"/>
        </w:rPr>
      </w:pPr>
    </w:p>
    <w:p>
      <w:pPr>
        <w:ind w:left="3740"/>
        <w:spacing w:after="0"/>
        <w:rPr>
          <w:sz w:val="20"/>
          <w:szCs w:val="20"/>
          <w:color w:val="auto"/>
        </w:rPr>
      </w:pPr>
      <w:r>
        <w:rPr>
          <w:rFonts w:ascii="Calibri" w:cs="Calibri" w:eastAsia="Calibri" w:hAnsi="Calibri"/>
          <w:sz w:val="16"/>
          <w:szCs w:val="16"/>
          <w:b w:val="1"/>
          <w:bCs w:val="1"/>
          <w:color w:val="auto"/>
        </w:rPr>
        <w:t>For the transition period from _________ to _________</w:t>
      </w:r>
    </w:p>
    <w:p>
      <w:pPr>
        <w:spacing w:after="0" w:line="16"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Commission File Number: 001 - 36721</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2657475</wp:posOffset>
                </wp:positionH>
                <wp:positionV relativeFrom="paragraph">
                  <wp:posOffset>45085</wp:posOffset>
                </wp:positionV>
                <wp:extent cx="176974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69745"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25pt,3.55pt" to="348.6pt,3.55pt" o:allowincell="f" strokecolor="#000000" strokeweight="1.02pt"/>
            </w:pict>
          </mc:Fallback>
        </mc:AlternateContent>
      </w:r>
    </w:p>
    <w:p>
      <w:pPr>
        <w:spacing w:after="0" w:line="83" w:lineRule="exact"/>
        <w:rPr>
          <w:sz w:val="24"/>
          <w:szCs w:val="24"/>
          <w:color w:val="auto"/>
        </w:rPr>
      </w:pPr>
    </w:p>
    <w:tbl>
      <w:tblPr>
        <w:tblLayout w:type="fixed"/>
        <w:tblInd w:w="1240" w:type="dxa"/>
        <w:tblCellMar>
          <w:top w:w="0" w:type="dxa"/>
          <w:left w:w="0" w:type="dxa"/>
          <w:bottom w:w="0" w:type="dxa"/>
          <w:right w:w="0" w:type="dxa"/>
        </w:tblCellMar>
      </w:tblPr>
      <w:tr>
        <w:trPr>
          <w:trHeight w:val="457"/>
        </w:trPr>
        <w:tc>
          <w:tcPr>
            <w:tcW w:w="2580" w:type="dxa"/>
            <w:vAlign w:val="bottom"/>
          </w:tcPr>
          <w:p>
            <w:pPr>
              <w:spacing w:after="0"/>
              <w:rPr>
                <w:sz w:val="24"/>
                <w:szCs w:val="24"/>
                <w:color w:val="auto"/>
              </w:rPr>
            </w:pPr>
          </w:p>
        </w:tc>
        <w:tc>
          <w:tcPr>
            <w:tcW w:w="5420" w:type="dxa"/>
            <w:vAlign w:val="bottom"/>
            <w:gridSpan w:val="3"/>
          </w:tcPr>
          <w:p>
            <w:pPr>
              <w:jc w:val="center"/>
              <w:ind w:right="1820"/>
              <w:spacing w:after="0"/>
              <w:rPr>
                <w:sz w:val="20"/>
                <w:szCs w:val="20"/>
                <w:color w:val="auto"/>
              </w:rPr>
            </w:pPr>
            <w:r>
              <w:rPr>
                <w:rFonts w:ascii="Calibri" w:cs="Calibri" w:eastAsia="Calibri" w:hAnsi="Calibri"/>
                <w:sz w:val="36"/>
                <w:szCs w:val="36"/>
                <w:b w:val="1"/>
                <w:bCs w:val="1"/>
                <w:color w:val="auto"/>
                <w:w w:val="99"/>
              </w:rPr>
              <w:t>Coherus Oncology, Inc.</w:t>
            </w:r>
          </w:p>
        </w:tc>
        <w:tc>
          <w:tcPr>
            <w:tcW w:w="0" w:type="dxa"/>
            <w:vAlign w:val="bottom"/>
          </w:tcPr>
          <w:p>
            <w:pPr>
              <w:spacing w:after="0"/>
              <w:rPr>
                <w:sz w:val="1"/>
                <w:szCs w:val="1"/>
                <w:color w:val="auto"/>
              </w:rPr>
            </w:pPr>
          </w:p>
        </w:tc>
      </w:tr>
      <w:tr>
        <w:trPr>
          <w:trHeight w:val="220"/>
        </w:trPr>
        <w:tc>
          <w:tcPr>
            <w:tcW w:w="2580" w:type="dxa"/>
            <w:vAlign w:val="bottom"/>
          </w:tcPr>
          <w:p>
            <w:pPr>
              <w:spacing w:after="0"/>
              <w:rPr>
                <w:sz w:val="19"/>
                <w:szCs w:val="19"/>
                <w:color w:val="auto"/>
              </w:rPr>
            </w:pPr>
          </w:p>
        </w:tc>
        <w:tc>
          <w:tcPr>
            <w:tcW w:w="5420" w:type="dxa"/>
            <w:vAlign w:val="bottom"/>
            <w:gridSpan w:val="3"/>
          </w:tcPr>
          <w:p>
            <w:pPr>
              <w:jc w:val="center"/>
              <w:ind w:right="1820"/>
              <w:spacing w:after="0"/>
              <w:rPr>
                <w:sz w:val="20"/>
                <w:szCs w:val="20"/>
                <w:color w:val="auto"/>
              </w:rPr>
            </w:pPr>
            <w:r>
              <w:rPr>
                <w:rFonts w:ascii="Calibri" w:cs="Calibri" w:eastAsia="Calibri" w:hAnsi="Calibri"/>
                <w:sz w:val="16"/>
                <w:szCs w:val="16"/>
                <w:b w:val="1"/>
                <w:bCs w:val="1"/>
                <w:color w:val="auto"/>
                <w:w w:val="99"/>
              </w:rPr>
              <w:t>(Exact name of registrant as specified in its charter)</w:t>
            </w:r>
          </w:p>
        </w:tc>
        <w:tc>
          <w:tcPr>
            <w:tcW w:w="0" w:type="dxa"/>
            <w:vAlign w:val="bottom"/>
          </w:tcPr>
          <w:p>
            <w:pPr>
              <w:spacing w:after="0"/>
              <w:rPr>
                <w:sz w:val="1"/>
                <w:szCs w:val="1"/>
                <w:color w:val="auto"/>
              </w:rPr>
            </w:pPr>
          </w:p>
        </w:tc>
      </w:tr>
      <w:tr>
        <w:trPr>
          <w:trHeight w:val="38"/>
        </w:trPr>
        <w:tc>
          <w:tcPr>
            <w:tcW w:w="2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2580" w:type="dxa"/>
            <w:vAlign w:val="bottom"/>
          </w:tcPr>
          <w:p>
            <w:pPr>
              <w:jc w:val="center"/>
              <w:spacing w:after="0"/>
              <w:rPr>
                <w:sz w:val="20"/>
                <w:szCs w:val="20"/>
                <w:color w:val="auto"/>
              </w:rPr>
            </w:pPr>
            <w:r>
              <w:rPr>
                <w:rFonts w:ascii="Calibri" w:cs="Calibri" w:eastAsia="Calibri" w:hAnsi="Calibri"/>
                <w:sz w:val="16"/>
                <w:szCs w:val="16"/>
                <w:b w:val="1"/>
                <w:bCs w:val="1"/>
                <w:color w:val="auto"/>
                <w:w w:val="97"/>
              </w:rPr>
              <w:t>Delaware</w:t>
            </w:r>
          </w:p>
        </w:tc>
        <w:tc>
          <w:tcPr>
            <w:tcW w:w="5420" w:type="dxa"/>
            <w:vAlign w:val="bottom"/>
            <w:gridSpan w:val="3"/>
          </w:tcPr>
          <w:p>
            <w:pPr>
              <w:jc w:val="right"/>
              <w:ind w:right="140"/>
              <w:spacing w:after="0"/>
              <w:rPr>
                <w:sz w:val="20"/>
                <w:szCs w:val="20"/>
                <w:color w:val="auto"/>
              </w:rPr>
            </w:pPr>
            <w:r>
              <w:rPr>
                <w:rFonts w:ascii="Calibri" w:cs="Calibri" w:eastAsia="Calibri" w:hAnsi="Calibri"/>
                <w:sz w:val="16"/>
                <w:szCs w:val="16"/>
                <w:b w:val="1"/>
                <w:bCs w:val="1"/>
                <w:color w:val="auto"/>
              </w:rPr>
              <w:t>27 - 3615821</w:t>
            </w:r>
          </w:p>
        </w:tc>
        <w:tc>
          <w:tcPr>
            <w:tcW w:w="0" w:type="dxa"/>
            <w:vAlign w:val="bottom"/>
          </w:tcPr>
          <w:p>
            <w:pPr>
              <w:spacing w:after="0"/>
              <w:rPr>
                <w:sz w:val="1"/>
                <w:szCs w:val="1"/>
                <w:color w:val="auto"/>
              </w:rPr>
            </w:pPr>
          </w:p>
        </w:tc>
      </w:tr>
      <w:tr>
        <w:trPr>
          <w:trHeight w:val="196"/>
        </w:trPr>
        <w:tc>
          <w:tcPr>
            <w:tcW w:w="2580" w:type="dxa"/>
            <w:vAlign w:val="bottom"/>
          </w:tcPr>
          <w:p>
            <w:pPr>
              <w:jc w:val="center"/>
              <w:spacing w:after="0"/>
              <w:rPr>
                <w:sz w:val="20"/>
                <w:szCs w:val="20"/>
                <w:color w:val="auto"/>
              </w:rPr>
            </w:pPr>
            <w:r>
              <w:rPr>
                <w:rFonts w:ascii="Calibri" w:cs="Calibri" w:eastAsia="Calibri" w:hAnsi="Calibri"/>
                <w:sz w:val="16"/>
                <w:szCs w:val="16"/>
                <w:b w:val="1"/>
                <w:bCs w:val="1"/>
                <w:color w:val="auto"/>
              </w:rPr>
              <w:t>(State or other jurisdiction of</w:t>
            </w:r>
          </w:p>
        </w:tc>
        <w:tc>
          <w:tcPr>
            <w:tcW w:w="3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260" w:type="dxa"/>
            <w:vAlign w:val="bottom"/>
          </w:tcPr>
          <w:p>
            <w:pPr>
              <w:jc w:val="center"/>
              <w:ind w:left="960"/>
              <w:spacing w:after="0"/>
              <w:rPr>
                <w:sz w:val="20"/>
                <w:szCs w:val="20"/>
                <w:color w:val="auto"/>
              </w:rPr>
            </w:pPr>
            <w:r>
              <w:rPr>
                <w:rFonts w:ascii="Calibri" w:cs="Calibri" w:eastAsia="Calibri" w:hAnsi="Calibri"/>
                <w:sz w:val="16"/>
                <w:szCs w:val="16"/>
                <w:b w:val="1"/>
                <w:bCs w:val="1"/>
                <w:color w:val="auto"/>
              </w:rPr>
              <w:t>(I.R.S. Employer</w:t>
            </w:r>
          </w:p>
        </w:tc>
        <w:tc>
          <w:tcPr>
            <w:tcW w:w="0" w:type="dxa"/>
            <w:vAlign w:val="bottom"/>
          </w:tcPr>
          <w:p>
            <w:pPr>
              <w:spacing w:after="0"/>
              <w:rPr>
                <w:sz w:val="1"/>
                <w:szCs w:val="1"/>
                <w:color w:val="auto"/>
              </w:rPr>
            </w:pPr>
          </w:p>
        </w:tc>
      </w:tr>
      <w:tr>
        <w:trPr>
          <w:trHeight w:val="220"/>
        </w:trPr>
        <w:tc>
          <w:tcPr>
            <w:tcW w:w="2580" w:type="dxa"/>
            <w:vAlign w:val="bottom"/>
          </w:tcPr>
          <w:p>
            <w:pPr>
              <w:jc w:val="center"/>
              <w:spacing w:after="0"/>
              <w:rPr>
                <w:sz w:val="20"/>
                <w:szCs w:val="20"/>
                <w:color w:val="auto"/>
              </w:rPr>
            </w:pPr>
            <w:r>
              <w:rPr>
                <w:rFonts w:ascii="Calibri" w:cs="Calibri" w:eastAsia="Calibri" w:hAnsi="Calibri"/>
                <w:sz w:val="16"/>
                <w:szCs w:val="16"/>
                <w:b w:val="1"/>
                <w:bCs w:val="1"/>
                <w:color w:val="auto"/>
              </w:rPr>
              <w:t>incorporation or organization)</w:t>
            </w:r>
          </w:p>
        </w:tc>
        <w:tc>
          <w:tcPr>
            <w:tcW w:w="3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260" w:type="dxa"/>
            <w:vAlign w:val="bottom"/>
          </w:tcPr>
          <w:p>
            <w:pPr>
              <w:jc w:val="center"/>
              <w:ind w:left="960"/>
              <w:spacing w:after="0"/>
              <w:rPr>
                <w:sz w:val="20"/>
                <w:szCs w:val="20"/>
                <w:color w:val="auto"/>
              </w:rPr>
            </w:pPr>
            <w:r>
              <w:rPr>
                <w:rFonts w:ascii="Calibri" w:cs="Calibri" w:eastAsia="Calibri" w:hAnsi="Calibri"/>
                <w:sz w:val="16"/>
                <w:szCs w:val="16"/>
                <w:b w:val="1"/>
                <w:bCs w:val="1"/>
                <w:color w:val="auto"/>
              </w:rPr>
              <w:t>Identification No.)</w:t>
            </w:r>
          </w:p>
        </w:tc>
        <w:tc>
          <w:tcPr>
            <w:tcW w:w="0" w:type="dxa"/>
            <w:vAlign w:val="bottom"/>
          </w:tcPr>
          <w:p>
            <w:pPr>
              <w:spacing w:after="0"/>
              <w:rPr>
                <w:sz w:val="1"/>
                <w:szCs w:val="1"/>
                <w:color w:val="auto"/>
              </w:rPr>
            </w:pPr>
          </w:p>
        </w:tc>
      </w:tr>
      <w:tr>
        <w:trPr>
          <w:trHeight w:val="366"/>
        </w:trPr>
        <w:tc>
          <w:tcPr>
            <w:tcW w:w="2580" w:type="dxa"/>
            <w:vAlign w:val="bottom"/>
          </w:tcPr>
          <w:p>
            <w:pPr>
              <w:jc w:val="center"/>
              <w:spacing w:after="0"/>
              <w:rPr>
                <w:sz w:val="20"/>
                <w:szCs w:val="20"/>
                <w:color w:val="auto"/>
              </w:rPr>
            </w:pPr>
            <w:r>
              <w:rPr>
                <w:rFonts w:ascii="Calibri" w:cs="Calibri" w:eastAsia="Calibri" w:hAnsi="Calibri"/>
                <w:sz w:val="16"/>
                <w:szCs w:val="16"/>
                <w:b w:val="1"/>
                <w:bCs w:val="1"/>
                <w:color w:val="auto"/>
              </w:rPr>
              <w:t>333 Twin Dolphin Drive, Suite 600</w:t>
            </w:r>
          </w:p>
        </w:tc>
        <w:tc>
          <w:tcPr>
            <w:tcW w:w="5420" w:type="dxa"/>
            <w:vAlign w:val="bottom"/>
            <w:gridSpan w:val="3"/>
          </w:tcPr>
          <w:p>
            <w:pPr>
              <w:jc w:val="right"/>
              <w:ind w:right="320"/>
              <w:spacing w:after="0"/>
              <w:rPr>
                <w:sz w:val="20"/>
                <w:szCs w:val="20"/>
                <w:color w:val="auto"/>
              </w:rPr>
            </w:pPr>
            <w:r>
              <w:rPr>
                <w:rFonts w:ascii="Calibri" w:cs="Calibri" w:eastAsia="Calibri" w:hAnsi="Calibri"/>
                <w:sz w:val="16"/>
                <w:szCs w:val="16"/>
                <w:b w:val="1"/>
                <w:bCs w:val="1"/>
                <w:color w:val="auto"/>
              </w:rPr>
              <w:t>94065</w:t>
            </w:r>
          </w:p>
        </w:tc>
        <w:tc>
          <w:tcPr>
            <w:tcW w:w="0" w:type="dxa"/>
            <w:vAlign w:val="bottom"/>
          </w:tcPr>
          <w:p>
            <w:pPr>
              <w:spacing w:after="0"/>
              <w:rPr>
                <w:sz w:val="1"/>
                <w:szCs w:val="1"/>
                <w:color w:val="auto"/>
              </w:rPr>
            </w:pPr>
          </w:p>
        </w:tc>
      </w:tr>
      <w:tr>
        <w:trPr>
          <w:trHeight w:val="196"/>
        </w:trPr>
        <w:tc>
          <w:tcPr>
            <w:tcW w:w="2580" w:type="dxa"/>
            <w:vAlign w:val="bottom"/>
          </w:tcPr>
          <w:p>
            <w:pPr>
              <w:jc w:val="center"/>
              <w:spacing w:after="0"/>
              <w:rPr>
                <w:sz w:val="20"/>
                <w:szCs w:val="20"/>
                <w:color w:val="auto"/>
              </w:rPr>
            </w:pPr>
            <w:r>
              <w:rPr>
                <w:rFonts w:ascii="Calibri" w:cs="Calibri" w:eastAsia="Calibri" w:hAnsi="Calibri"/>
                <w:sz w:val="16"/>
                <w:szCs w:val="16"/>
                <w:b w:val="1"/>
                <w:bCs w:val="1"/>
                <w:color w:val="auto"/>
              </w:rPr>
              <w:t>Redwood City, California 94065</w:t>
            </w:r>
          </w:p>
        </w:tc>
        <w:tc>
          <w:tcPr>
            <w:tcW w:w="3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260" w:type="dxa"/>
            <w:vAlign w:val="bottom"/>
          </w:tcPr>
          <w:p>
            <w:pPr>
              <w:jc w:val="center"/>
              <w:ind w:left="960"/>
              <w:spacing w:after="0"/>
              <w:rPr>
                <w:sz w:val="20"/>
                <w:szCs w:val="20"/>
                <w:color w:val="auto"/>
              </w:rPr>
            </w:pPr>
            <w:r>
              <w:rPr>
                <w:rFonts w:ascii="Calibri" w:cs="Calibri" w:eastAsia="Calibri" w:hAnsi="Calibri"/>
                <w:sz w:val="16"/>
                <w:szCs w:val="16"/>
                <w:b w:val="1"/>
                <w:bCs w:val="1"/>
                <w:color w:val="auto"/>
                <w:w w:val="97"/>
              </w:rPr>
              <w:t>(Zip Code)</w:t>
            </w:r>
          </w:p>
        </w:tc>
        <w:tc>
          <w:tcPr>
            <w:tcW w:w="0" w:type="dxa"/>
            <w:vAlign w:val="bottom"/>
          </w:tcPr>
          <w:p>
            <w:pPr>
              <w:spacing w:after="0"/>
              <w:rPr>
                <w:sz w:val="1"/>
                <w:szCs w:val="1"/>
                <w:color w:val="auto"/>
              </w:rPr>
            </w:pPr>
          </w:p>
        </w:tc>
      </w:tr>
      <w:tr>
        <w:trPr>
          <w:trHeight w:val="220"/>
        </w:trPr>
        <w:tc>
          <w:tcPr>
            <w:tcW w:w="2580" w:type="dxa"/>
            <w:vAlign w:val="bottom"/>
          </w:tcPr>
          <w:p>
            <w:pPr>
              <w:jc w:val="center"/>
              <w:spacing w:after="0"/>
              <w:rPr>
                <w:sz w:val="20"/>
                <w:szCs w:val="20"/>
                <w:color w:val="auto"/>
              </w:rPr>
            </w:pPr>
            <w:r>
              <w:rPr>
                <w:rFonts w:ascii="Calibri" w:cs="Calibri" w:eastAsia="Calibri" w:hAnsi="Calibri"/>
                <w:sz w:val="16"/>
                <w:szCs w:val="16"/>
                <w:b w:val="1"/>
                <w:bCs w:val="1"/>
                <w:color w:val="auto"/>
              </w:rPr>
              <w:t>(Address of principal executive offices)</w:t>
            </w:r>
          </w:p>
        </w:tc>
        <w:tc>
          <w:tcPr>
            <w:tcW w:w="3160" w:type="dxa"/>
            <w:vAlign w:val="bottom"/>
            <w:gridSpan w:val="2"/>
            <w:vMerge w:val="restart"/>
          </w:tcPr>
          <w:p>
            <w:pPr>
              <w:jc w:val="right"/>
              <w:ind w:right="940"/>
              <w:spacing w:after="0"/>
              <w:rPr>
                <w:sz w:val="20"/>
                <w:szCs w:val="20"/>
                <w:color w:val="auto"/>
              </w:rPr>
            </w:pPr>
            <w:r>
              <w:rPr>
                <w:rFonts w:ascii="Calibri" w:cs="Calibri" w:eastAsia="Calibri" w:hAnsi="Calibri"/>
                <w:sz w:val="16"/>
                <w:szCs w:val="16"/>
                <w:b w:val="1"/>
                <w:bCs w:val="1"/>
                <w:color w:val="auto"/>
              </w:rPr>
              <w:t>(650) 649-3530</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3160" w:type="dxa"/>
            <w:vAlign w:val="bottom"/>
            <w:gridSpan w:val="2"/>
            <w:vMerge w:val="continue"/>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580" w:type="dxa"/>
            <w:vAlign w:val="bottom"/>
          </w:tcPr>
          <w:p>
            <w:pPr>
              <w:spacing w:after="0"/>
              <w:rPr>
                <w:sz w:val="19"/>
                <w:szCs w:val="19"/>
                <w:color w:val="auto"/>
              </w:rPr>
            </w:pPr>
          </w:p>
        </w:tc>
        <w:tc>
          <w:tcPr>
            <w:tcW w:w="5420" w:type="dxa"/>
            <w:vAlign w:val="bottom"/>
            <w:gridSpan w:val="3"/>
          </w:tcPr>
          <w:p>
            <w:pPr>
              <w:jc w:val="center"/>
              <w:ind w:right="1820"/>
              <w:spacing w:after="0"/>
              <w:rPr>
                <w:sz w:val="20"/>
                <w:szCs w:val="20"/>
                <w:color w:val="auto"/>
              </w:rPr>
            </w:pPr>
            <w:r>
              <w:rPr>
                <w:rFonts w:ascii="Calibri" w:cs="Calibri" w:eastAsia="Calibri" w:hAnsi="Calibri"/>
                <w:sz w:val="16"/>
                <w:szCs w:val="16"/>
                <w:b w:val="1"/>
                <w:bCs w:val="1"/>
                <w:color w:val="auto"/>
                <w:w w:val="99"/>
              </w:rPr>
              <w:t>(Registrant’s telephone number, including area code)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2656840</wp:posOffset>
                </wp:positionH>
                <wp:positionV relativeFrom="paragraph">
                  <wp:posOffset>138430</wp:posOffset>
                </wp:positionV>
                <wp:extent cx="177038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0380" cy="4763"/>
                        </a:xfrm>
                        <a:prstGeom prst="line">
                          <a:avLst/>
                        </a:prstGeom>
                        <a:solidFill>
                          <a:srgbClr val="FFFFFF"/>
                        </a:solidFill>
                        <a:ln w="1295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2pt,10.9pt" to="348.6pt,10.9pt" o:allowincell="f" strokecolor="#000000" strokeweight="1.0201pt"/>
            </w:pict>
          </mc:Fallback>
        </mc:AlternateContent>
      </w:r>
    </w:p>
    <w:p>
      <w:pPr>
        <w:spacing w:after="0" w:line="249"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Securities registered pursuant to Section 12(b) of the Act:</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Trading</w:t>
            </w:r>
          </w:p>
        </w:tc>
        <w:tc>
          <w:tcPr>
            <w:tcW w:w="160" w:type="dxa"/>
            <w:vAlign w:val="bottom"/>
          </w:tcPr>
          <w:p>
            <w:pPr>
              <w:spacing w:after="0"/>
              <w:rPr>
                <w:sz w:val="17"/>
                <w:szCs w:val="17"/>
                <w:color w:val="auto"/>
              </w:rPr>
            </w:pPr>
          </w:p>
        </w:tc>
        <w:tc>
          <w:tcPr>
            <w:tcW w:w="4980" w:type="dxa"/>
            <w:vAlign w:val="bottom"/>
          </w:tcPr>
          <w:p>
            <w:pPr>
              <w:spacing w:after="0"/>
              <w:rPr>
                <w:sz w:val="17"/>
                <w:szCs w:val="17"/>
                <w:color w:val="auto"/>
              </w:rPr>
            </w:pPr>
          </w:p>
        </w:tc>
      </w:tr>
      <w:tr>
        <w:trPr>
          <w:trHeight w:val="209"/>
        </w:trPr>
        <w:tc>
          <w:tcPr>
            <w:tcW w:w="4200" w:type="dxa"/>
            <w:vAlign w:val="bottom"/>
            <w:tcBorders>
              <w:bottom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9"/>
              </w:rPr>
              <w:t>Title of each class</w:t>
            </w:r>
          </w:p>
        </w:tc>
        <w:tc>
          <w:tcPr>
            <w:tcW w:w="16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Calibri" w:cs="Calibri" w:eastAsia="Calibri" w:hAnsi="Calibri"/>
                <w:sz w:val="16"/>
                <w:szCs w:val="16"/>
                <w:b w:val="1"/>
                <w:bCs w:val="1"/>
                <w:color w:val="auto"/>
              </w:rPr>
              <w:t>Symbol(s)</w:t>
            </w:r>
          </w:p>
        </w:tc>
        <w:tc>
          <w:tcPr>
            <w:tcW w:w="160" w:type="dxa"/>
            <w:vAlign w:val="bottom"/>
          </w:tcPr>
          <w:p>
            <w:pPr>
              <w:spacing w:after="0"/>
              <w:rPr>
                <w:sz w:val="18"/>
                <w:szCs w:val="18"/>
                <w:color w:val="auto"/>
              </w:rPr>
            </w:pPr>
          </w:p>
        </w:tc>
        <w:tc>
          <w:tcPr>
            <w:tcW w:w="4980" w:type="dxa"/>
            <w:vAlign w:val="bottom"/>
            <w:tcBorders>
              <w:bottom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9"/>
              </w:rPr>
              <w:t>Name of each exchange on which registered</w:t>
            </w:r>
          </w:p>
        </w:tc>
      </w:tr>
      <w:tr>
        <w:trPr>
          <w:trHeight w:val="229"/>
        </w:trPr>
        <w:tc>
          <w:tcPr>
            <w:tcW w:w="4200" w:type="dxa"/>
            <w:vAlign w:val="bottom"/>
          </w:tcPr>
          <w:p>
            <w:pPr>
              <w:jc w:val="center"/>
              <w:spacing w:after="0"/>
              <w:rPr>
                <w:sz w:val="20"/>
                <w:szCs w:val="20"/>
                <w:color w:val="auto"/>
              </w:rPr>
            </w:pPr>
            <w:r>
              <w:rPr>
                <w:rFonts w:ascii="Calibri" w:cs="Calibri" w:eastAsia="Calibri" w:hAnsi="Calibri"/>
                <w:sz w:val="18"/>
                <w:szCs w:val="18"/>
                <w:color w:val="auto"/>
                <w:w w:val="99"/>
              </w:rPr>
              <w:t>Common Stock, $0.0001 par value per share</w:t>
            </w:r>
          </w:p>
        </w:tc>
        <w:tc>
          <w:tcPr>
            <w:tcW w:w="1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Calibri" w:cs="Calibri" w:eastAsia="Calibri" w:hAnsi="Calibri"/>
                <w:sz w:val="18"/>
                <w:szCs w:val="18"/>
                <w:color w:val="auto"/>
                <w:w w:val="97"/>
              </w:rPr>
              <w:t>CHRS</w:t>
            </w:r>
          </w:p>
        </w:tc>
        <w:tc>
          <w:tcPr>
            <w:tcW w:w="160" w:type="dxa"/>
            <w:vAlign w:val="bottom"/>
          </w:tcPr>
          <w:p>
            <w:pPr>
              <w:spacing w:after="0"/>
              <w:rPr>
                <w:sz w:val="19"/>
                <w:szCs w:val="19"/>
                <w:color w:val="auto"/>
              </w:rPr>
            </w:pPr>
          </w:p>
        </w:tc>
        <w:tc>
          <w:tcPr>
            <w:tcW w:w="4980" w:type="dxa"/>
            <w:vAlign w:val="bottom"/>
          </w:tcPr>
          <w:p>
            <w:pPr>
              <w:jc w:val="center"/>
              <w:spacing w:after="0"/>
              <w:rPr>
                <w:sz w:val="20"/>
                <w:szCs w:val="20"/>
                <w:color w:val="auto"/>
              </w:rPr>
            </w:pPr>
            <w:r>
              <w:rPr>
                <w:rFonts w:ascii="Calibri" w:cs="Calibri" w:eastAsia="Calibri" w:hAnsi="Calibri"/>
                <w:sz w:val="18"/>
                <w:szCs w:val="18"/>
                <w:color w:val="auto"/>
              </w:rPr>
              <w:t>The Nasdaq Global Market</w:t>
            </w:r>
          </w:p>
        </w:tc>
      </w:tr>
    </w:tbl>
    <w:p>
      <w:pPr>
        <w:spacing w:after="0" w:line="66"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Securities Registered Pursuant to Section 12(g) of the Act: None</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2656840</wp:posOffset>
                </wp:positionH>
                <wp:positionV relativeFrom="paragraph">
                  <wp:posOffset>45085</wp:posOffset>
                </wp:positionV>
                <wp:extent cx="177038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0380" cy="4763"/>
                        </a:xfrm>
                        <a:prstGeom prst="line">
                          <a:avLst/>
                        </a:prstGeom>
                        <a:solidFill>
                          <a:srgbClr val="FFFFFF"/>
                        </a:solidFill>
                        <a:ln w="1295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2pt,3.55pt" to="348.6pt,3.55pt" o:allowincell="f" strokecolor="#000000" strokeweight="1.0201pt"/>
            </w:pict>
          </mc:Fallback>
        </mc:AlternateContent>
      </w:r>
    </w:p>
    <w:p>
      <w:pPr>
        <w:spacing w:after="0" w:line="88" w:lineRule="exact"/>
        <w:rPr>
          <w:sz w:val="24"/>
          <w:szCs w:val="24"/>
          <w:color w:val="auto"/>
        </w:rPr>
      </w:pPr>
    </w:p>
    <w:p>
      <w:pPr>
        <w:ind w:right="2320"/>
        <w:spacing w:after="0" w:line="339" w:lineRule="auto"/>
        <w:rPr>
          <w:sz w:val="20"/>
          <w:szCs w:val="20"/>
          <w:color w:val="auto"/>
        </w:rPr>
      </w:pPr>
      <w:r>
        <w:rPr>
          <w:rFonts w:ascii="Calibri" w:cs="Calibri" w:eastAsia="Calibri" w:hAnsi="Calibri"/>
          <w:sz w:val="16"/>
          <w:szCs w:val="16"/>
          <w:color w:val="auto"/>
        </w:rPr>
        <w:t xml:space="preserve">Indicate by check mark if the registrant is a well-known seasoned issuer, as defined in Rule 405 of the Securities Act. Yes </w:t>
      </w:r>
      <w:r>
        <w:rPr>
          <w:rFonts w:ascii="Segoe UI" w:cs="Segoe UI" w:eastAsia="Segoe UI" w:hAnsi="Segoe UI"/>
          <w:sz w:val="16"/>
          <w:szCs w:val="16"/>
          <w:color w:val="auto"/>
        </w:rPr>
        <w:t>տ</w:t>
      </w:r>
      <w:r>
        <w:rPr>
          <w:rFonts w:ascii="Calibri" w:cs="Calibri" w:eastAsia="Calibri" w:hAnsi="Calibri"/>
          <w:sz w:val="16"/>
          <w:szCs w:val="16"/>
          <w:color w:val="auto"/>
        </w:rPr>
        <w:t xml:space="preserve"> No </w:t>
      </w:r>
      <w:r>
        <w:rPr>
          <w:rFonts w:ascii="Segoe UI" w:cs="Segoe UI" w:eastAsia="Segoe UI" w:hAnsi="Segoe UI"/>
          <w:sz w:val="16"/>
          <w:szCs w:val="16"/>
          <w:color w:val="auto"/>
        </w:rPr>
        <w:t>ց</w:t>
      </w:r>
      <w:r>
        <w:rPr>
          <w:rFonts w:ascii="Calibri" w:cs="Calibri" w:eastAsia="Calibri" w:hAnsi="Calibri"/>
          <w:sz w:val="16"/>
          <w:szCs w:val="16"/>
          <w:color w:val="auto"/>
        </w:rPr>
        <w:t xml:space="preserve"> Indicate by check mark if the registrant is not required to file reports pursuant to Section 13 or Section 15(d) of the Act. Yes </w:t>
      </w:r>
      <w:r>
        <w:rPr>
          <w:rFonts w:ascii="Segoe UI" w:cs="Segoe UI" w:eastAsia="Segoe UI" w:hAnsi="Segoe UI"/>
          <w:sz w:val="16"/>
          <w:szCs w:val="16"/>
          <w:color w:val="auto"/>
        </w:rPr>
        <w:t>տ</w:t>
      </w:r>
      <w:r>
        <w:rPr>
          <w:rFonts w:ascii="Calibri" w:cs="Calibri" w:eastAsia="Calibri" w:hAnsi="Calibri"/>
          <w:sz w:val="16"/>
          <w:szCs w:val="16"/>
          <w:color w:val="auto"/>
        </w:rPr>
        <w:t xml:space="preserve"> No </w:t>
      </w:r>
      <w:r>
        <w:rPr>
          <w:rFonts w:ascii="Segoe UI" w:cs="Segoe UI" w:eastAsia="Segoe UI" w:hAnsi="Segoe UI"/>
          <w:sz w:val="16"/>
          <w:szCs w:val="16"/>
          <w:color w:val="auto"/>
        </w:rPr>
        <w:t>ց</w:t>
      </w:r>
    </w:p>
    <w:p>
      <w:pPr>
        <w:jc w:val="both"/>
        <w:spacing w:after="0" w:line="255" w:lineRule="auto"/>
        <w:rPr>
          <w:sz w:val="20"/>
          <w:szCs w:val="20"/>
          <w:color w:val="auto"/>
        </w:rPr>
      </w:pPr>
      <w:r>
        <w:rPr>
          <w:rFonts w:ascii="Calibri" w:cs="Calibri" w:eastAsia="Calibri" w:hAnsi="Calibri"/>
          <w:sz w:val="16"/>
          <w:szCs w:val="16"/>
          <w:color w:val="auto"/>
        </w:rPr>
        <w:t xml:space="preserve">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Yes </w:t>
      </w:r>
      <w:r>
        <w:rPr>
          <w:rFonts w:ascii="Segoe UI" w:cs="Segoe UI" w:eastAsia="Segoe UI" w:hAnsi="Segoe UI"/>
          <w:sz w:val="16"/>
          <w:szCs w:val="16"/>
          <w:color w:val="auto"/>
        </w:rPr>
        <w:t>ց</w:t>
      </w:r>
      <w:r>
        <w:rPr>
          <w:rFonts w:ascii="Calibri" w:cs="Calibri" w:eastAsia="Calibri" w:hAnsi="Calibri"/>
          <w:sz w:val="16"/>
          <w:szCs w:val="16"/>
          <w:color w:val="auto"/>
        </w:rPr>
        <w:t xml:space="preserve"> No </w:t>
      </w:r>
      <w:r>
        <w:rPr>
          <w:rFonts w:ascii="Segoe UI" w:cs="Segoe UI" w:eastAsia="Segoe UI" w:hAnsi="Segoe UI"/>
          <w:sz w:val="16"/>
          <w:szCs w:val="16"/>
          <w:color w:val="auto"/>
        </w:rPr>
        <w:t>տ</w:t>
      </w:r>
    </w:p>
    <w:p>
      <w:pPr>
        <w:spacing w:after="0" w:line="1" w:lineRule="exact"/>
        <w:rPr>
          <w:sz w:val="24"/>
          <w:szCs w:val="24"/>
          <w:color w:val="auto"/>
        </w:rPr>
      </w:pPr>
    </w:p>
    <w:p>
      <w:pPr>
        <w:jc w:val="both"/>
        <w:spacing w:after="0" w:line="263" w:lineRule="auto"/>
        <w:rPr>
          <w:sz w:val="20"/>
          <w:szCs w:val="20"/>
          <w:color w:val="auto"/>
        </w:rPr>
      </w:pPr>
      <w:r>
        <w:rPr>
          <w:rFonts w:ascii="Calibri" w:cs="Calibri" w:eastAsia="Calibri" w:hAnsi="Calibri"/>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Segoe UI" w:cs="Segoe UI" w:eastAsia="Segoe UI" w:hAnsi="Segoe UI"/>
          <w:sz w:val="16"/>
          <w:szCs w:val="16"/>
          <w:color w:val="auto"/>
        </w:rPr>
        <w:t>ց</w:t>
      </w:r>
      <w:r>
        <w:rPr>
          <w:rFonts w:ascii="Calibri" w:cs="Calibri" w:eastAsia="Calibri" w:hAnsi="Calibri"/>
          <w:sz w:val="16"/>
          <w:szCs w:val="16"/>
          <w:color w:val="auto"/>
        </w:rPr>
        <w:t xml:space="preserve"> No </w:t>
      </w:r>
      <w:r>
        <w:rPr>
          <w:rFonts w:ascii="Segoe UI" w:cs="Segoe UI" w:eastAsia="Segoe UI" w:hAnsi="Segoe UI"/>
          <w:sz w:val="16"/>
          <w:szCs w:val="16"/>
          <w:color w:val="auto"/>
        </w:rPr>
        <w:t>տ</w:t>
      </w:r>
    </w:p>
    <w:p>
      <w:pPr>
        <w:spacing w:after="0" w:line="1" w:lineRule="exact"/>
        <w:rPr>
          <w:sz w:val="24"/>
          <w:szCs w:val="24"/>
          <w:color w:val="auto"/>
        </w:rPr>
      </w:pPr>
    </w:p>
    <w:p>
      <w:pPr>
        <w:jc w:val="both"/>
        <w:spacing w:after="0" w:line="228" w:lineRule="auto"/>
        <w:rPr>
          <w:sz w:val="20"/>
          <w:szCs w:val="20"/>
          <w:color w:val="auto"/>
        </w:rPr>
      </w:pPr>
      <w:r>
        <w:rPr>
          <w:rFonts w:ascii="Calibri" w:cs="Calibri" w:eastAsia="Calibri" w:hAnsi="Calibri"/>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 - 2 of the Exchange Act.</w:t>
      </w:r>
    </w:p>
    <w:p>
      <w:pPr>
        <w:spacing w:after="0" w:line="2" w:lineRule="exact"/>
        <w:rPr>
          <w:sz w:val="24"/>
          <w:szCs w:val="24"/>
          <w:color w:val="auto"/>
        </w:rPr>
      </w:pPr>
    </w:p>
    <w:tbl>
      <w:tblPr>
        <w:tblLayout w:type="fixed"/>
        <w:tblInd w:w="60" w:type="dxa"/>
        <w:tblCellMar>
          <w:top w:w="0" w:type="dxa"/>
          <w:left w:w="0" w:type="dxa"/>
          <w:bottom w:w="0" w:type="dxa"/>
          <w:right w:w="0" w:type="dxa"/>
        </w:tblCellMar>
      </w:tblPr>
      <w:tr>
        <w:trPr>
          <w:trHeight w:val="262"/>
        </w:trPr>
        <w:tc>
          <w:tcPr>
            <w:tcW w:w="1980" w:type="dxa"/>
            <w:vAlign w:val="bottom"/>
          </w:tcPr>
          <w:p>
            <w:pPr>
              <w:spacing w:after="0"/>
              <w:rPr>
                <w:sz w:val="20"/>
                <w:szCs w:val="20"/>
                <w:color w:val="auto"/>
              </w:rPr>
            </w:pPr>
            <w:r>
              <w:rPr>
                <w:rFonts w:ascii="Calibri" w:cs="Calibri" w:eastAsia="Calibri" w:hAnsi="Calibri"/>
                <w:sz w:val="16"/>
                <w:szCs w:val="16"/>
                <w:color w:val="auto"/>
              </w:rPr>
              <w:t>Large accelerated filer</w:t>
            </w:r>
          </w:p>
        </w:tc>
        <w:tc>
          <w:tcPr>
            <w:tcW w:w="3280" w:type="dxa"/>
            <w:vAlign w:val="bottom"/>
          </w:tcPr>
          <w:p>
            <w:pPr>
              <w:ind w:left="540"/>
              <w:spacing w:after="0"/>
              <w:rPr>
                <w:sz w:val="20"/>
                <w:szCs w:val="20"/>
                <w:color w:val="auto"/>
              </w:rPr>
            </w:pPr>
            <w:r>
              <w:rPr>
                <w:rFonts w:ascii="Segoe UI" w:cs="Segoe UI" w:eastAsia="Segoe UI" w:hAnsi="Segoe UI"/>
                <w:sz w:val="16"/>
                <w:szCs w:val="16"/>
                <w:color w:val="auto"/>
              </w:rPr>
              <w:t>տ</w:t>
            </w:r>
          </w:p>
        </w:tc>
        <w:tc>
          <w:tcPr>
            <w:tcW w:w="4900" w:type="dxa"/>
            <w:vAlign w:val="bottom"/>
          </w:tcPr>
          <w:p>
            <w:pPr>
              <w:ind w:left="2600"/>
              <w:spacing w:after="0"/>
              <w:rPr>
                <w:sz w:val="20"/>
                <w:szCs w:val="20"/>
                <w:color w:val="auto"/>
              </w:rPr>
            </w:pPr>
            <w:r>
              <w:rPr>
                <w:rFonts w:ascii="Calibri" w:cs="Calibri" w:eastAsia="Calibri" w:hAnsi="Calibri"/>
                <w:sz w:val="16"/>
                <w:szCs w:val="16"/>
                <w:color w:val="auto"/>
              </w:rPr>
              <w:t>Accelerated filer</w:t>
            </w:r>
          </w:p>
        </w:tc>
        <w:tc>
          <w:tcPr>
            <w:tcW w:w="680" w:type="dxa"/>
            <w:vAlign w:val="bottom"/>
          </w:tcPr>
          <w:p>
            <w:pPr>
              <w:ind w:left="540"/>
              <w:spacing w:after="0"/>
              <w:rPr>
                <w:sz w:val="20"/>
                <w:szCs w:val="20"/>
                <w:color w:val="auto"/>
              </w:rPr>
            </w:pPr>
            <w:r>
              <w:rPr>
                <w:rFonts w:ascii="Segoe UI" w:cs="Segoe UI" w:eastAsia="Segoe UI" w:hAnsi="Segoe UI"/>
                <w:sz w:val="16"/>
                <w:szCs w:val="16"/>
                <w:color w:val="auto"/>
              </w:rPr>
              <w:t>ց</w:t>
            </w:r>
          </w:p>
        </w:tc>
      </w:tr>
      <w:tr>
        <w:trPr>
          <w:trHeight w:val="286"/>
        </w:trPr>
        <w:tc>
          <w:tcPr>
            <w:tcW w:w="1980" w:type="dxa"/>
            <w:vAlign w:val="bottom"/>
          </w:tcPr>
          <w:p>
            <w:pPr>
              <w:spacing w:after="0"/>
              <w:rPr>
                <w:sz w:val="20"/>
                <w:szCs w:val="20"/>
                <w:color w:val="auto"/>
              </w:rPr>
            </w:pPr>
            <w:r>
              <w:rPr>
                <w:rFonts w:ascii="Calibri" w:cs="Calibri" w:eastAsia="Calibri" w:hAnsi="Calibri"/>
                <w:sz w:val="16"/>
                <w:szCs w:val="16"/>
                <w:color w:val="auto"/>
              </w:rPr>
              <w:t>Non-accelerated filer</w:t>
            </w:r>
          </w:p>
        </w:tc>
        <w:tc>
          <w:tcPr>
            <w:tcW w:w="3280" w:type="dxa"/>
            <w:vAlign w:val="bottom"/>
          </w:tcPr>
          <w:p>
            <w:pPr>
              <w:ind w:left="540"/>
              <w:spacing w:after="0"/>
              <w:rPr>
                <w:sz w:val="20"/>
                <w:szCs w:val="20"/>
                <w:color w:val="auto"/>
              </w:rPr>
            </w:pPr>
            <w:r>
              <w:rPr>
                <w:rFonts w:ascii="Segoe UI" w:cs="Segoe UI" w:eastAsia="Segoe UI" w:hAnsi="Segoe UI"/>
                <w:sz w:val="16"/>
                <w:szCs w:val="16"/>
                <w:color w:val="auto"/>
              </w:rPr>
              <w:t>տ</w:t>
            </w:r>
          </w:p>
        </w:tc>
        <w:tc>
          <w:tcPr>
            <w:tcW w:w="4900" w:type="dxa"/>
            <w:vAlign w:val="bottom"/>
          </w:tcPr>
          <w:p>
            <w:pPr>
              <w:ind w:left="2600"/>
              <w:spacing w:after="0"/>
              <w:rPr>
                <w:sz w:val="20"/>
                <w:szCs w:val="20"/>
                <w:color w:val="auto"/>
              </w:rPr>
            </w:pPr>
            <w:r>
              <w:rPr>
                <w:rFonts w:ascii="Calibri" w:cs="Calibri" w:eastAsia="Calibri" w:hAnsi="Calibri"/>
                <w:sz w:val="16"/>
                <w:szCs w:val="16"/>
                <w:color w:val="auto"/>
              </w:rPr>
              <w:t>Smaller reporting company</w:t>
            </w:r>
          </w:p>
        </w:tc>
        <w:tc>
          <w:tcPr>
            <w:tcW w:w="680" w:type="dxa"/>
            <w:vAlign w:val="bottom"/>
          </w:tcPr>
          <w:p>
            <w:pPr>
              <w:ind w:left="540"/>
              <w:spacing w:after="0"/>
              <w:rPr>
                <w:sz w:val="20"/>
                <w:szCs w:val="20"/>
                <w:color w:val="auto"/>
              </w:rPr>
            </w:pPr>
            <w:r>
              <w:rPr>
                <w:rFonts w:ascii="Segoe UI" w:cs="Segoe UI" w:eastAsia="Segoe UI" w:hAnsi="Segoe UI"/>
                <w:sz w:val="16"/>
                <w:szCs w:val="16"/>
                <w:color w:val="auto"/>
              </w:rPr>
              <w:t>ց</w:t>
            </w:r>
          </w:p>
        </w:tc>
      </w:tr>
      <w:tr>
        <w:trPr>
          <w:trHeight w:val="360"/>
        </w:trPr>
        <w:tc>
          <w:tcPr>
            <w:tcW w:w="19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900" w:type="dxa"/>
            <w:vAlign w:val="bottom"/>
          </w:tcPr>
          <w:p>
            <w:pPr>
              <w:ind w:left="2600"/>
              <w:spacing w:after="0"/>
              <w:rPr>
                <w:sz w:val="20"/>
                <w:szCs w:val="20"/>
                <w:color w:val="auto"/>
              </w:rPr>
            </w:pPr>
            <w:r>
              <w:rPr>
                <w:rFonts w:ascii="Calibri" w:cs="Calibri" w:eastAsia="Calibri" w:hAnsi="Calibri"/>
                <w:sz w:val="16"/>
                <w:szCs w:val="16"/>
                <w:color w:val="auto"/>
              </w:rPr>
              <w:t>Emerging growth company</w:t>
            </w:r>
          </w:p>
        </w:tc>
        <w:tc>
          <w:tcPr>
            <w:tcW w:w="680" w:type="dxa"/>
            <w:vAlign w:val="bottom"/>
          </w:tcPr>
          <w:p>
            <w:pPr>
              <w:ind w:left="540"/>
              <w:spacing w:after="0"/>
              <w:rPr>
                <w:sz w:val="20"/>
                <w:szCs w:val="20"/>
                <w:color w:val="auto"/>
              </w:rPr>
            </w:pPr>
            <w:r>
              <w:rPr>
                <w:rFonts w:ascii="Segoe UI" w:cs="Segoe UI" w:eastAsia="Segoe UI" w:hAnsi="Segoe UI"/>
                <w:sz w:val="16"/>
                <w:szCs w:val="16"/>
                <w:color w:val="auto"/>
                <w:w w:val="89"/>
              </w:rPr>
              <w:t>տ</w:t>
            </w:r>
          </w:p>
        </w:tc>
      </w:tr>
    </w:tbl>
    <w:p>
      <w:pPr>
        <w:jc w:val="both"/>
        <w:spacing w:after="0" w:line="244" w:lineRule="auto"/>
        <w:rPr>
          <w:sz w:val="20"/>
          <w:szCs w:val="20"/>
          <w:color w:val="auto"/>
        </w:rPr>
      </w:pPr>
      <w:r>
        <w:rPr>
          <w:rFonts w:ascii="Calibri" w:cs="Calibri" w:eastAsia="Calibri" w:hAnsi="Calibri"/>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auto"/>
        </w:rPr>
        <w:t>տ</w:t>
      </w:r>
    </w:p>
    <w:p>
      <w:pPr>
        <w:spacing w:after="0" w:line="1" w:lineRule="exact"/>
        <w:rPr>
          <w:sz w:val="24"/>
          <w:szCs w:val="24"/>
          <w:color w:val="auto"/>
        </w:rPr>
      </w:pPr>
    </w:p>
    <w:p>
      <w:pPr>
        <w:jc w:val="both"/>
        <w:ind w:right="20"/>
        <w:spacing w:after="0" w:line="279" w:lineRule="auto"/>
        <w:rPr>
          <w:sz w:val="20"/>
          <w:szCs w:val="20"/>
          <w:color w:val="auto"/>
        </w:rPr>
      </w:pPr>
      <w:r>
        <w:rPr>
          <w:rFonts w:ascii="Calibri" w:cs="Calibri" w:eastAsia="Calibri" w:hAnsi="Calibri"/>
          <w:sz w:val="16"/>
          <w:szCs w:val="16"/>
          <w:color w:val="auto"/>
        </w:rPr>
        <w:t>Indicate by check mark whether the registrant has filed a report on and attestation to its management</w:t>
      </w:r>
      <w:r>
        <w:rPr>
          <w:rFonts w:ascii="Segoe UI Symbol" w:cs="Segoe UI Symbol" w:eastAsia="Segoe UI Symbol" w:hAnsi="Segoe UI Symbol"/>
          <w:sz w:val="16"/>
          <w:szCs w:val="16"/>
          <w:color w:val="auto"/>
        </w:rPr>
        <w:t>’</w:t>
      </w:r>
      <w:r>
        <w:rPr>
          <w:rFonts w:ascii="Calibri" w:cs="Calibri" w:eastAsia="Calibri" w:hAnsi="Calibri"/>
          <w:sz w:val="16"/>
          <w:szCs w:val="16"/>
          <w:color w:val="auto"/>
        </w:rPr>
        <w:t xml:space="preserve">s assessment of the effectiveness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6"/>
          <w:szCs w:val="16"/>
          <w:color w:val="auto"/>
        </w:rPr>
        <w:t>ց</w:t>
      </w:r>
    </w:p>
    <w:p>
      <w:pPr>
        <w:spacing w:after="0" w:line="1" w:lineRule="exact"/>
        <w:rPr>
          <w:sz w:val="24"/>
          <w:szCs w:val="24"/>
          <w:color w:val="auto"/>
        </w:rPr>
      </w:pPr>
    </w:p>
    <w:p>
      <w:pPr>
        <w:jc w:val="both"/>
        <w:spacing w:after="0" w:line="263" w:lineRule="auto"/>
        <w:rPr>
          <w:sz w:val="20"/>
          <w:szCs w:val="20"/>
          <w:color w:val="auto"/>
        </w:rPr>
      </w:pPr>
      <w:r>
        <w:rPr>
          <w:rFonts w:ascii="Calibri" w:cs="Calibri" w:eastAsia="Calibri" w:hAnsi="Calibri"/>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auto"/>
        </w:rPr>
        <w:t>տ</w:t>
      </w:r>
    </w:p>
    <w:p>
      <w:pPr>
        <w:spacing w:after="0" w:line="1" w:lineRule="exact"/>
        <w:rPr>
          <w:sz w:val="24"/>
          <w:szCs w:val="24"/>
          <w:color w:val="auto"/>
        </w:rPr>
      </w:pPr>
    </w:p>
    <w:p>
      <w:pPr>
        <w:jc w:val="both"/>
        <w:spacing w:after="0" w:line="244" w:lineRule="auto"/>
        <w:rPr>
          <w:sz w:val="20"/>
          <w:szCs w:val="20"/>
          <w:color w:val="auto"/>
        </w:rPr>
      </w:pPr>
      <w:r>
        <w:rPr>
          <w:rFonts w:ascii="Calibri" w:cs="Calibri" w:eastAsia="Calibri" w:hAnsi="Calibri"/>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6"/>
          <w:szCs w:val="16"/>
          <w:color w:val="auto"/>
        </w:rPr>
        <w:t>տ</w:t>
      </w:r>
    </w:p>
    <w:p>
      <w:pPr>
        <w:spacing w:after="0" w:line="1" w:lineRule="exact"/>
        <w:rPr>
          <w:sz w:val="24"/>
          <w:szCs w:val="24"/>
          <w:color w:val="auto"/>
        </w:rPr>
      </w:pPr>
    </w:p>
    <w:p>
      <w:pPr>
        <w:spacing w:after="0"/>
        <w:tabs>
          <w:tab w:leader="none" w:pos="7960" w:val="left"/>
        </w:tabs>
        <w:rPr>
          <w:sz w:val="20"/>
          <w:szCs w:val="20"/>
          <w:color w:val="auto"/>
        </w:rPr>
      </w:pPr>
      <w:r>
        <w:rPr>
          <w:rFonts w:ascii="Calibri" w:cs="Calibri" w:eastAsia="Calibri" w:hAnsi="Calibri"/>
          <w:sz w:val="16"/>
          <w:szCs w:val="16"/>
          <w:color w:val="auto"/>
        </w:rPr>
        <w:t xml:space="preserve">Indicate by check mark whether the registrant is a shell company (as defined in Rule 12b - 2 of the Exchange Act).  Yes </w:t>
      </w:r>
      <w:r>
        <w:rPr>
          <w:rFonts w:ascii="Segoe UI" w:cs="Segoe UI" w:eastAsia="Segoe UI" w:hAnsi="Segoe UI"/>
          <w:sz w:val="16"/>
          <w:szCs w:val="16"/>
          <w:color w:val="auto"/>
        </w:rPr>
        <w:t>տ</w:t>
      </w:r>
      <w:r>
        <w:rPr>
          <w:rFonts w:ascii="Calibri" w:cs="Calibri" w:eastAsia="Calibri" w:hAnsi="Calibri"/>
          <w:sz w:val="16"/>
          <w:szCs w:val="16"/>
          <w:color w:val="auto"/>
        </w:rPr>
        <w:tab/>
        <w:t xml:space="preserve">No  </w:t>
      </w:r>
      <w:r>
        <w:rPr>
          <w:rFonts w:ascii="Segoe UI" w:cs="Segoe UI" w:eastAsia="Segoe UI" w:hAnsi="Segoe UI"/>
          <w:sz w:val="16"/>
          <w:szCs w:val="16"/>
          <w:color w:val="auto"/>
        </w:rPr>
        <w:t>ց</w:t>
      </w:r>
    </w:p>
    <w:p>
      <w:pPr>
        <w:spacing w:after="0" w:line="72" w:lineRule="exact"/>
        <w:rPr>
          <w:sz w:val="24"/>
          <w:szCs w:val="24"/>
          <w:color w:val="auto"/>
        </w:rPr>
      </w:pPr>
    </w:p>
    <w:p>
      <w:pPr>
        <w:jc w:val="both"/>
        <w:spacing w:after="0" w:line="249" w:lineRule="auto"/>
        <w:rPr>
          <w:sz w:val="20"/>
          <w:szCs w:val="20"/>
          <w:color w:val="auto"/>
        </w:rPr>
      </w:pPr>
      <w:r>
        <w:rPr>
          <w:rFonts w:ascii="Calibri" w:cs="Calibri" w:eastAsia="Calibri" w:hAnsi="Calibri"/>
          <w:sz w:val="15"/>
          <w:szCs w:val="15"/>
          <w:color w:val="auto"/>
        </w:rPr>
        <w:t>The aggregate market value of the registrant’s common stock, held by non-affiliates of the registrant as of June 30, 2025 (which was the last business day of the registrant’s most recently completed second fiscal quarter) based upon the closing market price of such stock on the Nasdaq Global Market on that date, was approximately $81.9 million. For purposes of this disclosure, shares of common stock held by each officer and director have been excluded in that such persons may be deemed to be “affiliates” as that term is defined under the Rules and Regulations of the Securities Exchange Act of 1934, as amended. This determination of affiliate status is not necessarily conclusive.</w:t>
      </w:r>
    </w:p>
    <w:p>
      <w:pPr>
        <w:spacing w:after="0" w:line="18" w:lineRule="exact"/>
        <w:rPr>
          <w:sz w:val="24"/>
          <w:szCs w:val="24"/>
          <w:color w:val="auto"/>
        </w:rPr>
      </w:pPr>
    </w:p>
    <w:p>
      <w:pPr>
        <w:spacing w:after="0"/>
        <w:rPr>
          <w:sz w:val="20"/>
          <w:szCs w:val="20"/>
          <w:color w:val="auto"/>
        </w:rPr>
      </w:pPr>
      <w:r>
        <w:rPr>
          <w:rFonts w:ascii="Calibri" w:cs="Calibri" w:eastAsia="Calibri" w:hAnsi="Calibri"/>
          <w:sz w:val="16"/>
          <w:szCs w:val="16"/>
          <w:color w:val="auto"/>
        </w:rPr>
        <w:t>The number of shares of the registrant’s common stock issued and outstanding as of February 28, 2026 was 149,889,902.</w:t>
      </w:r>
    </w:p>
    <w:p>
      <w:pPr>
        <w:spacing w:after="0" w:line="38" w:lineRule="exact"/>
        <w:rPr>
          <w:sz w:val="24"/>
          <w:szCs w:val="24"/>
          <w:color w:val="auto"/>
        </w:rPr>
      </w:pPr>
    </w:p>
    <w:p>
      <w:pPr>
        <w:ind w:left="4080"/>
        <w:spacing w:after="0"/>
        <w:rPr>
          <w:sz w:val="20"/>
          <w:szCs w:val="20"/>
          <w:color w:val="auto"/>
        </w:rPr>
      </w:pPr>
      <w:r>
        <w:rPr>
          <w:rFonts w:ascii="Calibri" w:cs="Calibri" w:eastAsia="Calibri" w:hAnsi="Calibri"/>
          <w:sz w:val="16"/>
          <w:szCs w:val="16"/>
          <w:b w:val="1"/>
          <w:bCs w:val="1"/>
          <w:color w:val="auto"/>
        </w:rPr>
        <w:t>DOCUMENTS INCORPORATED BY REFERENCE</w:t>
      </w:r>
    </w:p>
    <w:p>
      <w:pPr>
        <w:spacing w:after="0" w:line="42" w:lineRule="exact"/>
        <w:rPr>
          <w:sz w:val="24"/>
          <w:szCs w:val="24"/>
          <w:color w:val="auto"/>
        </w:rPr>
      </w:pPr>
    </w:p>
    <w:p>
      <w:pPr>
        <w:jc w:val="both"/>
        <w:spacing w:after="0" w:line="259" w:lineRule="auto"/>
        <w:rPr>
          <w:sz w:val="20"/>
          <w:szCs w:val="20"/>
          <w:color w:val="auto"/>
        </w:rPr>
      </w:pPr>
      <w:r>
        <w:rPr>
          <w:rFonts w:ascii="Calibri" w:cs="Calibri" w:eastAsia="Calibri" w:hAnsi="Calibri"/>
          <w:sz w:val="16"/>
          <w:szCs w:val="16"/>
          <w:color w:val="auto"/>
        </w:rPr>
        <w:t>Part III of this annual report on Form 10-K incorporates by reference certain information from the registrant’s definitive proxy statement for the 2026 Annual Meeting of Stockholders, which will be filed with the Securities and Exchange Commission within 120 days after the end of the fiscal year ended December 31, 2025.</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54610</wp:posOffset>
                </wp:positionV>
                <wp:extent cx="711454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454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4.3pt" to="559.1pt,4.3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118110</wp:posOffset>
                </wp:positionV>
                <wp:extent cx="711454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454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9.3pt" to="559.1pt,9.3pt" o:allowincell="f" strokecolor="#000000" strokeweight="3pt"/>
            </w:pict>
          </mc:Fallback>
        </mc:AlternateContent>
      </w:r>
    </w:p>
    <w:p>
      <w:pPr>
        <w:sectPr>
          <w:pgSz w:w="12240" w:h="15840" w:orient="portrait"/>
          <w:cols w:equalWidth="0" w:num="1">
            <w:col w:w="11160"/>
          </w:cols>
          <w:pgMar w:left="540" w:top="771" w:right="540" w:bottom="352" w:gutter="0" w:footer="0" w:header="0"/>
        </w:sectPr>
      </w:pPr>
    </w:p>
    <w:bookmarkStart w:id="1" w:name="page2"/>
    <w:bookmarkEnd w:id="1"/>
    <w:p>
      <w:pPr>
        <w:ind w:left="4460"/>
        <w:spacing w:after="0"/>
        <w:rPr>
          <w:sz w:val="20"/>
          <w:szCs w:val="20"/>
          <w:color w:val="auto"/>
        </w:rPr>
      </w:pPr>
      <w:r>
        <w:rPr>
          <w:rFonts w:ascii="Calibri" w:cs="Calibri" w:eastAsia="Calibri" w:hAnsi="Calibri"/>
          <w:sz w:val="20"/>
          <w:szCs w:val="20"/>
          <w:b w:val="1"/>
          <w:bCs w:val="1"/>
          <w:color w:val="auto"/>
        </w:rPr>
        <w:t>COHERUS ONCOLOGY, INC.</w:t>
      </w:r>
    </w:p>
    <w:p>
      <w:pPr>
        <w:spacing w:after="0" w:line="30" w:lineRule="exact"/>
        <w:rPr>
          <w:sz w:val="20"/>
          <w:szCs w:val="20"/>
          <w:color w:val="auto"/>
        </w:rPr>
      </w:pPr>
    </w:p>
    <w:p>
      <w:pPr>
        <w:ind w:left="4220"/>
        <w:spacing w:after="0"/>
        <w:rPr>
          <w:sz w:val="20"/>
          <w:szCs w:val="20"/>
          <w:color w:val="auto"/>
        </w:rPr>
      </w:pPr>
      <w:r>
        <w:rPr>
          <w:rFonts w:ascii="Calibri" w:cs="Calibri" w:eastAsia="Calibri" w:hAnsi="Calibri"/>
          <w:sz w:val="20"/>
          <w:szCs w:val="20"/>
          <w:b w:val="1"/>
          <w:bCs w:val="1"/>
          <w:color w:val="auto"/>
        </w:rPr>
        <w:t>ANNUAL REPORT ON FORM 10 - K</w:t>
      </w:r>
    </w:p>
    <w:p>
      <w:pPr>
        <w:ind w:left="4720"/>
        <w:spacing w:after="0"/>
        <w:rPr>
          <w:sz w:val="20"/>
          <w:szCs w:val="20"/>
          <w:color w:val="auto"/>
        </w:rPr>
      </w:pPr>
      <w:r>
        <w:rPr>
          <w:rFonts w:ascii="Calibri" w:cs="Calibri" w:eastAsia="Calibri" w:hAnsi="Calibri"/>
          <w:sz w:val="20"/>
          <w:szCs w:val="20"/>
          <w:b w:val="1"/>
          <w:bCs w:val="1"/>
          <w:color w:val="auto"/>
        </w:rPr>
        <w:t>TABLE OF CONTENTS</w:t>
      </w:r>
    </w:p>
    <w:p>
      <w:pPr>
        <w:spacing w:after="0" w:line="192" w:lineRule="exact"/>
        <w:rPr>
          <w:sz w:val="20"/>
          <w:szCs w:val="20"/>
          <w:color w:val="auto"/>
        </w:rPr>
      </w:pPr>
    </w:p>
    <w:p>
      <w:pPr>
        <w:ind w:left="10640"/>
        <w:spacing w:after="0"/>
        <w:rPr>
          <w:sz w:val="20"/>
          <w:szCs w:val="20"/>
          <w:color w:val="auto"/>
        </w:rPr>
      </w:pPr>
      <w:r>
        <w:rPr>
          <w:rFonts w:ascii="Calibri" w:cs="Calibri" w:eastAsia="Calibri" w:hAnsi="Calibri"/>
          <w:sz w:val="18"/>
          <w:szCs w:val="18"/>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6649085</wp:posOffset>
                </wp:positionH>
                <wp:positionV relativeFrom="paragraph">
                  <wp:posOffset>12700</wp:posOffset>
                </wp:positionV>
                <wp:extent cx="43243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24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3.55pt,1pt" to="557.6pt,1pt" o:allowincell="f" strokecolor="#000000" strokeweight="0.4799pt"/>
            </w:pict>
          </mc:Fallback>
        </mc:AlternateContent>
      </w:r>
    </w:p>
    <w:p>
      <w:pPr>
        <w:spacing w:after="0" w:line="1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PART I</w:t>
      </w:r>
    </w:p>
    <w:p>
      <w:pPr>
        <w:spacing w:after="0" w:line="129" w:lineRule="exact"/>
        <w:rPr>
          <w:sz w:val="20"/>
          <w:szCs w:val="20"/>
          <w:color w:val="auto"/>
        </w:rPr>
      </w:pPr>
    </w:p>
    <w:p>
      <w:pPr>
        <w:spacing w:after="0"/>
        <w:tabs>
          <w:tab w:leader="none" w:pos="1000" w:val="left"/>
          <w:tab w:leader="none" w:pos="11040" w:val="left"/>
        </w:tabs>
        <w:rPr>
          <w:sz w:val="20"/>
          <w:szCs w:val="20"/>
          <w:color w:val="auto"/>
        </w:rPr>
      </w:pPr>
      <w:r>
        <w:rPr>
          <w:rFonts w:ascii="Calibri" w:cs="Calibri" w:eastAsia="Calibri" w:hAnsi="Calibri"/>
          <w:sz w:val="18"/>
          <w:szCs w:val="18"/>
          <w:b w:val="1"/>
          <w:bCs w:val="1"/>
          <w:color w:val="auto"/>
        </w:rPr>
        <w:t>ITEM 1.</w:t>
      </w:r>
      <w:r>
        <w:rPr>
          <w:sz w:val="20"/>
          <w:szCs w:val="20"/>
          <w:color w:val="auto"/>
        </w:rPr>
        <w:tab/>
      </w:r>
      <w:r>
        <w:rPr>
          <w:rFonts w:ascii="Calibri" w:cs="Calibri" w:eastAsia="Calibri" w:hAnsi="Calibri"/>
          <w:sz w:val="18"/>
          <w:szCs w:val="18"/>
          <w:color w:val="auto"/>
        </w:rPr>
        <w:t>Business</w:t>
      </w:r>
      <w:r>
        <w:rPr>
          <w:rFonts w:ascii="Calibri" w:cs="Calibri" w:eastAsia="Calibri" w:hAnsi="Calibri"/>
          <w:sz w:val="20"/>
          <w:szCs w:val="20"/>
          <w:color w:val="auto"/>
        </w:rPr>
        <w:t>. . . . . . . . . . . . . . . . . . . . . . . . . . . . . . . . . . . . . . . . . . . . . . . . . . . . . . . . . . . . . . . . . . . . . . . . . . . . . . . . . . . . . . . . . . .</w:t>
      </w:r>
      <w:r>
        <w:rPr>
          <w:sz w:val="20"/>
          <w:szCs w:val="20"/>
          <w:color w:val="auto"/>
        </w:rPr>
        <w:tab/>
      </w:r>
      <w:r>
        <w:rPr>
          <w:rFonts w:ascii="Calibri" w:cs="Calibri" w:eastAsia="Calibri" w:hAnsi="Calibri"/>
          <w:sz w:val="18"/>
          <w:szCs w:val="18"/>
          <w:color w:val="auto"/>
        </w:rPr>
        <w:t>5</w:t>
      </w:r>
    </w:p>
    <w:p>
      <w:pPr>
        <w:spacing w:after="0" w:line="122" w:lineRule="exact"/>
        <w:rPr>
          <w:sz w:val="20"/>
          <w:szCs w:val="20"/>
          <w:color w:val="auto"/>
        </w:rPr>
      </w:pPr>
    </w:p>
    <w:p>
      <w:pPr>
        <w:spacing w:after="0"/>
        <w:tabs>
          <w:tab w:leader="none" w:pos="1000" w:val="left"/>
          <w:tab w:leader="none" w:pos="10960" w:val="left"/>
        </w:tabs>
        <w:rPr>
          <w:sz w:val="20"/>
          <w:szCs w:val="20"/>
          <w:color w:val="auto"/>
        </w:rPr>
      </w:pPr>
      <w:r>
        <w:rPr>
          <w:rFonts w:ascii="Calibri" w:cs="Calibri" w:eastAsia="Calibri" w:hAnsi="Calibri"/>
          <w:sz w:val="18"/>
          <w:szCs w:val="18"/>
          <w:b w:val="1"/>
          <w:bCs w:val="1"/>
          <w:color w:val="auto"/>
        </w:rPr>
        <w:t>ITEM 1A.</w:t>
      </w:r>
      <w:r>
        <w:rPr>
          <w:sz w:val="20"/>
          <w:szCs w:val="20"/>
          <w:color w:val="auto"/>
        </w:rPr>
        <w:tab/>
      </w:r>
      <w:r>
        <w:rPr>
          <w:rFonts w:ascii="Calibri" w:cs="Calibri" w:eastAsia="Calibri" w:hAnsi="Calibri"/>
          <w:sz w:val="18"/>
          <w:szCs w:val="18"/>
          <w:color w:val="auto"/>
        </w:rPr>
        <w:t xml:space="preserve">Risk Factors </w:t>
      </w:r>
      <w:r>
        <w:rPr>
          <w:rFonts w:ascii="Calibri" w:cs="Calibri" w:eastAsia="Calibri" w:hAnsi="Calibri"/>
          <w:sz w:val="20"/>
          <w:szCs w:val="20"/>
          <w:color w:val="auto"/>
        </w:rPr>
        <w:t>. . . . . . . . . . . . . . . . . . . . . . . . . . . . . . . . . . . . . . . . . . . . . . . . . . . . . . . . . . . . . . . . . . . . . . . . . . . . . . . . . . . . . . . .</w:t>
      </w:r>
      <w:r>
        <w:rPr>
          <w:sz w:val="20"/>
          <w:szCs w:val="20"/>
          <w:color w:val="auto"/>
        </w:rPr>
        <w:tab/>
      </w:r>
      <w:r>
        <w:rPr>
          <w:rFonts w:ascii="Calibri" w:cs="Calibri" w:eastAsia="Calibri" w:hAnsi="Calibri"/>
          <w:sz w:val="17"/>
          <w:szCs w:val="17"/>
          <w:color w:val="auto"/>
        </w:rPr>
        <w:t>22</w:t>
      </w:r>
    </w:p>
    <w:p>
      <w:pPr>
        <w:spacing w:after="0" w:line="123" w:lineRule="exact"/>
        <w:rPr>
          <w:sz w:val="20"/>
          <w:szCs w:val="20"/>
          <w:color w:val="auto"/>
        </w:rPr>
      </w:pPr>
    </w:p>
    <w:p>
      <w:pPr>
        <w:spacing w:after="0"/>
        <w:tabs>
          <w:tab w:leader="none" w:pos="1000" w:val="left"/>
          <w:tab w:leader="none" w:pos="10960" w:val="left"/>
        </w:tabs>
        <w:rPr>
          <w:sz w:val="20"/>
          <w:szCs w:val="20"/>
          <w:color w:val="auto"/>
        </w:rPr>
      </w:pPr>
      <w:r>
        <w:rPr>
          <w:rFonts w:ascii="Calibri" w:cs="Calibri" w:eastAsia="Calibri" w:hAnsi="Calibri"/>
          <w:sz w:val="18"/>
          <w:szCs w:val="18"/>
          <w:b w:val="1"/>
          <w:bCs w:val="1"/>
          <w:color w:val="auto"/>
        </w:rPr>
        <w:t>ITEM 1B.</w:t>
      </w:r>
      <w:r>
        <w:rPr>
          <w:sz w:val="20"/>
          <w:szCs w:val="20"/>
          <w:color w:val="auto"/>
        </w:rPr>
        <w:tab/>
      </w:r>
      <w:r>
        <w:rPr>
          <w:rFonts w:ascii="Calibri" w:cs="Calibri" w:eastAsia="Calibri" w:hAnsi="Calibri"/>
          <w:sz w:val="18"/>
          <w:szCs w:val="18"/>
          <w:color w:val="auto"/>
        </w:rPr>
        <w:t xml:space="preserve">Unresolved Staff Comments </w:t>
      </w:r>
      <w:r>
        <w:rPr>
          <w:rFonts w:ascii="Calibri" w:cs="Calibri" w:eastAsia="Calibri" w:hAnsi="Calibri"/>
          <w:sz w:val="20"/>
          <w:szCs w:val="20"/>
          <w:color w:val="auto"/>
        </w:rPr>
        <w:t>. . . . . . . . . . . . . . . . . . . . . . . . . . . . . . . . . . . . . . . . . . . . . . . . . . . . . . . . . . . . . . . . . . . . . . . . . . . .</w:t>
      </w:r>
      <w:r>
        <w:rPr>
          <w:sz w:val="20"/>
          <w:szCs w:val="20"/>
          <w:color w:val="auto"/>
        </w:rPr>
        <w:tab/>
      </w:r>
      <w:r>
        <w:rPr>
          <w:rFonts w:ascii="Calibri" w:cs="Calibri" w:eastAsia="Calibri" w:hAnsi="Calibri"/>
          <w:sz w:val="17"/>
          <w:szCs w:val="17"/>
          <w:color w:val="auto"/>
        </w:rPr>
        <w:t>60</w:t>
      </w:r>
    </w:p>
    <w:p>
      <w:pPr>
        <w:spacing w:after="0" w:line="122" w:lineRule="exact"/>
        <w:rPr>
          <w:sz w:val="20"/>
          <w:szCs w:val="20"/>
          <w:color w:val="auto"/>
        </w:rPr>
      </w:pPr>
    </w:p>
    <w:p>
      <w:pPr>
        <w:spacing w:after="0"/>
        <w:tabs>
          <w:tab w:leader="none" w:pos="1000" w:val="left"/>
          <w:tab w:leader="none" w:pos="10960" w:val="left"/>
        </w:tabs>
        <w:rPr>
          <w:sz w:val="20"/>
          <w:szCs w:val="20"/>
          <w:color w:val="auto"/>
        </w:rPr>
      </w:pPr>
      <w:r>
        <w:rPr>
          <w:rFonts w:ascii="Calibri" w:cs="Calibri" w:eastAsia="Calibri" w:hAnsi="Calibri"/>
          <w:sz w:val="18"/>
          <w:szCs w:val="18"/>
          <w:b w:val="1"/>
          <w:bCs w:val="1"/>
          <w:color w:val="auto"/>
        </w:rPr>
        <w:t>ITEM 1C.</w:t>
      </w:r>
      <w:r>
        <w:rPr>
          <w:sz w:val="20"/>
          <w:szCs w:val="20"/>
          <w:color w:val="auto"/>
        </w:rPr>
        <w:tab/>
      </w:r>
      <w:r>
        <w:rPr>
          <w:rFonts w:ascii="Calibri" w:cs="Calibri" w:eastAsia="Calibri" w:hAnsi="Calibri"/>
          <w:sz w:val="18"/>
          <w:szCs w:val="18"/>
          <w:color w:val="auto"/>
        </w:rPr>
        <w:t xml:space="preserve">Cybersecurity </w:t>
      </w:r>
      <w:r>
        <w:rPr>
          <w:rFonts w:ascii="Calibri" w:cs="Calibri" w:eastAsia="Calibri" w:hAnsi="Calibri"/>
          <w:sz w:val="20"/>
          <w:szCs w:val="20"/>
          <w:color w:val="auto"/>
        </w:rPr>
        <w:t>. . . . . . . . . . . . . . . . . . . . . . . . . . . . . . . . . . . . . . . . . . . . . . . . . . . . . . . . . . . . . . . . . . . . . . . . . . . . . . . . . . . . . . .</w:t>
      </w:r>
      <w:r>
        <w:rPr>
          <w:sz w:val="20"/>
          <w:szCs w:val="20"/>
          <w:color w:val="auto"/>
        </w:rPr>
        <w:tab/>
      </w:r>
      <w:r>
        <w:rPr>
          <w:rFonts w:ascii="Calibri" w:cs="Calibri" w:eastAsia="Calibri" w:hAnsi="Calibri"/>
          <w:sz w:val="17"/>
          <w:szCs w:val="17"/>
          <w:color w:val="auto"/>
        </w:rPr>
        <w:t>60</w:t>
      </w:r>
    </w:p>
    <w:p>
      <w:pPr>
        <w:spacing w:after="0" w:line="122" w:lineRule="exact"/>
        <w:rPr>
          <w:sz w:val="20"/>
          <w:szCs w:val="20"/>
          <w:color w:val="auto"/>
        </w:rPr>
      </w:pPr>
    </w:p>
    <w:p>
      <w:pPr>
        <w:spacing w:after="0"/>
        <w:tabs>
          <w:tab w:leader="none" w:pos="1000" w:val="left"/>
          <w:tab w:leader="none" w:pos="10960" w:val="left"/>
        </w:tabs>
        <w:rPr>
          <w:sz w:val="20"/>
          <w:szCs w:val="20"/>
          <w:color w:val="auto"/>
        </w:rPr>
      </w:pPr>
      <w:r>
        <w:rPr>
          <w:rFonts w:ascii="Calibri" w:cs="Calibri" w:eastAsia="Calibri" w:hAnsi="Calibri"/>
          <w:sz w:val="18"/>
          <w:szCs w:val="18"/>
          <w:b w:val="1"/>
          <w:bCs w:val="1"/>
          <w:color w:val="auto"/>
        </w:rPr>
        <w:t>ITEM 2.</w:t>
      </w:r>
      <w:r>
        <w:rPr>
          <w:sz w:val="20"/>
          <w:szCs w:val="20"/>
          <w:color w:val="auto"/>
        </w:rPr>
        <w:tab/>
      </w:r>
      <w:r>
        <w:rPr>
          <w:rFonts w:ascii="Calibri" w:cs="Calibri" w:eastAsia="Calibri" w:hAnsi="Calibri"/>
          <w:sz w:val="18"/>
          <w:szCs w:val="18"/>
          <w:color w:val="auto"/>
        </w:rPr>
        <w:t xml:space="preserve">Properties </w:t>
      </w:r>
      <w:r>
        <w:rPr>
          <w:rFonts w:ascii="Calibri" w:cs="Calibri" w:eastAsia="Calibri" w:hAnsi="Calibri"/>
          <w:sz w:val="20"/>
          <w:szCs w:val="20"/>
          <w:color w:val="auto"/>
        </w:rPr>
        <w:t>. . . . . . . . . . . . . . . . . . . . . . . . . . . . . . . . . . . . . . . . . . . . . . . . . . . . . . . . . . . . . . . . . . . . . . . . . . . . . . . . . . . . . . . . .</w:t>
      </w:r>
      <w:r>
        <w:rPr>
          <w:sz w:val="20"/>
          <w:szCs w:val="20"/>
          <w:color w:val="auto"/>
        </w:rPr>
        <w:tab/>
      </w:r>
      <w:r>
        <w:rPr>
          <w:rFonts w:ascii="Calibri" w:cs="Calibri" w:eastAsia="Calibri" w:hAnsi="Calibri"/>
          <w:sz w:val="17"/>
          <w:szCs w:val="17"/>
          <w:color w:val="auto"/>
        </w:rPr>
        <w:t>61</w:t>
      </w:r>
    </w:p>
    <w:p>
      <w:pPr>
        <w:spacing w:after="0" w:line="122" w:lineRule="exact"/>
        <w:rPr>
          <w:sz w:val="20"/>
          <w:szCs w:val="20"/>
          <w:color w:val="auto"/>
        </w:rPr>
      </w:pPr>
    </w:p>
    <w:p>
      <w:pPr>
        <w:spacing w:after="0"/>
        <w:tabs>
          <w:tab w:leader="none" w:pos="1000" w:val="left"/>
          <w:tab w:leader="none" w:pos="10960" w:val="left"/>
        </w:tabs>
        <w:rPr>
          <w:sz w:val="20"/>
          <w:szCs w:val="20"/>
          <w:color w:val="auto"/>
        </w:rPr>
      </w:pPr>
      <w:r>
        <w:rPr>
          <w:rFonts w:ascii="Calibri" w:cs="Calibri" w:eastAsia="Calibri" w:hAnsi="Calibri"/>
          <w:sz w:val="18"/>
          <w:szCs w:val="18"/>
          <w:b w:val="1"/>
          <w:bCs w:val="1"/>
          <w:color w:val="auto"/>
        </w:rPr>
        <w:t>ITEM 3.</w:t>
      </w:r>
      <w:r>
        <w:rPr>
          <w:sz w:val="20"/>
          <w:szCs w:val="20"/>
          <w:color w:val="auto"/>
        </w:rPr>
        <w:tab/>
      </w:r>
      <w:r>
        <w:rPr>
          <w:rFonts w:ascii="Calibri" w:cs="Calibri" w:eastAsia="Calibri" w:hAnsi="Calibri"/>
          <w:sz w:val="18"/>
          <w:szCs w:val="18"/>
          <w:color w:val="auto"/>
        </w:rPr>
        <w:t>Legal Proceedings</w:t>
      </w:r>
      <w:r>
        <w:rPr>
          <w:rFonts w:ascii="Calibri" w:cs="Calibri" w:eastAsia="Calibri" w:hAnsi="Calibri"/>
          <w:sz w:val="20"/>
          <w:szCs w:val="20"/>
          <w:color w:val="auto"/>
        </w:rPr>
        <w:t>. . . . . . . . . . . . . . . . . . . . . . . . . . . . . . . . . . . . . . . . . . . . . . . . . . . . . . . . . . . . . . . . . . . . . . . . . . . . . . . . . . . .</w:t>
      </w:r>
      <w:r>
        <w:rPr>
          <w:sz w:val="20"/>
          <w:szCs w:val="20"/>
          <w:color w:val="auto"/>
        </w:rPr>
        <w:tab/>
      </w:r>
      <w:r>
        <w:rPr>
          <w:rFonts w:ascii="Calibri" w:cs="Calibri" w:eastAsia="Calibri" w:hAnsi="Calibri"/>
          <w:sz w:val="17"/>
          <w:szCs w:val="17"/>
          <w:color w:val="auto"/>
        </w:rPr>
        <w:t>61</w:t>
      </w:r>
    </w:p>
    <w:p>
      <w:pPr>
        <w:spacing w:after="0" w:line="122" w:lineRule="exact"/>
        <w:rPr>
          <w:sz w:val="20"/>
          <w:szCs w:val="20"/>
          <w:color w:val="auto"/>
        </w:rPr>
      </w:pPr>
    </w:p>
    <w:p>
      <w:pPr>
        <w:spacing w:after="0"/>
        <w:tabs>
          <w:tab w:leader="none" w:pos="1000" w:val="left"/>
          <w:tab w:leader="none" w:pos="10960" w:val="left"/>
        </w:tabs>
        <w:rPr>
          <w:sz w:val="20"/>
          <w:szCs w:val="20"/>
          <w:color w:val="auto"/>
        </w:rPr>
      </w:pPr>
      <w:r>
        <w:rPr>
          <w:rFonts w:ascii="Calibri" w:cs="Calibri" w:eastAsia="Calibri" w:hAnsi="Calibri"/>
          <w:sz w:val="18"/>
          <w:szCs w:val="18"/>
          <w:b w:val="1"/>
          <w:bCs w:val="1"/>
          <w:color w:val="auto"/>
        </w:rPr>
        <w:t>ITEM 4.</w:t>
      </w:r>
      <w:r>
        <w:rPr>
          <w:sz w:val="20"/>
          <w:szCs w:val="20"/>
          <w:color w:val="auto"/>
        </w:rPr>
        <w:tab/>
      </w:r>
      <w:r>
        <w:rPr>
          <w:rFonts w:ascii="Calibri" w:cs="Calibri" w:eastAsia="Calibri" w:hAnsi="Calibri"/>
          <w:sz w:val="18"/>
          <w:szCs w:val="18"/>
          <w:color w:val="auto"/>
        </w:rPr>
        <w:t xml:space="preserve">Mine Safety Disclosures </w:t>
      </w:r>
      <w:r>
        <w:rPr>
          <w:rFonts w:ascii="Calibri" w:cs="Calibri" w:eastAsia="Calibri" w:hAnsi="Calibri"/>
          <w:sz w:val="20"/>
          <w:szCs w:val="20"/>
          <w:color w:val="auto"/>
        </w:rPr>
        <w:t>. . . . . . . . . . . . . . . . . . . . . . . . . . . . . . . . . . . . . . . . . . . . . . . . . . . . . . . . . . . . . . . . . . . . . . . . . . . . . . .</w:t>
      </w:r>
      <w:r>
        <w:rPr>
          <w:sz w:val="20"/>
          <w:szCs w:val="20"/>
          <w:color w:val="auto"/>
        </w:rPr>
        <w:tab/>
      </w:r>
      <w:r>
        <w:rPr>
          <w:rFonts w:ascii="Calibri" w:cs="Calibri" w:eastAsia="Calibri" w:hAnsi="Calibri"/>
          <w:sz w:val="17"/>
          <w:szCs w:val="17"/>
          <w:color w:val="auto"/>
        </w:rPr>
        <w:t>61</w:t>
      </w:r>
    </w:p>
    <w:p>
      <w:pPr>
        <w:spacing w:after="0" w:line="1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PART II</w:t>
      </w:r>
    </w:p>
    <w:p>
      <w:pPr>
        <w:spacing w:after="0" w:line="130" w:lineRule="exact"/>
        <w:rPr>
          <w:sz w:val="20"/>
          <w:szCs w:val="20"/>
          <w:color w:val="auto"/>
        </w:rPr>
      </w:pPr>
    </w:p>
    <w:p>
      <w:pPr>
        <w:spacing w:after="0"/>
        <w:tabs>
          <w:tab w:leader="none" w:pos="1000" w:val="left"/>
          <w:tab w:leader="none" w:pos="10960" w:val="left"/>
        </w:tabs>
        <w:rPr>
          <w:sz w:val="20"/>
          <w:szCs w:val="20"/>
          <w:color w:val="auto"/>
        </w:rPr>
      </w:pPr>
      <w:r>
        <w:rPr>
          <w:rFonts w:ascii="Calibri" w:cs="Calibri" w:eastAsia="Calibri" w:hAnsi="Calibri"/>
          <w:sz w:val="18"/>
          <w:szCs w:val="18"/>
          <w:b w:val="1"/>
          <w:bCs w:val="1"/>
          <w:color w:val="auto"/>
        </w:rPr>
        <w:t>ITEM 5.</w:t>
      </w:r>
      <w:r>
        <w:rPr>
          <w:sz w:val="20"/>
          <w:szCs w:val="20"/>
          <w:color w:val="auto"/>
        </w:rPr>
        <w:tab/>
      </w:r>
      <w:r>
        <w:rPr>
          <w:rFonts w:ascii="Calibri" w:cs="Calibri" w:eastAsia="Calibri" w:hAnsi="Calibri"/>
          <w:sz w:val="18"/>
          <w:szCs w:val="18"/>
          <w:color w:val="auto"/>
        </w:rPr>
        <w:t xml:space="preserve">Market for Registrant’s Common Equity, Related Stockholder Matters, and Issuer Purchases of Equity Securities </w:t>
      </w:r>
      <w:r>
        <w:rPr>
          <w:rFonts w:ascii="Calibri" w:cs="Calibri" w:eastAsia="Calibri" w:hAnsi="Calibri"/>
          <w:sz w:val="20"/>
          <w:szCs w:val="20"/>
          <w:color w:val="auto"/>
        </w:rPr>
        <w:t>. . . . . . . . . . . .</w:t>
      </w:r>
      <w:r>
        <w:rPr>
          <w:sz w:val="20"/>
          <w:szCs w:val="20"/>
          <w:color w:val="auto"/>
        </w:rPr>
        <w:tab/>
      </w:r>
      <w:r>
        <w:rPr>
          <w:rFonts w:ascii="Calibri" w:cs="Calibri" w:eastAsia="Calibri" w:hAnsi="Calibri"/>
          <w:sz w:val="17"/>
          <w:szCs w:val="17"/>
          <w:color w:val="auto"/>
        </w:rPr>
        <w:t>62</w:t>
      </w:r>
    </w:p>
    <w:p>
      <w:pPr>
        <w:spacing w:after="0" w:line="122" w:lineRule="exact"/>
        <w:rPr>
          <w:sz w:val="20"/>
          <w:szCs w:val="20"/>
          <w:color w:val="auto"/>
        </w:rPr>
      </w:pPr>
    </w:p>
    <w:p>
      <w:pPr>
        <w:spacing w:after="0"/>
        <w:tabs>
          <w:tab w:leader="none" w:pos="1000" w:val="left"/>
          <w:tab w:leader="none" w:pos="10960" w:val="left"/>
        </w:tabs>
        <w:rPr>
          <w:sz w:val="20"/>
          <w:szCs w:val="20"/>
          <w:color w:val="auto"/>
        </w:rPr>
      </w:pPr>
      <w:r>
        <w:rPr>
          <w:rFonts w:ascii="Calibri" w:cs="Calibri" w:eastAsia="Calibri" w:hAnsi="Calibri"/>
          <w:sz w:val="18"/>
          <w:szCs w:val="18"/>
          <w:b w:val="1"/>
          <w:bCs w:val="1"/>
          <w:color w:val="auto"/>
        </w:rPr>
        <w:t>ITEM 6.</w:t>
      </w:r>
      <w:r>
        <w:rPr>
          <w:sz w:val="20"/>
          <w:szCs w:val="20"/>
          <w:color w:val="auto"/>
        </w:rPr>
        <w:tab/>
      </w:r>
      <w:r>
        <w:rPr>
          <w:rFonts w:ascii="Calibri" w:cs="Calibri" w:eastAsia="Calibri" w:hAnsi="Calibri"/>
          <w:sz w:val="18"/>
          <w:szCs w:val="18"/>
          <w:color w:val="auto"/>
        </w:rPr>
        <w:t xml:space="preserve">[Reserved] </w:t>
      </w:r>
      <w:r>
        <w:rPr>
          <w:rFonts w:ascii="Calibri" w:cs="Calibri" w:eastAsia="Calibri" w:hAnsi="Calibri"/>
          <w:sz w:val="20"/>
          <w:szCs w:val="20"/>
          <w:color w:val="auto"/>
        </w:rPr>
        <w:t>. . . . . . . . . . . . . . . . . . . . . . . . . . . . . . . . . . . . . . . . . . . . . . . . . . . . . . . . . . . . . . . . . . . . . . . . . . . . . . . . . . . . . . . . .</w:t>
      </w:r>
      <w:r>
        <w:rPr>
          <w:sz w:val="20"/>
          <w:szCs w:val="20"/>
          <w:color w:val="auto"/>
        </w:rPr>
        <w:tab/>
      </w:r>
      <w:r>
        <w:rPr>
          <w:rFonts w:ascii="Calibri" w:cs="Calibri" w:eastAsia="Calibri" w:hAnsi="Calibri"/>
          <w:sz w:val="17"/>
          <w:szCs w:val="17"/>
          <w:color w:val="auto"/>
        </w:rPr>
        <w:t>62</w:t>
      </w:r>
    </w:p>
    <w:p>
      <w:pPr>
        <w:spacing w:after="0" w:line="139" w:lineRule="exact"/>
        <w:rPr>
          <w:sz w:val="20"/>
          <w:szCs w:val="20"/>
          <w:color w:val="auto"/>
        </w:rPr>
      </w:pPr>
    </w:p>
    <w:p>
      <w:pPr>
        <w:spacing w:after="0"/>
        <w:tabs>
          <w:tab w:leader="none" w:pos="1000" w:val="left"/>
          <w:tab w:leader="none" w:pos="10960" w:val="left"/>
        </w:tabs>
        <w:rPr>
          <w:sz w:val="20"/>
          <w:szCs w:val="20"/>
          <w:color w:val="auto"/>
        </w:rPr>
      </w:pPr>
      <w:r>
        <w:rPr>
          <w:rFonts w:ascii="Calibri" w:cs="Calibri" w:eastAsia="Calibri" w:hAnsi="Calibri"/>
          <w:sz w:val="18"/>
          <w:szCs w:val="18"/>
          <w:b w:val="1"/>
          <w:bCs w:val="1"/>
          <w:color w:val="auto"/>
        </w:rPr>
        <w:t>ITEM 7.</w:t>
      </w:r>
      <w:r>
        <w:rPr>
          <w:sz w:val="20"/>
          <w:szCs w:val="20"/>
          <w:color w:val="auto"/>
        </w:rPr>
        <w:tab/>
      </w:r>
      <w:r>
        <w:rPr>
          <w:rFonts w:ascii="Calibri" w:cs="Calibri" w:eastAsia="Calibri" w:hAnsi="Calibri"/>
          <w:sz w:val="18"/>
          <w:szCs w:val="18"/>
          <w:color w:val="auto"/>
        </w:rPr>
        <w:t>Management’s Discussion and Analysis of Financial Condition and Results of Operations . . . . . . . . . . . . . . . . . . . . . . . . . . . . . . . .</w:t>
      </w:r>
      <w:r>
        <w:rPr>
          <w:sz w:val="20"/>
          <w:szCs w:val="20"/>
          <w:color w:val="auto"/>
        </w:rPr>
        <w:tab/>
      </w:r>
      <w:r>
        <w:rPr>
          <w:rFonts w:ascii="Calibri" w:cs="Calibri" w:eastAsia="Calibri" w:hAnsi="Calibri"/>
          <w:sz w:val="17"/>
          <w:szCs w:val="17"/>
          <w:color w:val="auto"/>
        </w:rPr>
        <w:t>63</w:t>
      </w:r>
    </w:p>
    <w:p>
      <w:pPr>
        <w:spacing w:after="0" w:line="129" w:lineRule="exact"/>
        <w:rPr>
          <w:sz w:val="20"/>
          <w:szCs w:val="20"/>
          <w:color w:val="auto"/>
        </w:rPr>
      </w:pPr>
    </w:p>
    <w:p>
      <w:pPr>
        <w:spacing w:after="0"/>
        <w:tabs>
          <w:tab w:leader="none" w:pos="1000" w:val="left"/>
          <w:tab w:leader="none" w:pos="10960" w:val="left"/>
        </w:tabs>
        <w:rPr>
          <w:sz w:val="20"/>
          <w:szCs w:val="20"/>
          <w:color w:val="auto"/>
        </w:rPr>
      </w:pPr>
      <w:r>
        <w:rPr>
          <w:rFonts w:ascii="Calibri" w:cs="Calibri" w:eastAsia="Calibri" w:hAnsi="Calibri"/>
          <w:sz w:val="18"/>
          <w:szCs w:val="18"/>
          <w:b w:val="1"/>
          <w:bCs w:val="1"/>
          <w:color w:val="auto"/>
        </w:rPr>
        <w:t>ITEM 7A.</w:t>
      </w:r>
      <w:r>
        <w:rPr>
          <w:sz w:val="20"/>
          <w:szCs w:val="20"/>
          <w:color w:val="auto"/>
        </w:rPr>
        <w:tab/>
      </w:r>
      <w:r>
        <w:rPr>
          <w:rFonts w:ascii="Calibri" w:cs="Calibri" w:eastAsia="Calibri" w:hAnsi="Calibri"/>
          <w:sz w:val="18"/>
          <w:szCs w:val="18"/>
          <w:color w:val="auto"/>
        </w:rPr>
        <w:t xml:space="preserve">Quantitative and Qualitative Disclosures About Market Risk </w:t>
      </w:r>
      <w:r>
        <w:rPr>
          <w:rFonts w:ascii="Calibri" w:cs="Calibri" w:eastAsia="Calibri" w:hAnsi="Calibri"/>
          <w:sz w:val="20"/>
          <w:szCs w:val="20"/>
          <w:color w:val="auto"/>
        </w:rPr>
        <w:t>. . . . . . . . . . . . . . . . . . . . . . . . . . . . . . . . . . . . . . . . . . . . . . . . . . . .</w:t>
      </w:r>
      <w:r>
        <w:rPr>
          <w:sz w:val="20"/>
          <w:szCs w:val="20"/>
          <w:color w:val="auto"/>
        </w:rPr>
        <w:tab/>
      </w:r>
      <w:r>
        <w:rPr>
          <w:rFonts w:ascii="Calibri" w:cs="Calibri" w:eastAsia="Calibri" w:hAnsi="Calibri"/>
          <w:sz w:val="17"/>
          <w:szCs w:val="17"/>
          <w:color w:val="auto"/>
        </w:rPr>
        <w:t>74</w:t>
      </w:r>
    </w:p>
    <w:p>
      <w:pPr>
        <w:spacing w:after="0" w:line="122" w:lineRule="exact"/>
        <w:rPr>
          <w:sz w:val="20"/>
          <w:szCs w:val="20"/>
          <w:color w:val="auto"/>
        </w:rPr>
      </w:pPr>
    </w:p>
    <w:p>
      <w:pPr>
        <w:spacing w:after="0"/>
        <w:tabs>
          <w:tab w:leader="none" w:pos="1000" w:val="left"/>
          <w:tab w:leader="none" w:pos="10960" w:val="left"/>
        </w:tabs>
        <w:rPr>
          <w:sz w:val="20"/>
          <w:szCs w:val="20"/>
          <w:color w:val="auto"/>
        </w:rPr>
      </w:pPr>
      <w:r>
        <w:rPr>
          <w:rFonts w:ascii="Calibri" w:cs="Calibri" w:eastAsia="Calibri" w:hAnsi="Calibri"/>
          <w:sz w:val="18"/>
          <w:szCs w:val="18"/>
          <w:b w:val="1"/>
          <w:bCs w:val="1"/>
          <w:color w:val="auto"/>
        </w:rPr>
        <w:t>ITEM 8.</w:t>
      </w:r>
      <w:r>
        <w:rPr>
          <w:sz w:val="20"/>
          <w:szCs w:val="20"/>
          <w:color w:val="auto"/>
        </w:rPr>
        <w:tab/>
      </w:r>
      <w:r>
        <w:rPr>
          <w:rFonts w:ascii="Calibri" w:cs="Calibri" w:eastAsia="Calibri" w:hAnsi="Calibri"/>
          <w:sz w:val="18"/>
          <w:szCs w:val="18"/>
          <w:color w:val="auto"/>
        </w:rPr>
        <w:t xml:space="preserve">Financial Statements and Supplementary Data </w:t>
      </w:r>
      <w:r>
        <w:rPr>
          <w:rFonts w:ascii="Calibri" w:cs="Calibri" w:eastAsia="Calibri" w:hAnsi="Calibri"/>
          <w:sz w:val="20"/>
          <w:szCs w:val="20"/>
          <w:color w:val="auto"/>
        </w:rPr>
        <w:t>. . . . . . . . . . . . . . . . . . . . . . . . . . . . . . . . . . . . . . . . . . . . . . . . . . . . . . . . . . . . . .</w:t>
      </w:r>
      <w:r>
        <w:rPr>
          <w:sz w:val="20"/>
          <w:szCs w:val="20"/>
          <w:color w:val="auto"/>
        </w:rPr>
        <w:tab/>
      </w:r>
      <w:r>
        <w:rPr>
          <w:rFonts w:ascii="Calibri" w:cs="Calibri" w:eastAsia="Calibri" w:hAnsi="Calibri"/>
          <w:sz w:val="17"/>
          <w:szCs w:val="17"/>
          <w:color w:val="auto"/>
        </w:rPr>
        <w:t>75</w:t>
      </w:r>
    </w:p>
    <w:p>
      <w:pPr>
        <w:spacing w:after="0" w:line="139" w:lineRule="exact"/>
        <w:rPr>
          <w:sz w:val="20"/>
          <w:szCs w:val="20"/>
          <w:color w:val="auto"/>
        </w:rPr>
      </w:pPr>
    </w:p>
    <w:p>
      <w:pPr>
        <w:spacing w:after="0"/>
        <w:tabs>
          <w:tab w:leader="none" w:pos="1000" w:val="left"/>
          <w:tab w:leader="none" w:pos="10860" w:val="left"/>
        </w:tabs>
        <w:rPr>
          <w:sz w:val="20"/>
          <w:szCs w:val="20"/>
          <w:color w:val="auto"/>
        </w:rPr>
      </w:pPr>
      <w:r>
        <w:rPr>
          <w:rFonts w:ascii="Calibri" w:cs="Calibri" w:eastAsia="Calibri" w:hAnsi="Calibri"/>
          <w:sz w:val="18"/>
          <w:szCs w:val="18"/>
          <w:b w:val="1"/>
          <w:bCs w:val="1"/>
          <w:color w:val="auto"/>
        </w:rPr>
        <w:t>ITEM 9.</w:t>
      </w:r>
      <w:r>
        <w:rPr>
          <w:sz w:val="20"/>
          <w:szCs w:val="20"/>
          <w:color w:val="auto"/>
        </w:rPr>
        <w:tab/>
      </w:r>
      <w:r>
        <w:rPr>
          <w:rFonts w:ascii="Calibri" w:cs="Calibri" w:eastAsia="Calibri" w:hAnsi="Calibri"/>
          <w:sz w:val="18"/>
          <w:szCs w:val="18"/>
          <w:color w:val="auto"/>
        </w:rPr>
        <w:t>Changes in and Disagreements with Accountants on Accounting and Financial Disclosure . . . . . . . . . . . . . . . . . . . . . . . . . . . . . . . .</w:t>
      </w:r>
      <w:r>
        <w:rPr>
          <w:sz w:val="20"/>
          <w:szCs w:val="20"/>
          <w:color w:val="auto"/>
        </w:rPr>
        <w:tab/>
      </w:r>
      <w:r>
        <w:rPr>
          <w:rFonts w:ascii="Calibri" w:cs="Calibri" w:eastAsia="Calibri" w:hAnsi="Calibri"/>
          <w:sz w:val="18"/>
          <w:szCs w:val="18"/>
          <w:color w:val="auto"/>
        </w:rPr>
        <w:t>114</w:t>
      </w:r>
    </w:p>
    <w:p>
      <w:pPr>
        <w:spacing w:after="0" w:line="130" w:lineRule="exact"/>
        <w:rPr>
          <w:sz w:val="20"/>
          <w:szCs w:val="20"/>
          <w:color w:val="auto"/>
        </w:rPr>
      </w:pPr>
    </w:p>
    <w:p>
      <w:pPr>
        <w:spacing w:after="0"/>
        <w:tabs>
          <w:tab w:leader="none" w:pos="1000" w:val="left"/>
          <w:tab w:leader="none" w:pos="10860" w:val="left"/>
        </w:tabs>
        <w:rPr>
          <w:sz w:val="20"/>
          <w:szCs w:val="20"/>
          <w:color w:val="auto"/>
        </w:rPr>
      </w:pPr>
      <w:r>
        <w:rPr>
          <w:rFonts w:ascii="Calibri" w:cs="Calibri" w:eastAsia="Calibri" w:hAnsi="Calibri"/>
          <w:sz w:val="18"/>
          <w:szCs w:val="18"/>
          <w:b w:val="1"/>
          <w:bCs w:val="1"/>
          <w:color w:val="auto"/>
        </w:rPr>
        <w:t>ITEM 9A.</w:t>
      </w:r>
      <w:r>
        <w:rPr>
          <w:sz w:val="20"/>
          <w:szCs w:val="20"/>
          <w:color w:val="auto"/>
        </w:rPr>
        <w:tab/>
      </w:r>
      <w:r>
        <w:rPr>
          <w:rFonts w:ascii="Calibri" w:cs="Calibri" w:eastAsia="Calibri" w:hAnsi="Calibri"/>
          <w:sz w:val="18"/>
          <w:szCs w:val="18"/>
          <w:color w:val="auto"/>
        </w:rPr>
        <w:t xml:space="preserve">Controls and Procedures </w:t>
      </w:r>
      <w:r>
        <w:rPr>
          <w:rFonts w:ascii="Calibri" w:cs="Calibri" w:eastAsia="Calibri" w:hAnsi="Calibri"/>
          <w:sz w:val="20"/>
          <w:szCs w:val="20"/>
          <w:color w:val="auto"/>
        </w:rPr>
        <w:t>. . . . . . . . . . . . . . . . . . . . . . . . . . . . . . . . . . . . . . . . . . . . . . . . . . . . . . . . . . . . . . . . . . . . . . . . . . . . . .</w:t>
      </w:r>
      <w:r>
        <w:rPr>
          <w:sz w:val="20"/>
          <w:szCs w:val="20"/>
          <w:color w:val="auto"/>
        </w:rPr>
        <w:tab/>
      </w:r>
      <w:r>
        <w:rPr>
          <w:rFonts w:ascii="Calibri" w:cs="Calibri" w:eastAsia="Calibri" w:hAnsi="Calibri"/>
          <w:sz w:val="18"/>
          <w:szCs w:val="18"/>
          <w:color w:val="auto"/>
        </w:rPr>
        <w:t>114</w:t>
      </w:r>
    </w:p>
    <w:p>
      <w:pPr>
        <w:spacing w:after="0" w:line="122" w:lineRule="exact"/>
        <w:rPr>
          <w:sz w:val="20"/>
          <w:szCs w:val="20"/>
          <w:color w:val="auto"/>
        </w:rPr>
      </w:pPr>
    </w:p>
    <w:p>
      <w:pPr>
        <w:spacing w:after="0"/>
        <w:tabs>
          <w:tab w:leader="none" w:pos="1000" w:val="left"/>
          <w:tab w:leader="none" w:pos="10860" w:val="left"/>
        </w:tabs>
        <w:rPr>
          <w:sz w:val="20"/>
          <w:szCs w:val="20"/>
          <w:color w:val="auto"/>
        </w:rPr>
      </w:pPr>
      <w:r>
        <w:rPr>
          <w:rFonts w:ascii="Calibri" w:cs="Calibri" w:eastAsia="Calibri" w:hAnsi="Calibri"/>
          <w:sz w:val="18"/>
          <w:szCs w:val="18"/>
          <w:b w:val="1"/>
          <w:bCs w:val="1"/>
          <w:color w:val="auto"/>
        </w:rPr>
        <w:t>ITEM 9B.</w:t>
      </w:r>
      <w:r>
        <w:rPr>
          <w:sz w:val="20"/>
          <w:szCs w:val="20"/>
          <w:color w:val="auto"/>
        </w:rPr>
        <w:tab/>
      </w:r>
      <w:r>
        <w:rPr>
          <w:rFonts w:ascii="Calibri" w:cs="Calibri" w:eastAsia="Calibri" w:hAnsi="Calibri"/>
          <w:sz w:val="18"/>
          <w:szCs w:val="18"/>
          <w:color w:val="auto"/>
        </w:rPr>
        <w:t xml:space="preserve">Other Information </w:t>
      </w:r>
      <w:r>
        <w:rPr>
          <w:rFonts w:ascii="Calibri" w:cs="Calibri" w:eastAsia="Calibri" w:hAnsi="Calibri"/>
          <w:sz w:val="20"/>
          <w:szCs w:val="20"/>
          <w:color w:val="auto"/>
        </w:rPr>
        <w:t>. . . . . . . . . . . . . . . . . . . . . . . . . . . . . . . . . . . . . . . . . . . . . . . . . . . . . . . . . . . . . . . . . . . . . . . . . . . . . . . . . . .</w:t>
      </w:r>
      <w:r>
        <w:rPr>
          <w:sz w:val="20"/>
          <w:szCs w:val="20"/>
          <w:color w:val="auto"/>
        </w:rPr>
        <w:tab/>
      </w:r>
      <w:r>
        <w:rPr>
          <w:rFonts w:ascii="Calibri" w:cs="Calibri" w:eastAsia="Calibri" w:hAnsi="Calibri"/>
          <w:sz w:val="18"/>
          <w:szCs w:val="18"/>
          <w:color w:val="auto"/>
        </w:rPr>
        <w:t>116</w:t>
      </w:r>
    </w:p>
    <w:p>
      <w:pPr>
        <w:spacing w:after="0" w:line="122" w:lineRule="exact"/>
        <w:rPr>
          <w:sz w:val="20"/>
          <w:szCs w:val="20"/>
          <w:color w:val="auto"/>
        </w:rPr>
      </w:pPr>
    </w:p>
    <w:p>
      <w:pPr>
        <w:spacing w:after="0"/>
        <w:tabs>
          <w:tab w:leader="none" w:pos="1000" w:val="left"/>
          <w:tab w:leader="none" w:pos="10860" w:val="left"/>
        </w:tabs>
        <w:rPr>
          <w:sz w:val="20"/>
          <w:szCs w:val="20"/>
          <w:color w:val="auto"/>
        </w:rPr>
      </w:pPr>
      <w:r>
        <w:rPr>
          <w:rFonts w:ascii="Calibri" w:cs="Calibri" w:eastAsia="Calibri" w:hAnsi="Calibri"/>
          <w:sz w:val="18"/>
          <w:szCs w:val="18"/>
          <w:b w:val="1"/>
          <w:bCs w:val="1"/>
          <w:color w:val="auto"/>
        </w:rPr>
        <w:t>ITEM 9C.</w:t>
      </w:r>
      <w:r>
        <w:rPr>
          <w:sz w:val="20"/>
          <w:szCs w:val="20"/>
          <w:color w:val="auto"/>
        </w:rPr>
        <w:tab/>
      </w:r>
      <w:r>
        <w:rPr>
          <w:rFonts w:ascii="Calibri" w:cs="Calibri" w:eastAsia="Calibri" w:hAnsi="Calibri"/>
          <w:sz w:val="18"/>
          <w:szCs w:val="18"/>
          <w:color w:val="auto"/>
        </w:rPr>
        <w:t xml:space="preserve">Disclosure Regarding Foreign Jurisdictions that Prevent Inspections </w:t>
      </w:r>
      <w:r>
        <w:rPr>
          <w:rFonts w:ascii="Calibri" w:cs="Calibri" w:eastAsia="Calibri" w:hAnsi="Calibri"/>
          <w:sz w:val="20"/>
          <w:szCs w:val="20"/>
          <w:color w:val="auto"/>
        </w:rPr>
        <w:t>. . . . . . . . . . . . . . . . . . . . . . . . . . . . . . . . . . . . . . . . . . . . . .</w:t>
      </w:r>
      <w:r>
        <w:rPr>
          <w:sz w:val="20"/>
          <w:szCs w:val="20"/>
          <w:color w:val="auto"/>
        </w:rPr>
        <w:tab/>
      </w:r>
      <w:r>
        <w:rPr>
          <w:rFonts w:ascii="Calibri" w:cs="Calibri" w:eastAsia="Calibri" w:hAnsi="Calibri"/>
          <w:sz w:val="18"/>
          <w:szCs w:val="18"/>
          <w:color w:val="auto"/>
        </w:rPr>
        <w:t>116</w:t>
      </w:r>
    </w:p>
    <w:p>
      <w:pPr>
        <w:spacing w:after="0" w:line="1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PART III</w:t>
      </w:r>
    </w:p>
    <w:p>
      <w:pPr>
        <w:spacing w:after="0" w:line="129" w:lineRule="exact"/>
        <w:rPr>
          <w:sz w:val="20"/>
          <w:szCs w:val="20"/>
          <w:color w:val="auto"/>
        </w:rPr>
      </w:pPr>
    </w:p>
    <w:p>
      <w:pPr>
        <w:spacing w:after="0"/>
        <w:tabs>
          <w:tab w:leader="none" w:pos="1000" w:val="left"/>
          <w:tab w:leader="none" w:pos="10860" w:val="left"/>
        </w:tabs>
        <w:rPr>
          <w:sz w:val="20"/>
          <w:szCs w:val="20"/>
          <w:color w:val="auto"/>
        </w:rPr>
      </w:pPr>
      <w:r>
        <w:rPr>
          <w:rFonts w:ascii="Calibri" w:cs="Calibri" w:eastAsia="Calibri" w:hAnsi="Calibri"/>
          <w:sz w:val="18"/>
          <w:szCs w:val="18"/>
          <w:b w:val="1"/>
          <w:bCs w:val="1"/>
          <w:color w:val="auto"/>
        </w:rPr>
        <w:t>ITEM 10.</w:t>
      </w:r>
      <w:r>
        <w:rPr>
          <w:sz w:val="20"/>
          <w:szCs w:val="20"/>
          <w:color w:val="auto"/>
        </w:rPr>
        <w:tab/>
      </w:r>
      <w:r>
        <w:rPr>
          <w:rFonts w:ascii="Calibri" w:cs="Calibri" w:eastAsia="Calibri" w:hAnsi="Calibri"/>
          <w:sz w:val="18"/>
          <w:szCs w:val="18"/>
          <w:color w:val="auto"/>
        </w:rPr>
        <w:t>Directors, Executive Officers and Corporate Governance</w:t>
      </w:r>
      <w:r>
        <w:rPr>
          <w:rFonts w:ascii="Calibri" w:cs="Calibri" w:eastAsia="Calibri" w:hAnsi="Calibri"/>
          <w:sz w:val="20"/>
          <w:szCs w:val="20"/>
          <w:color w:val="auto"/>
        </w:rPr>
        <w:t>. . . . . . . . . . . . . . . . . . . . . . . . . . . . . . . . . . . . . . . . . . . . . . . . . . . . . . .</w:t>
      </w:r>
      <w:r>
        <w:rPr>
          <w:sz w:val="20"/>
          <w:szCs w:val="20"/>
          <w:color w:val="auto"/>
        </w:rPr>
        <w:tab/>
      </w:r>
      <w:r>
        <w:rPr>
          <w:rFonts w:ascii="Calibri" w:cs="Calibri" w:eastAsia="Calibri" w:hAnsi="Calibri"/>
          <w:sz w:val="18"/>
          <w:szCs w:val="18"/>
          <w:color w:val="auto"/>
        </w:rPr>
        <w:t>116</w:t>
      </w:r>
    </w:p>
    <w:p>
      <w:pPr>
        <w:spacing w:after="0" w:line="123" w:lineRule="exact"/>
        <w:rPr>
          <w:sz w:val="20"/>
          <w:szCs w:val="20"/>
          <w:color w:val="auto"/>
        </w:rPr>
      </w:pPr>
    </w:p>
    <w:p>
      <w:pPr>
        <w:spacing w:after="0"/>
        <w:tabs>
          <w:tab w:leader="none" w:pos="1000" w:val="left"/>
          <w:tab w:leader="none" w:pos="10860" w:val="left"/>
        </w:tabs>
        <w:rPr>
          <w:sz w:val="20"/>
          <w:szCs w:val="20"/>
          <w:color w:val="auto"/>
        </w:rPr>
      </w:pPr>
      <w:r>
        <w:rPr>
          <w:rFonts w:ascii="Calibri" w:cs="Calibri" w:eastAsia="Calibri" w:hAnsi="Calibri"/>
          <w:sz w:val="18"/>
          <w:szCs w:val="18"/>
          <w:b w:val="1"/>
          <w:bCs w:val="1"/>
          <w:color w:val="auto"/>
        </w:rPr>
        <w:t>ITEM 11.</w:t>
      </w:r>
      <w:r>
        <w:rPr>
          <w:sz w:val="20"/>
          <w:szCs w:val="20"/>
          <w:color w:val="auto"/>
        </w:rPr>
        <w:tab/>
      </w:r>
      <w:r>
        <w:rPr>
          <w:rFonts w:ascii="Calibri" w:cs="Calibri" w:eastAsia="Calibri" w:hAnsi="Calibri"/>
          <w:sz w:val="18"/>
          <w:szCs w:val="18"/>
          <w:color w:val="auto"/>
        </w:rPr>
        <w:t xml:space="preserve">Executive Compensation </w:t>
      </w:r>
      <w:r>
        <w:rPr>
          <w:rFonts w:ascii="Calibri" w:cs="Calibri" w:eastAsia="Calibri" w:hAnsi="Calibri"/>
          <w:sz w:val="20"/>
          <w:szCs w:val="20"/>
          <w:color w:val="auto"/>
        </w:rPr>
        <w:t>. . . . . . . . . . . . . . . . . . . . . . . . . . . . . . . . . . . . . . . . . . . . . . . . . . . . . . . . . . . . . . . . . . . . . . . . . . . . . .</w:t>
      </w:r>
      <w:r>
        <w:rPr>
          <w:sz w:val="20"/>
          <w:szCs w:val="20"/>
          <w:color w:val="auto"/>
        </w:rPr>
        <w:tab/>
      </w:r>
      <w:r>
        <w:rPr>
          <w:rFonts w:ascii="Calibri" w:cs="Calibri" w:eastAsia="Calibri" w:hAnsi="Calibri"/>
          <w:sz w:val="18"/>
          <w:szCs w:val="18"/>
          <w:color w:val="auto"/>
        </w:rPr>
        <w:t>116</w:t>
      </w:r>
    </w:p>
    <w:p>
      <w:pPr>
        <w:spacing w:after="0" w:line="195" w:lineRule="exact"/>
        <w:rPr>
          <w:sz w:val="20"/>
          <w:szCs w:val="20"/>
          <w:color w:val="auto"/>
        </w:rPr>
      </w:pPr>
    </w:p>
    <w:p>
      <w:pPr>
        <w:spacing w:after="0"/>
        <w:tabs>
          <w:tab w:leader="none" w:pos="1000" w:val="left"/>
          <w:tab w:leader="none" w:pos="10860" w:val="left"/>
        </w:tabs>
        <w:rPr>
          <w:sz w:val="20"/>
          <w:szCs w:val="20"/>
          <w:color w:val="auto"/>
        </w:rPr>
      </w:pPr>
      <w:r>
        <w:rPr>
          <w:rFonts w:ascii="Calibri" w:cs="Calibri" w:eastAsia="Calibri" w:hAnsi="Calibri"/>
          <w:sz w:val="18"/>
          <w:szCs w:val="18"/>
          <w:b w:val="1"/>
          <w:bCs w:val="1"/>
          <w:color w:val="auto"/>
        </w:rPr>
        <w:t>ITEM 12.</w:t>
      </w:r>
      <w:r>
        <w:rPr>
          <w:sz w:val="20"/>
          <w:szCs w:val="20"/>
          <w:color w:val="auto"/>
        </w:rPr>
        <w:tab/>
      </w:r>
      <w:r>
        <w:rPr>
          <w:rFonts w:ascii="Calibri" w:cs="Calibri" w:eastAsia="Calibri" w:hAnsi="Calibri"/>
          <w:sz w:val="18"/>
          <w:szCs w:val="18"/>
          <w:color w:val="auto"/>
        </w:rPr>
        <w:t xml:space="preserve">Security Ownership of Certain Beneficial Owners and Management and Related Stockholder Matters </w:t>
      </w:r>
      <w:r>
        <w:rPr>
          <w:rFonts w:ascii="Calibri" w:cs="Calibri" w:eastAsia="Calibri" w:hAnsi="Calibri"/>
          <w:sz w:val="20"/>
          <w:szCs w:val="20"/>
          <w:color w:val="auto"/>
        </w:rPr>
        <w:t>. . . . . . . . . . . . . . . . . . . . .</w:t>
      </w:r>
      <w:r>
        <w:rPr>
          <w:sz w:val="20"/>
          <w:szCs w:val="20"/>
          <w:color w:val="auto"/>
        </w:rPr>
        <w:tab/>
      </w:r>
      <w:r>
        <w:rPr>
          <w:rFonts w:ascii="Calibri" w:cs="Calibri" w:eastAsia="Calibri" w:hAnsi="Calibri"/>
          <w:sz w:val="18"/>
          <w:szCs w:val="18"/>
          <w:color w:val="auto"/>
        </w:rPr>
        <w:t>116</w:t>
      </w:r>
    </w:p>
    <w:p>
      <w:pPr>
        <w:spacing w:after="0" w:line="195" w:lineRule="exact"/>
        <w:rPr>
          <w:sz w:val="20"/>
          <w:szCs w:val="20"/>
          <w:color w:val="auto"/>
        </w:rPr>
      </w:pPr>
    </w:p>
    <w:p>
      <w:pPr>
        <w:spacing w:after="0"/>
        <w:tabs>
          <w:tab w:leader="none" w:pos="1000" w:val="left"/>
          <w:tab w:leader="none" w:pos="10860" w:val="left"/>
        </w:tabs>
        <w:rPr>
          <w:sz w:val="20"/>
          <w:szCs w:val="20"/>
          <w:color w:val="auto"/>
        </w:rPr>
      </w:pPr>
      <w:r>
        <w:rPr>
          <w:rFonts w:ascii="Calibri" w:cs="Calibri" w:eastAsia="Calibri" w:hAnsi="Calibri"/>
          <w:sz w:val="18"/>
          <w:szCs w:val="18"/>
          <w:b w:val="1"/>
          <w:bCs w:val="1"/>
          <w:color w:val="auto"/>
        </w:rPr>
        <w:t>ITEM 13.</w:t>
      </w:r>
      <w:r>
        <w:rPr>
          <w:sz w:val="20"/>
          <w:szCs w:val="20"/>
          <w:color w:val="auto"/>
        </w:rPr>
        <w:tab/>
      </w:r>
      <w:r>
        <w:rPr>
          <w:rFonts w:ascii="Calibri" w:cs="Calibri" w:eastAsia="Calibri" w:hAnsi="Calibri"/>
          <w:sz w:val="18"/>
          <w:szCs w:val="18"/>
          <w:color w:val="auto"/>
        </w:rPr>
        <w:t xml:space="preserve">Certain Relationships and Related Transactions, and Director Independence </w:t>
      </w:r>
      <w:r>
        <w:rPr>
          <w:rFonts w:ascii="Calibri" w:cs="Calibri" w:eastAsia="Calibri" w:hAnsi="Calibri"/>
          <w:sz w:val="20"/>
          <w:szCs w:val="20"/>
          <w:color w:val="auto"/>
        </w:rPr>
        <w:t>. . . . . . . . . . . . . . . . . . . . . . . . . . . . . . . . . . . . . . . .</w:t>
      </w:r>
      <w:r>
        <w:rPr>
          <w:sz w:val="20"/>
          <w:szCs w:val="20"/>
          <w:color w:val="auto"/>
        </w:rPr>
        <w:tab/>
      </w:r>
      <w:r>
        <w:rPr>
          <w:rFonts w:ascii="Calibri" w:cs="Calibri" w:eastAsia="Calibri" w:hAnsi="Calibri"/>
          <w:sz w:val="18"/>
          <w:szCs w:val="18"/>
          <w:color w:val="auto"/>
        </w:rPr>
        <w:t>116</w:t>
      </w:r>
    </w:p>
    <w:p>
      <w:pPr>
        <w:spacing w:after="0" w:line="195" w:lineRule="exact"/>
        <w:rPr>
          <w:sz w:val="20"/>
          <w:szCs w:val="20"/>
          <w:color w:val="auto"/>
        </w:rPr>
      </w:pPr>
    </w:p>
    <w:p>
      <w:pPr>
        <w:spacing w:after="0"/>
        <w:tabs>
          <w:tab w:leader="none" w:pos="1000" w:val="left"/>
          <w:tab w:leader="none" w:pos="10860" w:val="left"/>
        </w:tabs>
        <w:rPr>
          <w:sz w:val="20"/>
          <w:szCs w:val="20"/>
          <w:color w:val="auto"/>
        </w:rPr>
      </w:pPr>
      <w:r>
        <w:rPr>
          <w:rFonts w:ascii="Calibri" w:cs="Calibri" w:eastAsia="Calibri" w:hAnsi="Calibri"/>
          <w:sz w:val="18"/>
          <w:szCs w:val="18"/>
          <w:b w:val="1"/>
          <w:bCs w:val="1"/>
          <w:color w:val="auto"/>
        </w:rPr>
        <w:t>ITEM 14.</w:t>
      </w:r>
      <w:r>
        <w:rPr>
          <w:sz w:val="20"/>
          <w:szCs w:val="20"/>
          <w:color w:val="auto"/>
        </w:rPr>
        <w:tab/>
      </w:r>
      <w:r>
        <w:rPr>
          <w:rFonts w:ascii="Calibri" w:cs="Calibri" w:eastAsia="Calibri" w:hAnsi="Calibri"/>
          <w:sz w:val="18"/>
          <w:szCs w:val="18"/>
          <w:color w:val="auto"/>
        </w:rPr>
        <w:t xml:space="preserve">Principal Accounting Fees and Services </w:t>
      </w:r>
      <w:r>
        <w:rPr>
          <w:rFonts w:ascii="Calibri" w:cs="Calibri" w:eastAsia="Calibri" w:hAnsi="Calibri"/>
          <w:sz w:val="20"/>
          <w:szCs w:val="20"/>
          <w:color w:val="auto"/>
        </w:rPr>
        <w:t>. . . . . . . . . . . . . . . . . . . . . . . . . . . . . . . . . . . . . . . . . . . . . . . . . . . . . . . . . . . . . . . . . . . .</w:t>
      </w:r>
      <w:r>
        <w:rPr>
          <w:sz w:val="20"/>
          <w:szCs w:val="20"/>
          <w:color w:val="auto"/>
        </w:rPr>
        <w:tab/>
      </w:r>
      <w:r>
        <w:rPr>
          <w:rFonts w:ascii="Calibri" w:cs="Calibri" w:eastAsia="Calibri" w:hAnsi="Calibri"/>
          <w:sz w:val="18"/>
          <w:szCs w:val="18"/>
          <w:color w:val="auto"/>
        </w:rPr>
        <w:t>116</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PART IV</w:t>
      </w:r>
    </w:p>
    <w:p>
      <w:pPr>
        <w:spacing w:after="0" w:line="203" w:lineRule="exact"/>
        <w:rPr>
          <w:sz w:val="20"/>
          <w:szCs w:val="20"/>
          <w:color w:val="auto"/>
        </w:rPr>
      </w:pPr>
    </w:p>
    <w:p>
      <w:pPr>
        <w:spacing w:after="0"/>
        <w:tabs>
          <w:tab w:leader="none" w:pos="1000" w:val="left"/>
          <w:tab w:leader="none" w:pos="10860" w:val="left"/>
        </w:tabs>
        <w:rPr>
          <w:sz w:val="20"/>
          <w:szCs w:val="20"/>
          <w:color w:val="auto"/>
        </w:rPr>
      </w:pPr>
      <w:r>
        <w:rPr>
          <w:rFonts w:ascii="Calibri" w:cs="Calibri" w:eastAsia="Calibri" w:hAnsi="Calibri"/>
          <w:sz w:val="18"/>
          <w:szCs w:val="18"/>
          <w:b w:val="1"/>
          <w:bCs w:val="1"/>
          <w:color w:val="auto"/>
        </w:rPr>
        <w:t>ITEM 15.</w:t>
      </w:r>
      <w:r>
        <w:rPr>
          <w:sz w:val="20"/>
          <w:szCs w:val="20"/>
          <w:color w:val="auto"/>
        </w:rPr>
        <w:tab/>
      </w:r>
      <w:r>
        <w:rPr>
          <w:rFonts w:ascii="Calibri" w:cs="Calibri" w:eastAsia="Calibri" w:hAnsi="Calibri"/>
          <w:sz w:val="18"/>
          <w:szCs w:val="18"/>
          <w:color w:val="auto"/>
        </w:rPr>
        <w:t xml:space="preserve">Exhibits and Financial Statement Schedules </w:t>
      </w:r>
      <w:r>
        <w:rPr>
          <w:rFonts w:ascii="Calibri" w:cs="Calibri" w:eastAsia="Calibri" w:hAnsi="Calibri"/>
          <w:sz w:val="20"/>
          <w:szCs w:val="20"/>
          <w:color w:val="auto"/>
        </w:rPr>
        <w:t>. . . . . . . . . . . . . . . . . . . . . . . . . . . . . . . . . . . . . . . . . . . . . . . . . . . . . . . . . . . . . . . .</w:t>
      </w:r>
      <w:r>
        <w:rPr>
          <w:sz w:val="20"/>
          <w:szCs w:val="20"/>
          <w:color w:val="auto"/>
        </w:rPr>
        <w:tab/>
      </w:r>
      <w:r>
        <w:rPr>
          <w:rFonts w:ascii="Calibri" w:cs="Calibri" w:eastAsia="Calibri" w:hAnsi="Calibri"/>
          <w:sz w:val="18"/>
          <w:szCs w:val="18"/>
          <w:color w:val="auto"/>
        </w:rPr>
        <w:t>116</w:t>
      </w:r>
    </w:p>
    <w:p>
      <w:pPr>
        <w:spacing w:after="0" w:line="195" w:lineRule="exact"/>
        <w:rPr>
          <w:sz w:val="20"/>
          <w:szCs w:val="20"/>
          <w:color w:val="auto"/>
        </w:rPr>
      </w:pPr>
    </w:p>
    <w:p>
      <w:pPr>
        <w:spacing w:after="0"/>
        <w:tabs>
          <w:tab w:leader="none" w:pos="1000" w:val="left"/>
          <w:tab w:leader="none" w:pos="10860" w:val="left"/>
        </w:tabs>
        <w:rPr>
          <w:sz w:val="20"/>
          <w:szCs w:val="20"/>
          <w:color w:val="auto"/>
        </w:rPr>
      </w:pPr>
      <w:r>
        <w:rPr>
          <w:rFonts w:ascii="Calibri" w:cs="Calibri" w:eastAsia="Calibri" w:hAnsi="Calibri"/>
          <w:sz w:val="18"/>
          <w:szCs w:val="18"/>
          <w:b w:val="1"/>
          <w:bCs w:val="1"/>
          <w:color w:val="auto"/>
        </w:rPr>
        <w:t>ITEM 16.</w:t>
      </w:r>
      <w:r>
        <w:rPr>
          <w:sz w:val="20"/>
          <w:szCs w:val="20"/>
          <w:color w:val="auto"/>
        </w:rPr>
        <w:tab/>
      </w:r>
      <w:r>
        <w:rPr>
          <w:rFonts w:ascii="Calibri" w:cs="Calibri" w:eastAsia="Calibri" w:hAnsi="Calibri"/>
          <w:sz w:val="18"/>
          <w:szCs w:val="18"/>
          <w:color w:val="auto"/>
        </w:rPr>
        <w:t>Form 10 - K Summary</w:t>
      </w:r>
      <w:r>
        <w:rPr>
          <w:rFonts w:ascii="Calibri" w:cs="Calibri" w:eastAsia="Calibri" w:hAnsi="Calibri"/>
          <w:sz w:val="20"/>
          <w:szCs w:val="20"/>
          <w:color w:val="auto"/>
        </w:rPr>
        <w:t>. . . . . . . . . . . . . . . . . . . . . . . . . . . . . . . . . . . . . . . . . . . . . . . . . . . . . . . . . . . . . . . . . . . . . . . . . . . . . . . . . .</w:t>
      </w:r>
      <w:r>
        <w:rPr>
          <w:sz w:val="20"/>
          <w:szCs w:val="20"/>
          <w:color w:val="auto"/>
        </w:rPr>
        <w:tab/>
      </w:r>
      <w:r>
        <w:rPr>
          <w:rFonts w:ascii="Calibri" w:cs="Calibri" w:eastAsia="Calibri" w:hAnsi="Calibri"/>
          <w:sz w:val="18"/>
          <w:szCs w:val="18"/>
          <w:color w:val="auto"/>
        </w:rPr>
        <w:t>116</w:t>
      </w:r>
    </w:p>
    <w:p>
      <w:pPr>
        <w:spacing w:after="0" w:line="122" w:lineRule="exact"/>
        <w:rPr>
          <w:sz w:val="20"/>
          <w:szCs w:val="20"/>
          <w:color w:val="auto"/>
        </w:rPr>
      </w:pPr>
    </w:p>
    <w:p>
      <w:pPr>
        <w:ind w:left="1020"/>
        <w:spacing w:after="0"/>
        <w:tabs>
          <w:tab w:leader="none" w:pos="10860" w:val="left"/>
        </w:tabs>
        <w:rPr>
          <w:sz w:val="20"/>
          <w:szCs w:val="20"/>
          <w:color w:val="auto"/>
        </w:rPr>
      </w:pPr>
      <w:r>
        <w:rPr>
          <w:rFonts w:ascii="Calibri" w:cs="Calibri" w:eastAsia="Calibri" w:hAnsi="Calibri"/>
          <w:sz w:val="18"/>
          <w:szCs w:val="18"/>
          <w:color w:val="auto"/>
        </w:rPr>
        <w:t xml:space="preserve">Signatures </w:t>
      </w:r>
      <w:r>
        <w:rPr>
          <w:rFonts w:ascii="Calibri" w:cs="Calibri" w:eastAsia="Calibri" w:hAnsi="Calibri"/>
          <w:sz w:val="20"/>
          <w:szCs w:val="20"/>
          <w:color w:val="auto"/>
        </w:rPr>
        <w:t>. . . . . . . . . . . . . . . . . . . . . . . . . . . . . . . . . . . . . . . . . . . . . . . . . . . . . . . . . . . . . . . . . . . . . . . . . . . . . . . . . . . . . . . . .</w:t>
      </w:r>
      <w:r>
        <w:rPr>
          <w:sz w:val="20"/>
          <w:szCs w:val="20"/>
          <w:color w:val="auto"/>
        </w:rPr>
        <w:tab/>
      </w:r>
      <w:r>
        <w:rPr>
          <w:rFonts w:ascii="Calibri" w:cs="Calibri" w:eastAsia="Calibri" w:hAnsi="Calibri"/>
          <w:sz w:val="18"/>
          <w:szCs w:val="18"/>
          <w:color w:val="auto"/>
        </w:rPr>
        <w:t>121</w:t>
      </w:r>
    </w:p>
    <w:p>
      <w:pPr>
        <w:spacing w:after="0" w:line="233" w:lineRule="exact"/>
        <w:rPr>
          <w:sz w:val="20"/>
          <w:szCs w:val="20"/>
          <w:color w:val="auto"/>
        </w:rPr>
      </w:pPr>
    </w:p>
    <w:p>
      <w:pPr>
        <w:jc w:val="both"/>
        <w:spacing w:after="0" w:line="250" w:lineRule="auto"/>
        <w:rPr>
          <w:sz w:val="20"/>
          <w:szCs w:val="20"/>
          <w:color w:val="auto"/>
        </w:rPr>
      </w:pPr>
      <w:r>
        <w:rPr>
          <w:rFonts w:ascii="Calibri" w:cs="Calibri" w:eastAsia="Calibri" w:hAnsi="Calibri"/>
          <w:sz w:val="20"/>
          <w:szCs w:val="20"/>
          <w:color w:val="auto"/>
        </w:rPr>
        <w:t>LOQTORZI®, whether or not appearing in large print or with the trademark symbol, is a trademark of Coherus. Trademarks and trade names of other companies appearing in this Annual Report on Form 10-K are, to the knowledge of Coherus, the property of their respective owners.</w:t>
      </w:r>
    </w:p>
    <w:p>
      <w:pPr>
        <w:sectPr>
          <w:pgSz w:w="12240" w:h="15840" w:orient="portrait"/>
          <w:cols w:equalWidth="0" w:num="1">
            <w:col w:w="11160"/>
          </w:cols>
          <w:pgMar w:left="540" w:top="530" w:right="540" w:bottom="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ii</w:t>
      </w:r>
    </w:p>
    <w:p>
      <w:pPr>
        <w:sectPr>
          <w:pgSz w:w="12240" w:h="15840" w:orient="portrait"/>
          <w:cols w:equalWidth="0" w:num="1">
            <w:col w:w="11160"/>
          </w:cols>
          <w:pgMar w:left="540" w:top="530" w:right="540" w:bottom="33" w:gutter="0" w:footer="0" w:header="0"/>
          <w:type w:val="continuous"/>
        </w:sectPr>
      </w:pPr>
    </w:p>
    <w:bookmarkStart w:id="2" w:name="page3"/>
    <w:bookmarkEnd w:id="2"/>
    <w:p>
      <w:pPr>
        <w:jc w:val="both"/>
        <w:ind w:firstLine="720"/>
        <w:spacing w:after="0" w:line="254" w:lineRule="auto"/>
        <w:rPr>
          <w:sz w:val="20"/>
          <w:szCs w:val="20"/>
          <w:color w:val="auto"/>
        </w:rPr>
      </w:pPr>
      <w:r>
        <w:rPr>
          <w:rFonts w:ascii="Calibri" w:cs="Calibri" w:eastAsia="Calibri" w:hAnsi="Calibri"/>
          <w:sz w:val="20"/>
          <w:szCs w:val="20"/>
          <w:i w:val="1"/>
          <w:iCs w:val="1"/>
          <w:color w:val="auto"/>
        </w:rPr>
        <w:t>As used in this Annual Report on Form 10-K, unless the context requires otherwise, references to “Coherus,” the “Company,” “we,” “us,” and “our,” and similar references refer to Coherus Oncology, Inc. and its wholly owned subsidiaries.</w:t>
      </w:r>
    </w:p>
    <w:p>
      <w:pPr>
        <w:spacing w:after="0" w:line="211" w:lineRule="exact"/>
        <w:rPr>
          <w:sz w:val="20"/>
          <w:szCs w:val="20"/>
          <w:color w:val="auto"/>
        </w:rPr>
      </w:pPr>
    </w:p>
    <w:p>
      <w:pPr>
        <w:ind w:left="4500"/>
        <w:spacing w:after="0"/>
        <w:rPr>
          <w:sz w:val="20"/>
          <w:szCs w:val="20"/>
          <w:color w:val="auto"/>
        </w:rPr>
      </w:pPr>
      <w:r>
        <w:rPr>
          <w:rFonts w:ascii="Calibri" w:cs="Calibri" w:eastAsia="Calibri" w:hAnsi="Calibri"/>
          <w:sz w:val="20"/>
          <w:szCs w:val="20"/>
          <w:b w:val="1"/>
          <w:bCs w:val="1"/>
          <w:color w:val="auto"/>
        </w:rPr>
        <w:t>FORWARD-LOOKING STATEMENTS</w:t>
      </w:r>
    </w:p>
    <w:p>
      <w:pPr>
        <w:spacing w:after="0" w:line="240"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i w:val="1"/>
          <w:iCs w:val="1"/>
          <w:color w:val="auto"/>
        </w:rPr>
        <w:t>This Annual Report on Form 10 - K contains forward-looking statements regarding future events and our future results that are subject to the safe harbors created under the Securities Act of 1933, as amended (the “Securities Act”), and the Securities Exchange Act of 1934, as amended (the “Exchange Act”). Any statements that are not statements of historical facts contained in this Annual Report on Form 10 - K may be deemed to be forward-looking statements. In some cases, you can identify forward-looking statements by words such as “aim,” “anticipate,” “assume,” “attempt,” “believe,” “contemplate,” “continue,” “could,” “due,” “estimate,” “expect,” “goal,” “intend,” “may,” “objective,” “plan,” “predict,” “potential,” “seek,” “should,” “strive,”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235" w:lineRule="exact"/>
        <w:rPr>
          <w:sz w:val="20"/>
          <w:szCs w:val="20"/>
          <w:color w:val="auto"/>
        </w:rPr>
      </w:pPr>
    </w:p>
    <w:p>
      <w:pPr>
        <w:ind w:left="1080" w:right="20" w:hanging="353"/>
        <w:spacing w:after="0" w:line="244" w:lineRule="auto"/>
        <w:tabs>
          <w:tab w:leader="none" w:pos="1080" w:val="left"/>
        </w:tabs>
        <w:numPr>
          <w:ilvl w:val="0"/>
          <w:numId w:val="1"/>
        </w:numPr>
        <w:rPr>
          <w:rFonts w:ascii="Symbol" w:cs="Symbol" w:eastAsia="Symbol" w:hAnsi="Symbol"/>
          <w:sz w:val="20"/>
          <w:szCs w:val="20"/>
          <w:color w:val="auto"/>
        </w:rPr>
      </w:pPr>
      <w:r>
        <w:rPr>
          <w:rFonts w:ascii="Calibri" w:cs="Calibri" w:eastAsia="Calibri" w:hAnsi="Calibri"/>
          <w:sz w:val="20"/>
          <w:szCs w:val="20"/>
          <w:i w:val="1"/>
          <w:iCs w:val="1"/>
          <w:color w:val="auto"/>
        </w:rPr>
        <w:t>whether our available cash, cash equivalents and marketable securities, and product sales will be sufficient to fund our planned expenditures and meet our obligations in the future;</w:t>
      </w:r>
    </w:p>
    <w:p>
      <w:pPr>
        <w:spacing w:after="0" w:line="233" w:lineRule="exact"/>
        <w:rPr>
          <w:rFonts w:ascii="Symbol" w:cs="Symbol" w:eastAsia="Symbol" w:hAnsi="Symbol"/>
          <w:sz w:val="20"/>
          <w:szCs w:val="20"/>
          <w:color w:val="auto"/>
        </w:rPr>
      </w:pPr>
    </w:p>
    <w:p>
      <w:pPr>
        <w:ind w:left="1080" w:hanging="353"/>
        <w:spacing w:after="0"/>
        <w:tabs>
          <w:tab w:leader="none" w:pos="1080" w:val="left"/>
        </w:tabs>
        <w:numPr>
          <w:ilvl w:val="0"/>
          <w:numId w:val="1"/>
        </w:numPr>
        <w:rPr>
          <w:rFonts w:ascii="Symbol" w:cs="Symbol" w:eastAsia="Symbol" w:hAnsi="Symbol"/>
          <w:sz w:val="20"/>
          <w:szCs w:val="20"/>
          <w:color w:val="auto"/>
        </w:rPr>
      </w:pPr>
      <w:r>
        <w:rPr>
          <w:rFonts w:ascii="Calibri" w:cs="Calibri" w:eastAsia="Calibri" w:hAnsi="Calibri"/>
          <w:sz w:val="20"/>
          <w:szCs w:val="20"/>
          <w:i w:val="1"/>
          <w:iCs w:val="1"/>
          <w:color w:val="auto"/>
        </w:rPr>
        <w:t>whether we will be able to continue to maintain or increase sales for our product;</w:t>
      </w:r>
    </w:p>
    <w:p>
      <w:pPr>
        <w:spacing w:after="0" w:line="239" w:lineRule="exact"/>
        <w:rPr>
          <w:rFonts w:ascii="Symbol" w:cs="Symbol" w:eastAsia="Symbol" w:hAnsi="Symbol"/>
          <w:sz w:val="20"/>
          <w:szCs w:val="20"/>
          <w:color w:val="auto"/>
        </w:rPr>
      </w:pPr>
    </w:p>
    <w:p>
      <w:pPr>
        <w:ind w:left="1080" w:hanging="353"/>
        <w:spacing w:after="0"/>
        <w:tabs>
          <w:tab w:leader="none" w:pos="1080" w:val="left"/>
        </w:tabs>
        <w:numPr>
          <w:ilvl w:val="0"/>
          <w:numId w:val="1"/>
        </w:numPr>
        <w:rPr>
          <w:rFonts w:ascii="Symbol" w:cs="Symbol" w:eastAsia="Symbol" w:hAnsi="Symbol"/>
          <w:sz w:val="20"/>
          <w:szCs w:val="20"/>
          <w:color w:val="auto"/>
        </w:rPr>
      </w:pPr>
      <w:r>
        <w:rPr>
          <w:rFonts w:ascii="Calibri" w:cs="Calibri" w:eastAsia="Calibri" w:hAnsi="Calibri"/>
          <w:sz w:val="20"/>
          <w:szCs w:val="20"/>
          <w:i w:val="1"/>
          <w:iCs w:val="1"/>
          <w:color w:val="auto"/>
        </w:rPr>
        <w:t>our expectations regarding our ability to develop and commercialize our product candidates;</w:t>
      </w:r>
    </w:p>
    <w:p>
      <w:pPr>
        <w:spacing w:after="0" w:line="238" w:lineRule="exact"/>
        <w:rPr>
          <w:rFonts w:ascii="Symbol" w:cs="Symbol" w:eastAsia="Symbol" w:hAnsi="Symbol"/>
          <w:sz w:val="20"/>
          <w:szCs w:val="20"/>
          <w:color w:val="auto"/>
        </w:rPr>
      </w:pPr>
    </w:p>
    <w:p>
      <w:pPr>
        <w:ind w:left="1080" w:hanging="353"/>
        <w:spacing w:after="0" w:line="245" w:lineRule="auto"/>
        <w:tabs>
          <w:tab w:leader="none" w:pos="1080" w:val="left"/>
        </w:tabs>
        <w:numPr>
          <w:ilvl w:val="0"/>
          <w:numId w:val="1"/>
        </w:numPr>
        <w:rPr>
          <w:rFonts w:ascii="Symbol" w:cs="Symbol" w:eastAsia="Symbol" w:hAnsi="Symbol"/>
          <w:sz w:val="20"/>
          <w:szCs w:val="20"/>
          <w:color w:val="auto"/>
        </w:rPr>
      </w:pPr>
      <w:r>
        <w:rPr>
          <w:rFonts w:ascii="Calibri" w:cs="Calibri" w:eastAsia="Calibri" w:hAnsi="Calibri"/>
          <w:sz w:val="20"/>
          <w:szCs w:val="20"/>
          <w:i w:val="1"/>
          <w:iCs w:val="1"/>
          <w:color w:val="auto"/>
        </w:rPr>
        <w:t>our ability to maintain regulatory approval for our product and our ability to obtain and maintain regulatory approval of our product candidates, if and when approved;</w:t>
      </w:r>
    </w:p>
    <w:p>
      <w:pPr>
        <w:spacing w:after="0" w:line="231" w:lineRule="exact"/>
        <w:rPr>
          <w:rFonts w:ascii="Symbol" w:cs="Symbol" w:eastAsia="Symbol" w:hAnsi="Symbol"/>
          <w:sz w:val="20"/>
          <w:szCs w:val="20"/>
          <w:color w:val="auto"/>
        </w:rPr>
      </w:pPr>
    </w:p>
    <w:p>
      <w:pPr>
        <w:ind w:left="1080" w:hanging="353"/>
        <w:spacing w:after="0"/>
        <w:tabs>
          <w:tab w:leader="none" w:pos="1080" w:val="left"/>
        </w:tabs>
        <w:numPr>
          <w:ilvl w:val="0"/>
          <w:numId w:val="1"/>
        </w:numPr>
        <w:rPr>
          <w:rFonts w:ascii="Symbol" w:cs="Symbol" w:eastAsia="Symbol" w:hAnsi="Symbol"/>
          <w:sz w:val="20"/>
          <w:szCs w:val="20"/>
          <w:color w:val="auto"/>
        </w:rPr>
      </w:pPr>
      <w:r>
        <w:rPr>
          <w:rFonts w:ascii="Calibri" w:cs="Calibri" w:eastAsia="Calibri" w:hAnsi="Calibri"/>
          <w:sz w:val="20"/>
          <w:szCs w:val="20"/>
          <w:i w:val="1"/>
          <w:iCs w:val="1"/>
          <w:color w:val="auto"/>
        </w:rPr>
        <w:t>our expectations regarding government and third-party payer coverage and reimbursement;</w:t>
      </w:r>
    </w:p>
    <w:p>
      <w:pPr>
        <w:spacing w:after="0" w:line="238" w:lineRule="exact"/>
        <w:rPr>
          <w:rFonts w:ascii="Symbol" w:cs="Symbol" w:eastAsia="Symbol" w:hAnsi="Symbol"/>
          <w:sz w:val="20"/>
          <w:szCs w:val="20"/>
          <w:color w:val="auto"/>
        </w:rPr>
      </w:pPr>
    </w:p>
    <w:p>
      <w:pPr>
        <w:ind w:left="1080" w:right="20" w:hanging="353"/>
        <w:spacing w:after="0" w:line="245" w:lineRule="auto"/>
        <w:tabs>
          <w:tab w:leader="none" w:pos="1080" w:val="left"/>
        </w:tabs>
        <w:numPr>
          <w:ilvl w:val="0"/>
          <w:numId w:val="1"/>
        </w:numPr>
        <w:rPr>
          <w:rFonts w:ascii="Symbol" w:cs="Symbol" w:eastAsia="Symbol" w:hAnsi="Symbol"/>
          <w:sz w:val="20"/>
          <w:szCs w:val="20"/>
          <w:color w:val="auto"/>
        </w:rPr>
      </w:pPr>
      <w:r>
        <w:rPr>
          <w:rFonts w:ascii="Calibri" w:cs="Calibri" w:eastAsia="Calibri" w:hAnsi="Calibri"/>
          <w:sz w:val="20"/>
          <w:szCs w:val="20"/>
          <w:i w:val="1"/>
          <w:iCs w:val="1"/>
          <w:color w:val="auto"/>
        </w:rPr>
        <w:t>our ability to manufacture our product and product candidates in conformity with regulatory requirements and to scale up manufacturing capacity of our product and product candidates for commercial supply;</w:t>
      </w:r>
    </w:p>
    <w:p>
      <w:pPr>
        <w:spacing w:after="0" w:line="231" w:lineRule="exact"/>
        <w:rPr>
          <w:rFonts w:ascii="Symbol" w:cs="Symbol" w:eastAsia="Symbol" w:hAnsi="Symbol"/>
          <w:sz w:val="20"/>
          <w:szCs w:val="20"/>
          <w:color w:val="auto"/>
        </w:rPr>
      </w:pPr>
    </w:p>
    <w:p>
      <w:pPr>
        <w:ind w:left="1080" w:hanging="353"/>
        <w:spacing w:after="0"/>
        <w:tabs>
          <w:tab w:leader="none" w:pos="1080" w:val="left"/>
        </w:tabs>
        <w:numPr>
          <w:ilvl w:val="0"/>
          <w:numId w:val="1"/>
        </w:numPr>
        <w:rPr>
          <w:rFonts w:ascii="Symbol" w:cs="Symbol" w:eastAsia="Symbol" w:hAnsi="Symbol"/>
          <w:sz w:val="20"/>
          <w:szCs w:val="20"/>
          <w:color w:val="auto"/>
        </w:rPr>
      </w:pPr>
      <w:r>
        <w:rPr>
          <w:rFonts w:ascii="Calibri" w:cs="Calibri" w:eastAsia="Calibri" w:hAnsi="Calibri"/>
          <w:sz w:val="20"/>
          <w:szCs w:val="20"/>
          <w:i w:val="1"/>
          <w:iCs w:val="1"/>
          <w:color w:val="auto"/>
        </w:rPr>
        <w:t>our reliance on third-party contract manufacturers to supply our product candidates and product for us;</w:t>
      </w:r>
    </w:p>
    <w:p>
      <w:pPr>
        <w:spacing w:after="0" w:line="238" w:lineRule="exact"/>
        <w:rPr>
          <w:rFonts w:ascii="Symbol" w:cs="Symbol" w:eastAsia="Symbol" w:hAnsi="Symbol"/>
          <w:sz w:val="20"/>
          <w:szCs w:val="20"/>
          <w:color w:val="auto"/>
        </w:rPr>
      </w:pPr>
    </w:p>
    <w:p>
      <w:pPr>
        <w:ind w:left="1080" w:hanging="353"/>
        <w:spacing w:after="0" w:line="245" w:lineRule="auto"/>
        <w:tabs>
          <w:tab w:leader="none" w:pos="1080" w:val="left"/>
        </w:tabs>
        <w:numPr>
          <w:ilvl w:val="0"/>
          <w:numId w:val="1"/>
        </w:numPr>
        <w:rPr>
          <w:rFonts w:ascii="Symbol" w:cs="Symbol" w:eastAsia="Symbol" w:hAnsi="Symbol"/>
          <w:sz w:val="20"/>
          <w:szCs w:val="20"/>
          <w:color w:val="auto"/>
        </w:rPr>
      </w:pPr>
      <w:r>
        <w:rPr>
          <w:rFonts w:ascii="Calibri" w:cs="Calibri" w:eastAsia="Calibri" w:hAnsi="Calibri"/>
          <w:sz w:val="20"/>
          <w:szCs w:val="20"/>
          <w:i w:val="1"/>
          <w:iCs w:val="1"/>
          <w:color w:val="auto"/>
        </w:rPr>
        <w:t>our expectations regarding the potential market size and the size of the patient populations for our product and product candidates, if approved for commercial use;</w:t>
      </w:r>
    </w:p>
    <w:p>
      <w:pPr>
        <w:spacing w:after="0" w:line="229" w:lineRule="exact"/>
        <w:rPr>
          <w:rFonts w:ascii="Symbol" w:cs="Symbol" w:eastAsia="Symbol" w:hAnsi="Symbol"/>
          <w:sz w:val="20"/>
          <w:szCs w:val="20"/>
          <w:color w:val="auto"/>
        </w:rPr>
      </w:pPr>
    </w:p>
    <w:p>
      <w:pPr>
        <w:ind w:left="1080" w:hanging="353"/>
        <w:spacing w:after="0" w:line="244" w:lineRule="auto"/>
        <w:tabs>
          <w:tab w:leader="none" w:pos="1080" w:val="left"/>
        </w:tabs>
        <w:numPr>
          <w:ilvl w:val="0"/>
          <w:numId w:val="1"/>
        </w:numPr>
        <w:rPr>
          <w:rFonts w:ascii="Symbol" w:cs="Symbol" w:eastAsia="Symbol" w:hAnsi="Symbol"/>
          <w:sz w:val="20"/>
          <w:szCs w:val="20"/>
          <w:color w:val="auto"/>
        </w:rPr>
      </w:pPr>
      <w:r>
        <w:rPr>
          <w:rFonts w:ascii="Calibri" w:cs="Calibri" w:eastAsia="Calibri" w:hAnsi="Calibri"/>
          <w:sz w:val="20"/>
          <w:szCs w:val="20"/>
          <w:i w:val="1"/>
          <w:iCs w:val="1"/>
          <w:color w:val="auto"/>
        </w:rPr>
        <w:t>our expectations about making required future interest and principal payments as they become due in connection with our debt obligations;</w:t>
      </w:r>
    </w:p>
    <w:p>
      <w:pPr>
        <w:spacing w:after="0" w:line="231" w:lineRule="exact"/>
        <w:rPr>
          <w:rFonts w:ascii="Symbol" w:cs="Symbol" w:eastAsia="Symbol" w:hAnsi="Symbol"/>
          <w:sz w:val="20"/>
          <w:szCs w:val="20"/>
          <w:color w:val="auto"/>
        </w:rPr>
      </w:pPr>
    </w:p>
    <w:p>
      <w:pPr>
        <w:ind w:left="1080" w:hanging="353"/>
        <w:spacing w:after="0" w:line="244" w:lineRule="auto"/>
        <w:tabs>
          <w:tab w:leader="none" w:pos="1080" w:val="left"/>
        </w:tabs>
        <w:numPr>
          <w:ilvl w:val="0"/>
          <w:numId w:val="1"/>
        </w:numPr>
        <w:rPr>
          <w:rFonts w:ascii="Symbol" w:cs="Symbol" w:eastAsia="Symbol" w:hAnsi="Symbol"/>
          <w:sz w:val="20"/>
          <w:szCs w:val="20"/>
          <w:color w:val="auto"/>
        </w:rPr>
      </w:pPr>
      <w:r>
        <w:rPr>
          <w:rFonts w:ascii="Calibri" w:cs="Calibri" w:eastAsia="Calibri" w:hAnsi="Calibri"/>
          <w:sz w:val="20"/>
          <w:szCs w:val="20"/>
          <w:i w:val="1"/>
          <w:iCs w:val="1"/>
          <w:color w:val="auto"/>
        </w:rPr>
        <w:t>our financial performance, including, but not limited to, projected net revenue, cost of goods sold, research and development expenses, selling and general administrative expense, and interest expense;</w:t>
      </w:r>
    </w:p>
    <w:p>
      <w:pPr>
        <w:spacing w:after="0" w:line="233" w:lineRule="exact"/>
        <w:rPr>
          <w:rFonts w:ascii="Symbol" w:cs="Symbol" w:eastAsia="Symbol" w:hAnsi="Symbol"/>
          <w:sz w:val="20"/>
          <w:szCs w:val="20"/>
          <w:color w:val="auto"/>
        </w:rPr>
      </w:pPr>
    </w:p>
    <w:p>
      <w:pPr>
        <w:ind w:left="1080" w:hanging="353"/>
        <w:spacing w:after="0"/>
        <w:tabs>
          <w:tab w:leader="none" w:pos="1080" w:val="left"/>
        </w:tabs>
        <w:numPr>
          <w:ilvl w:val="0"/>
          <w:numId w:val="1"/>
        </w:numPr>
        <w:rPr>
          <w:rFonts w:ascii="Symbol" w:cs="Symbol" w:eastAsia="Symbol" w:hAnsi="Symbol"/>
          <w:sz w:val="20"/>
          <w:szCs w:val="20"/>
          <w:color w:val="auto"/>
        </w:rPr>
      </w:pPr>
      <w:r>
        <w:rPr>
          <w:rFonts w:ascii="Calibri" w:cs="Calibri" w:eastAsia="Calibri" w:hAnsi="Calibri"/>
          <w:sz w:val="20"/>
          <w:szCs w:val="20"/>
          <w:i w:val="1"/>
          <w:iCs w:val="1"/>
          <w:color w:val="auto"/>
        </w:rPr>
        <w:t>the implementation of strategic plans for our business, product and product candidates;</w:t>
      </w:r>
    </w:p>
    <w:p>
      <w:pPr>
        <w:spacing w:after="0" w:line="238" w:lineRule="exact"/>
        <w:rPr>
          <w:rFonts w:ascii="Symbol" w:cs="Symbol" w:eastAsia="Symbol" w:hAnsi="Symbol"/>
          <w:sz w:val="20"/>
          <w:szCs w:val="20"/>
          <w:color w:val="auto"/>
        </w:rPr>
      </w:pPr>
    </w:p>
    <w:p>
      <w:pPr>
        <w:ind w:left="1080" w:hanging="353"/>
        <w:spacing w:after="0" w:line="244" w:lineRule="auto"/>
        <w:tabs>
          <w:tab w:leader="none" w:pos="1080" w:val="left"/>
        </w:tabs>
        <w:numPr>
          <w:ilvl w:val="0"/>
          <w:numId w:val="1"/>
        </w:numPr>
        <w:rPr>
          <w:rFonts w:ascii="Symbol" w:cs="Symbol" w:eastAsia="Symbol" w:hAnsi="Symbol"/>
          <w:sz w:val="20"/>
          <w:szCs w:val="20"/>
          <w:color w:val="auto"/>
        </w:rPr>
      </w:pPr>
      <w:r>
        <w:rPr>
          <w:rFonts w:ascii="Calibri" w:cs="Calibri" w:eastAsia="Calibri" w:hAnsi="Calibri"/>
          <w:sz w:val="20"/>
          <w:szCs w:val="20"/>
          <w:i w:val="1"/>
          <w:iCs w:val="1"/>
          <w:color w:val="auto"/>
        </w:rPr>
        <w:t>the initiation, timing, progress and results of future preclinical and clinical studies and our research and development programs;</w:t>
      </w:r>
    </w:p>
    <w:p>
      <w:pPr>
        <w:spacing w:after="0" w:line="231" w:lineRule="exact"/>
        <w:rPr>
          <w:rFonts w:ascii="Symbol" w:cs="Symbol" w:eastAsia="Symbol" w:hAnsi="Symbol"/>
          <w:sz w:val="20"/>
          <w:szCs w:val="20"/>
          <w:color w:val="auto"/>
        </w:rPr>
      </w:pPr>
    </w:p>
    <w:p>
      <w:pPr>
        <w:ind w:left="1080" w:hanging="353"/>
        <w:spacing w:after="0" w:line="244" w:lineRule="auto"/>
        <w:tabs>
          <w:tab w:leader="none" w:pos="1080" w:val="left"/>
        </w:tabs>
        <w:numPr>
          <w:ilvl w:val="0"/>
          <w:numId w:val="1"/>
        </w:numPr>
        <w:rPr>
          <w:rFonts w:ascii="Symbol" w:cs="Symbol" w:eastAsia="Symbol" w:hAnsi="Symbol"/>
          <w:sz w:val="20"/>
          <w:szCs w:val="20"/>
          <w:color w:val="auto"/>
        </w:rPr>
      </w:pPr>
      <w:r>
        <w:rPr>
          <w:rFonts w:ascii="Calibri" w:cs="Calibri" w:eastAsia="Calibri" w:hAnsi="Calibri"/>
          <w:sz w:val="20"/>
          <w:szCs w:val="20"/>
          <w:i w:val="1"/>
          <w:iCs w:val="1"/>
          <w:color w:val="auto"/>
        </w:rPr>
        <w:t>the likelihood of us receiving either of the $37.5 million payments we are eligible to receive as part of our divestiture of the UDENYCA franchise, depending on post-closing net sales of UDENYCA;</w:t>
      </w:r>
    </w:p>
    <w:p>
      <w:pPr>
        <w:spacing w:after="0" w:line="231" w:lineRule="exact"/>
        <w:rPr>
          <w:rFonts w:ascii="Symbol" w:cs="Symbol" w:eastAsia="Symbol" w:hAnsi="Symbol"/>
          <w:sz w:val="20"/>
          <w:szCs w:val="20"/>
          <w:color w:val="auto"/>
        </w:rPr>
      </w:pPr>
    </w:p>
    <w:p>
      <w:pPr>
        <w:ind w:left="1080" w:hanging="353"/>
        <w:spacing w:after="0" w:line="244" w:lineRule="auto"/>
        <w:tabs>
          <w:tab w:leader="none" w:pos="1080" w:val="left"/>
        </w:tabs>
        <w:numPr>
          <w:ilvl w:val="0"/>
          <w:numId w:val="1"/>
        </w:numPr>
        <w:rPr>
          <w:rFonts w:ascii="Symbol" w:cs="Symbol" w:eastAsia="Symbol" w:hAnsi="Symbol"/>
          <w:sz w:val="20"/>
          <w:szCs w:val="20"/>
          <w:color w:val="auto"/>
        </w:rPr>
      </w:pPr>
      <w:r>
        <w:rPr>
          <w:rFonts w:ascii="Calibri" w:cs="Calibri" w:eastAsia="Calibri" w:hAnsi="Calibri"/>
          <w:sz w:val="20"/>
          <w:szCs w:val="20"/>
          <w:i w:val="1"/>
          <w:iCs w:val="1"/>
          <w:color w:val="auto"/>
        </w:rPr>
        <w:t>the scope of protection we are able to establish and maintain for intellectual property rights covering our product and product candidates;</w:t>
      </w:r>
    </w:p>
    <w:p>
      <w:pPr>
        <w:spacing w:after="0" w:line="230" w:lineRule="exact"/>
        <w:rPr>
          <w:rFonts w:ascii="Symbol" w:cs="Symbol" w:eastAsia="Symbol" w:hAnsi="Symbol"/>
          <w:sz w:val="20"/>
          <w:szCs w:val="20"/>
          <w:color w:val="auto"/>
        </w:rPr>
      </w:pPr>
    </w:p>
    <w:p>
      <w:pPr>
        <w:ind w:left="1080" w:hanging="353"/>
        <w:spacing w:after="0" w:line="245" w:lineRule="auto"/>
        <w:tabs>
          <w:tab w:leader="none" w:pos="1080" w:val="left"/>
        </w:tabs>
        <w:numPr>
          <w:ilvl w:val="0"/>
          <w:numId w:val="1"/>
        </w:numPr>
        <w:rPr>
          <w:rFonts w:ascii="Symbol" w:cs="Symbol" w:eastAsia="Symbol" w:hAnsi="Symbol"/>
          <w:sz w:val="20"/>
          <w:szCs w:val="20"/>
          <w:color w:val="auto"/>
        </w:rPr>
      </w:pPr>
      <w:r>
        <w:rPr>
          <w:rFonts w:ascii="Calibri" w:cs="Calibri" w:eastAsia="Calibri" w:hAnsi="Calibri"/>
          <w:sz w:val="20"/>
          <w:szCs w:val="20"/>
          <w:i w:val="1"/>
          <w:iCs w:val="1"/>
          <w:color w:val="auto"/>
        </w:rPr>
        <w:t>our expectations regarding the scope or enforceability of third-party intellectual property rights, or the applicability of such rights to our product and product candidates;</w:t>
      </w:r>
    </w:p>
    <w:p>
      <w:pPr>
        <w:spacing w:after="0" w:line="231" w:lineRule="exact"/>
        <w:rPr>
          <w:rFonts w:ascii="Symbol" w:cs="Symbol" w:eastAsia="Symbol" w:hAnsi="Symbol"/>
          <w:sz w:val="20"/>
          <w:szCs w:val="20"/>
          <w:color w:val="auto"/>
        </w:rPr>
      </w:pPr>
    </w:p>
    <w:p>
      <w:pPr>
        <w:ind w:left="1080" w:hanging="353"/>
        <w:spacing w:after="0"/>
        <w:tabs>
          <w:tab w:leader="none" w:pos="1080" w:val="left"/>
        </w:tabs>
        <w:numPr>
          <w:ilvl w:val="0"/>
          <w:numId w:val="1"/>
        </w:numPr>
        <w:rPr>
          <w:rFonts w:ascii="Symbol" w:cs="Symbol" w:eastAsia="Symbol" w:hAnsi="Symbol"/>
          <w:sz w:val="20"/>
          <w:szCs w:val="20"/>
          <w:color w:val="auto"/>
        </w:rPr>
      </w:pPr>
      <w:r>
        <w:rPr>
          <w:rFonts w:ascii="Calibri" w:cs="Calibri" w:eastAsia="Calibri" w:hAnsi="Calibri"/>
          <w:sz w:val="20"/>
          <w:szCs w:val="20"/>
          <w:i w:val="1"/>
          <w:iCs w:val="1"/>
          <w:color w:val="auto"/>
        </w:rPr>
        <w:t>the cost, timing and outcomes of litigation involving our product and product candidates;</w:t>
      </w:r>
    </w:p>
    <w:p>
      <w:pPr>
        <w:spacing w:after="0" w:line="239" w:lineRule="exact"/>
        <w:rPr>
          <w:rFonts w:ascii="Symbol" w:cs="Symbol" w:eastAsia="Symbol" w:hAnsi="Symbol"/>
          <w:sz w:val="20"/>
          <w:szCs w:val="20"/>
          <w:color w:val="auto"/>
        </w:rPr>
      </w:pPr>
    </w:p>
    <w:p>
      <w:pPr>
        <w:ind w:left="1080" w:hanging="353"/>
        <w:spacing w:after="0"/>
        <w:tabs>
          <w:tab w:leader="none" w:pos="1080" w:val="left"/>
        </w:tabs>
        <w:numPr>
          <w:ilvl w:val="0"/>
          <w:numId w:val="1"/>
        </w:numPr>
        <w:rPr>
          <w:rFonts w:ascii="Symbol" w:cs="Symbol" w:eastAsia="Symbol" w:hAnsi="Symbol"/>
          <w:sz w:val="20"/>
          <w:szCs w:val="20"/>
          <w:color w:val="auto"/>
        </w:rPr>
      </w:pPr>
      <w:r>
        <w:rPr>
          <w:rFonts w:ascii="Calibri" w:cs="Calibri" w:eastAsia="Calibri" w:hAnsi="Calibri"/>
          <w:sz w:val="20"/>
          <w:szCs w:val="20"/>
          <w:i w:val="1"/>
          <w:iCs w:val="1"/>
          <w:color w:val="auto"/>
        </w:rPr>
        <w:t>our reliance on third-party contract research organizations to conduct clinical trials of our product candidates;</w:t>
      </w:r>
    </w:p>
    <w:p>
      <w:pPr>
        <w:sectPr>
          <w:pgSz w:w="12240" w:h="15840" w:orient="portrait"/>
          <w:cols w:equalWidth="0" w:num="1">
            <w:col w:w="11160"/>
          </w:cols>
          <w:pgMar w:left="540" w:top="532" w:right="54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ectPr>
          <w:pgSz w:w="12240" w:h="15840" w:orient="portrait"/>
          <w:cols w:equalWidth="0" w:num="1">
            <w:col w:w="11160"/>
          </w:cols>
          <w:pgMar w:left="540" w:top="532" w:right="540" w:bottom="0" w:gutter="0" w:footer="0" w:header="0"/>
          <w:type w:val="continuous"/>
        </w:sectPr>
      </w:pPr>
    </w:p>
    <w:bookmarkStart w:id="3" w:name="page4"/>
    <w:bookmarkEnd w:id="3"/>
    <w:p>
      <w:pPr>
        <w:ind w:left="1080" w:hanging="353"/>
        <w:spacing w:after="0"/>
        <w:tabs>
          <w:tab w:leader="none" w:pos="1080" w:val="left"/>
        </w:tabs>
        <w:numPr>
          <w:ilvl w:val="0"/>
          <w:numId w:val="2"/>
        </w:numPr>
        <w:rPr>
          <w:rFonts w:ascii="Symbol" w:cs="Symbol" w:eastAsia="Symbol" w:hAnsi="Symbol"/>
          <w:sz w:val="20"/>
          <w:szCs w:val="20"/>
          <w:color w:val="auto"/>
        </w:rPr>
      </w:pPr>
      <w:r>
        <w:rPr>
          <w:rFonts w:ascii="Calibri" w:cs="Calibri" w:eastAsia="Calibri" w:hAnsi="Calibri"/>
          <w:sz w:val="20"/>
          <w:szCs w:val="20"/>
          <w:i w:val="1"/>
          <w:iCs w:val="1"/>
          <w:color w:val="auto"/>
        </w:rPr>
        <w:t>the benefits of the use of our product and product candidates;</w:t>
      </w:r>
    </w:p>
    <w:p>
      <w:pPr>
        <w:spacing w:after="0" w:line="239" w:lineRule="exact"/>
        <w:rPr>
          <w:rFonts w:ascii="Symbol" w:cs="Symbol" w:eastAsia="Symbol" w:hAnsi="Symbol"/>
          <w:sz w:val="20"/>
          <w:szCs w:val="20"/>
          <w:color w:val="auto"/>
        </w:rPr>
      </w:pPr>
    </w:p>
    <w:p>
      <w:pPr>
        <w:ind w:left="1080" w:hanging="353"/>
        <w:spacing w:after="0"/>
        <w:tabs>
          <w:tab w:leader="none" w:pos="1080" w:val="left"/>
        </w:tabs>
        <w:numPr>
          <w:ilvl w:val="0"/>
          <w:numId w:val="2"/>
        </w:numPr>
        <w:rPr>
          <w:rFonts w:ascii="Symbol" w:cs="Symbol" w:eastAsia="Symbol" w:hAnsi="Symbol"/>
          <w:sz w:val="20"/>
          <w:szCs w:val="20"/>
          <w:color w:val="auto"/>
        </w:rPr>
      </w:pPr>
      <w:r>
        <w:rPr>
          <w:rFonts w:ascii="Calibri" w:cs="Calibri" w:eastAsia="Calibri" w:hAnsi="Calibri"/>
          <w:sz w:val="20"/>
          <w:szCs w:val="20"/>
          <w:i w:val="1"/>
          <w:iCs w:val="1"/>
          <w:color w:val="auto"/>
        </w:rPr>
        <w:t>our expectations about potential risks, disruptions and losses from future cyberattacks and security incidents;</w:t>
      </w:r>
    </w:p>
    <w:p>
      <w:pPr>
        <w:spacing w:after="0" w:line="239" w:lineRule="exact"/>
        <w:rPr>
          <w:rFonts w:ascii="Symbol" w:cs="Symbol" w:eastAsia="Symbol" w:hAnsi="Symbol"/>
          <w:sz w:val="20"/>
          <w:szCs w:val="20"/>
          <w:color w:val="auto"/>
        </w:rPr>
      </w:pPr>
    </w:p>
    <w:p>
      <w:pPr>
        <w:ind w:left="1080" w:hanging="353"/>
        <w:spacing w:after="0"/>
        <w:tabs>
          <w:tab w:leader="none" w:pos="1080" w:val="left"/>
        </w:tabs>
        <w:numPr>
          <w:ilvl w:val="0"/>
          <w:numId w:val="2"/>
        </w:numPr>
        <w:rPr>
          <w:rFonts w:ascii="Symbol" w:cs="Symbol" w:eastAsia="Symbol" w:hAnsi="Symbol"/>
          <w:sz w:val="20"/>
          <w:szCs w:val="20"/>
          <w:color w:val="auto"/>
        </w:rPr>
      </w:pPr>
      <w:r>
        <w:rPr>
          <w:rFonts w:ascii="Calibri" w:cs="Calibri" w:eastAsia="Calibri" w:hAnsi="Calibri"/>
          <w:sz w:val="20"/>
          <w:szCs w:val="20"/>
          <w:i w:val="1"/>
          <w:iCs w:val="1"/>
          <w:color w:val="auto"/>
        </w:rPr>
        <w:t>the rate and degree of market acceptance of our current or any future product or product candidates;</w:t>
      </w:r>
    </w:p>
    <w:p>
      <w:pPr>
        <w:spacing w:after="0" w:line="240" w:lineRule="exact"/>
        <w:rPr>
          <w:rFonts w:ascii="Symbol" w:cs="Symbol" w:eastAsia="Symbol" w:hAnsi="Symbol"/>
          <w:sz w:val="20"/>
          <w:szCs w:val="20"/>
          <w:color w:val="auto"/>
        </w:rPr>
      </w:pPr>
    </w:p>
    <w:p>
      <w:pPr>
        <w:ind w:left="1080" w:hanging="353"/>
        <w:spacing w:after="0"/>
        <w:tabs>
          <w:tab w:leader="none" w:pos="1080" w:val="left"/>
        </w:tabs>
        <w:numPr>
          <w:ilvl w:val="0"/>
          <w:numId w:val="2"/>
        </w:numPr>
        <w:rPr>
          <w:rFonts w:ascii="Symbol" w:cs="Symbol" w:eastAsia="Symbol" w:hAnsi="Symbol"/>
          <w:sz w:val="20"/>
          <w:szCs w:val="20"/>
          <w:color w:val="auto"/>
        </w:rPr>
      </w:pPr>
      <w:r>
        <w:rPr>
          <w:rFonts w:ascii="Calibri" w:cs="Calibri" w:eastAsia="Calibri" w:hAnsi="Calibri"/>
          <w:sz w:val="20"/>
          <w:szCs w:val="20"/>
          <w:i w:val="1"/>
          <w:iCs w:val="1"/>
          <w:color w:val="auto"/>
        </w:rPr>
        <w:t>our ability to compete with companies currently producing competitor products or will produce them in the future;</w:t>
      </w:r>
    </w:p>
    <w:p>
      <w:pPr>
        <w:spacing w:after="0" w:line="239" w:lineRule="exact"/>
        <w:rPr>
          <w:rFonts w:ascii="Symbol" w:cs="Symbol" w:eastAsia="Symbol" w:hAnsi="Symbol"/>
          <w:sz w:val="20"/>
          <w:szCs w:val="20"/>
          <w:color w:val="auto"/>
        </w:rPr>
      </w:pPr>
    </w:p>
    <w:p>
      <w:pPr>
        <w:ind w:left="1080" w:hanging="353"/>
        <w:spacing w:after="0"/>
        <w:tabs>
          <w:tab w:leader="none" w:pos="1080" w:val="left"/>
        </w:tabs>
        <w:numPr>
          <w:ilvl w:val="0"/>
          <w:numId w:val="2"/>
        </w:numPr>
        <w:rPr>
          <w:rFonts w:ascii="Symbol" w:cs="Symbol" w:eastAsia="Symbol" w:hAnsi="Symbol"/>
          <w:sz w:val="20"/>
          <w:szCs w:val="20"/>
          <w:color w:val="auto"/>
        </w:rPr>
      </w:pPr>
      <w:r>
        <w:rPr>
          <w:rFonts w:ascii="Calibri" w:cs="Calibri" w:eastAsia="Calibri" w:hAnsi="Calibri"/>
          <w:sz w:val="20"/>
          <w:szCs w:val="20"/>
          <w:i w:val="1"/>
          <w:iCs w:val="1"/>
          <w:color w:val="auto"/>
        </w:rPr>
        <w:t>developments and projections relating to our competitors, our market opportunity and our industry; and</w:t>
      </w:r>
    </w:p>
    <w:p>
      <w:pPr>
        <w:spacing w:after="0" w:line="239" w:lineRule="exact"/>
        <w:rPr>
          <w:rFonts w:ascii="Symbol" w:cs="Symbol" w:eastAsia="Symbol" w:hAnsi="Symbol"/>
          <w:sz w:val="20"/>
          <w:szCs w:val="20"/>
          <w:color w:val="auto"/>
        </w:rPr>
      </w:pPr>
    </w:p>
    <w:p>
      <w:pPr>
        <w:ind w:left="1080" w:hanging="353"/>
        <w:spacing w:after="0"/>
        <w:tabs>
          <w:tab w:leader="none" w:pos="1080" w:val="left"/>
        </w:tabs>
        <w:numPr>
          <w:ilvl w:val="0"/>
          <w:numId w:val="2"/>
        </w:numPr>
        <w:rPr>
          <w:rFonts w:ascii="Symbol" w:cs="Symbol" w:eastAsia="Symbol" w:hAnsi="Symbol"/>
          <w:sz w:val="20"/>
          <w:szCs w:val="20"/>
          <w:color w:val="auto"/>
        </w:rPr>
      </w:pPr>
      <w:r>
        <w:rPr>
          <w:rFonts w:ascii="Calibri" w:cs="Calibri" w:eastAsia="Calibri" w:hAnsi="Calibri"/>
          <w:sz w:val="20"/>
          <w:szCs w:val="20"/>
          <w:i w:val="1"/>
          <w:iCs w:val="1"/>
          <w:color w:val="auto"/>
        </w:rPr>
        <w:t>the effects of the continuation of the war in Ukraine and conflicts in the Middle East on our business and prospects.</w:t>
      </w:r>
    </w:p>
    <w:p>
      <w:pPr>
        <w:spacing w:after="0" w:line="229" w:lineRule="exact"/>
        <w:rPr>
          <w:sz w:val="20"/>
          <w:szCs w:val="20"/>
          <w:color w:val="auto"/>
        </w:rPr>
      </w:pPr>
    </w:p>
    <w:p>
      <w:pPr>
        <w:jc w:val="both"/>
        <w:ind w:firstLine="720"/>
        <w:spacing w:after="0" w:line="241" w:lineRule="auto"/>
        <w:rPr>
          <w:sz w:val="20"/>
          <w:szCs w:val="20"/>
          <w:color w:val="auto"/>
        </w:rPr>
      </w:pPr>
      <w:r>
        <w:rPr>
          <w:rFonts w:ascii="Calibri" w:cs="Calibri" w:eastAsia="Calibri" w:hAnsi="Calibri"/>
          <w:sz w:val="20"/>
          <w:szCs w:val="20"/>
          <w:i w:val="1"/>
          <w:iCs w:val="1"/>
          <w:color w:val="auto"/>
        </w:rPr>
        <w:t xml:space="preserve">We have based </w:t>
      </w:r>
      <w:r>
        <w:rPr>
          <w:rFonts w:ascii="Calibri" w:cs="Calibri" w:eastAsia="Calibri" w:hAnsi="Calibri"/>
          <w:sz w:val="20"/>
          <w:szCs w:val="20"/>
          <w:color w:val="auto"/>
        </w:rPr>
        <w:t>these</w:t>
      </w:r>
      <w:r>
        <w:rPr>
          <w:rFonts w:ascii="Calibri" w:cs="Calibri" w:eastAsia="Calibri" w:hAnsi="Calibri"/>
          <w:sz w:val="20"/>
          <w:szCs w:val="20"/>
          <w:i w:val="1"/>
          <w:iCs w:val="1"/>
          <w:color w:val="auto"/>
        </w:rPr>
        <w:t xml:space="preserve"> forward-looking statements on our current expectations about future events. These statements are not guarantees of future performance and involve risks, uncertainties and assumptions that are difficult to predict. Our actual results may differ materially from those suggested by these forward-looking statements for various reasons, including those identified in Part I, Item 1A of this Annual Report on Form 10 - K under the heading “Risk Factors.” Given these risks and uncertainties, you are cautioned not to place undue reliance on forward-looking statements. The forward-looking statements included in this report are made only as of the date hereof. Except as required under federal securities laws and the rules and regulations of the Securities and Exchange Commission (“SEC”), we do not undertake, and specifically decline, any obligation to update any of these statements or to publicly announce the results of any revisions to any forward-looking statements after the distribution of this report, whether as a result of new information, future events, changes in assumptions or otherwise.</w:t>
      </w:r>
    </w:p>
    <w:p>
      <w:pPr>
        <w:spacing w:after="0" w:line="231"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i w:val="1"/>
          <w:iCs w:val="1"/>
          <w:color w:val="auto"/>
        </w:rPr>
        <w:t>This Annual Report on Form 10 - K also contains estimates, projections, market opportunity estimates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publicly filed reports and similar sources.</w:t>
      </w:r>
    </w:p>
    <w:p>
      <w:pPr>
        <w:sectPr>
          <w:pgSz w:w="12240" w:h="15840" w:orient="portrait"/>
          <w:cols w:equalWidth="0" w:num="1">
            <w:col w:w="11160"/>
          </w:cols>
          <w:pgMar w:left="540" w:top="54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2240" w:h="15840" w:orient="portrait"/>
          <w:cols w:equalWidth="0" w:num="1">
            <w:col w:w="11160"/>
          </w:cols>
          <w:pgMar w:left="540" w:top="544" w:right="540" w:bottom="0" w:gutter="0" w:footer="0" w:header="0"/>
          <w:type w:val="continuous"/>
        </w:sectPr>
      </w:pPr>
    </w:p>
    <w:bookmarkStart w:id="4" w:name="page5"/>
    <w:bookmarkEnd w:id="4"/>
    <w:p>
      <w:pPr>
        <w:spacing w:after="0"/>
        <w:rPr>
          <w:sz w:val="20"/>
          <w:szCs w:val="20"/>
          <w:color w:val="auto"/>
        </w:rPr>
      </w:pPr>
      <w:r>
        <w:rPr>
          <w:rFonts w:ascii="Calibri" w:cs="Calibri" w:eastAsia="Calibri" w:hAnsi="Calibri"/>
          <w:sz w:val="20"/>
          <w:szCs w:val="20"/>
          <w:b w:val="1"/>
          <w:bCs w:val="1"/>
          <w:i w:val="1"/>
          <w:iCs w:val="1"/>
          <w:color w:val="auto"/>
        </w:rPr>
        <w:t>Risk Factor Summary</w:t>
      </w:r>
    </w:p>
    <w:p>
      <w:pPr>
        <w:spacing w:after="0" w:line="360" w:lineRule="exact"/>
        <w:rPr>
          <w:sz w:val="20"/>
          <w:szCs w:val="20"/>
          <w:color w:val="auto"/>
        </w:rPr>
      </w:pPr>
    </w:p>
    <w:p>
      <w:pPr>
        <w:jc w:val="both"/>
        <w:ind w:firstLine="360"/>
        <w:spacing w:after="0" w:line="243" w:lineRule="auto"/>
        <w:rPr>
          <w:sz w:val="20"/>
          <w:szCs w:val="20"/>
          <w:color w:val="auto"/>
        </w:rPr>
      </w:pPr>
      <w:r>
        <w:rPr>
          <w:rFonts w:ascii="Calibri" w:cs="Calibri" w:eastAsia="Calibri" w:hAnsi="Calibri"/>
          <w:sz w:val="20"/>
          <w:szCs w:val="20"/>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including our financial statements and related notes thereto, before making investment decisions regarding our common stock.</w:t>
      </w:r>
    </w:p>
    <w:p>
      <w:pPr>
        <w:spacing w:after="0" w:line="237" w:lineRule="exact"/>
        <w:rPr>
          <w:sz w:val="20"/>
          <w:szCs w:val="20"/>
          <w:color w:val="auto"/>
        </w:rPr>
      </w:pPr>
    </w:p>
    <w:p>
      <w:pPr>
        <w:ind w:left="720" w:right="20" w:hanging="353"/>
        <w:spacing w:after="0" w:line="250" w:lineRule="auto"/>
        <w:tabs>
          <w:tab w:leader="none" w:pos="720" w:val="left"/>
        </w:tabs>
        <w:numPr>
          <w:ilvl w:val="0"/>
          <w:numId w:val="3"/>
        </w:numPr>
        <w:rPr>
          <w:rFonts w:ascii="Symbol" w:cs="Symbol" w:eastAsia="Symbol" w:hAnsi="Symbol"/>
          <w:sz w:val="20"/>
          <w:szCs w:val="20"/>
          <w:color w:val="auto"/>
        </w:rPr>
      </w:pPr>
      <w:r>
        <w:rPr>
          <w:rFonts w:ascii="Calibri" w:cs="Calibri" w:eastAsia="Calibri" w:hAnsi="Calibri"/>
          <w:sz w:val="20"/>
          <w:szCs w:val="20"/>
          <w:color w:val="auto"/>
        </w:rPr>
        <w:t>We have a limited history of profitability, which we have not maintained and may not achieve again, and only one product that has been approved and marketed and with multiple product candidates that are not approved and still in development.</w:t>
      </w:r>
    </w:p>
    <w:p>
      <w:pPr>
        <w:spacing w:after="0" w:line="218" w:lineRule="exact"/>
        <w:rPr>
          <w:rFonts w:ascii="Symbol" w:cs="Symbol" w:eastAsia="Symbol" w:hAnsi="Symbol"/>
          <w:sz w:val="20"/>
          <w:szCs w:val="20"/>
          <w:color w:val="auto"/>
        </w:rPr>
      </w:pPr>
    </w:p>
    <w:p>
      <w:pPr>
        <w:jc w:val="both"/>
        <w:ind w:left="720" w:hanging="353"/>
        <w:spacing w:after="0" w:line="243" w:lineRule="auto"/>
        <w:tabs>
          <w:tab w:leader="none" w:pos="720" w:val="left"/>
        </w:tabs>
        <w:numPr>
          <w:ilvl w:val="0"/>
          <w:numId w:val="3"/>
        </w:numPr>
        <w:rPr>
          <w:rFonts w:ascii="Symbol" w:cs="Symbol" w:eastAsia="Symbol" w:hAnsi="Symbol"/>
          <w:sz w:val="20"/>
          <w:szCs w:val="20"/>
          <w:color w:val="auto"/>
        </w:rPr>
      </w:pPr>
      <w:r>
        <w:rPr>
          <w:rFonts w:ascii="Calibri" w:cs="Calibri" w:eastAsia="Calibri" w:hAnsi="Calibri"/>
          <w:sz w:val="20"/>
          <w:szCs w:val="20"/>
          <w:color w:val="auto"/>
        </w:rPr>
        <w:t>The commercial success of our existing product or any future products will depend upon the degree of market acceptance and adoption by prescribing physicians, healthcare providers and the patients to whom our medicines are prescribed. Additionally, obtaining placement on national and/or local clinical guidelines/pathways, as well as coverage on third-party payor formularies, can impact our short and long-term financial performance.</w:t>
      </w:r>
    </w:p>
    <w:p>
      <w:pPr>
        <w:spacing w:after="0" w:line="228" w:lineRule="exact"/>
        <w:rPr>
          <w:rFonts w:ascii="Symbol" w:cs="Symbol" w:eastAsia="Symbol" w:hAnsi="Symbol"/>
          <w:sz w:val="20"/>
          <w:szCs w:val="20"/>
          <w:color w:val="auto"/>
        </w:rPr>
      </w:pPr>
    </w:p>
    <w:p>
      <w:pPr>
        <w:jc w:val="both"/>
        <w:ind w:left="720" w:hanging="353"/>
        <w:spacing w:after="0" w:line="245" w:lineRule="auto"/>
        <w:tabs>
          <w:tab w:leader="none" w:pos="720" w:val="left"/>
        </w:tabs>
        <w:numPr>
          <w:ilvl w:val="0"/>
          <w:numId w:val="3"/>
        </w:numPr>
        <w:rPr>
          <w:rFonts w:ascii="Symbol" w:cs="Symbol" w:eastAsia="Symbol" w:hAnsi="Symbol"/>
          <w:sz w:val="20"/>
          <w:szCs w:val="20"/>
          <w:color w:val="auto"/>
        </w:rPr>
      </w:pPr>
      <w:r>
        <w:rPr>
          <w:rFonts w:ascii="Calibri" w:cs="Calibri" w:eastAsia="Calibri" w:hAnsi="Calibri"/>
          <w:sz w:val="20"/>
          <w:szCs w:val="20"/>
          <w:color w:val="auto"/>
        </w:rPr>
        <w:t>As we have in-licensed development and/or commercial rights to LOQTORZI, we rely on prior and ongoing preclinical, clinical, regulatory and manufacturing expertise of our collaborators in order to advance this product candidate through regulatory approvals in the United States and other licensed territories.</w:t>
      </w:r>
    </w:p>
    <w:p>
      <w:pPr>
        <w:spacing w:after="0" w:line="224" w:lineRule="exact"/>
        <w:rPr>
          <w:rFonts w:ascii="Symbol" w:cs="Symbol" w:eastAsia="Symbol" w:hAnsi="Symbol"/>
          <w:sz w:val="20"/>
          <w:szCs w:val="20"/>
          <w:color w:val="auto"/>
        </w:rPr>
      </w:pPr>
    </w:p>
    <w:p>
      <w:pPr>
        <w:ind w:left="720" w:hanging="353"/>
        <w:spacing w:after="0"/>
        <w:tabs>
          <w:tab w:leader="none" w:pos="720" w:val="left"/>
        </w:tabs>
        <w:numPr>
          <w:ilvl w:val="0"/>
          <w:numId w:val="3"/>
        </w:numPr>
        <w:rPr>
          <w:rFonts w:ascii="Symbol" w:cs="Symbol" w:eastAsia="Symbol" w:hAnsi="Symbol"/>
          <w:sz w:val="20"/>
          <w:szCs w:val="20"/>
          <w:color w:val="auto"/>
        </w:rPr>
      </w:pPr>
      <w:r>
        <w:rPr>
          <w:rFonts w:ascii="Calibri" w:cs="Calibri" w:eastAsia="Calibri" w:hAnsi="Calibri"/>
          <w:sz w:val="20"/>
          <w:szCs w:val="20"/>
          <w:color w:val="auto"/>
        </w:rPr>
        <w:t>Our product and our product candidates, even if approved, will remain subject to regulatory scrutiny.</w:t>
      </w:r>
    </w:p>
    <w:p>
      <w:pPr>
        <w:spacing w:after="0" w:line="240" w:lineRule="exact"/>
        <w:rPr>
          <w:rFonts w:ascii="Symbol" w:cs="Symbol" w:eastAsia="Symbol" w:hAnsi="Symbol"/>
          <w:sz w:val="20"/>
          <w:szCs w:val="20"/>
          <w:color w:val="auto"/>
        </w:rPr>
      </w:pPr>
    </w:p>
    <w:p>
      <w:pPr>
        <w:jc w:val="both"/>
        <w:ind w:left="720" w:hanging="353"/>
        <w:spacing w:after="0" w:line="243" w:lineRule="auto"/>
        <w:tabs>
          <w:tab w:leader="none" w:pos="720" w:val="left"/>
        </w:tabs>
        <w:numPr>
          <w:ilvl w:val="0"/>
          <w:numId w:val="3"/>
        </w:numPr>
        <w:rPr>
          <w:rFonts w:ascii="Symbol" w:cs="Symbol" w:eastAsia="Symbol" w:hAnsi="Symbol"/>
          <w:sz w:val="20"/>
          <w:szCs w:val="20"/>
          <w:color w:val="auto"/>
        </w:rPr>
      </w:pPr>
      <w:r>
        <w:rPr>
          <w:rFonts w:ascii="Calibri" w:cs="Calibri" w:eastAsia="Calibri" w:hAnsi="Calibri"/>
          <w:sz w:val="20"/>
          <w:szCs w:val="20"/>
          <w:color w:val="auto"/>
        </w:rPr>
        <w:t>Disruptions at the FDA and other government agencies caused by funding shortages, staffing limitations, government shut-downs or global health concerns could hinder their ability to hire, retain or deploy key leadership and other personnel, and conduct inspections of manufacturing facilities, or otherwise prevent new or modified products from being developed, or approved or commercialized in a timely manner or at all, which could negatively impact our business.</w:t>
      </w:r>
    </w:p>
    <w:p>
      <w:pPr>
        <w:spacing w:after="0" w:line="226" w:lineRule="exact"/>
        <w:rPr>
          <w:rFonts w:ascii="Symbol" w:cs="Symbol" w:eastAsia="Symbol" w:hAnsi="Symbol"/>
          <w:sz w:val="20"/>
          <w:szCs w:val="20"/>
          <w:color w:val="auto"/>
        </w:rPr>
      </w:pPr>
    </w:p>
    <w:p>
      <w:pPr>
        <w:jc w:val="both"/>
        <w:ind w:left="720" w:hanging="353"/>
        <w:spacing w:after="0" w:line="245" w:lineRule="auto"/>
        <w:tabs>
          <w:tab w:leader="none" w:pos="720" w:val="left"/>
        </w:tabs>
        <w:numPr>
          <w:ilvl w:val="0"/>
          <w:numId w:val="3"/>
        </w:numPr>
        <w:rPr>
          <w:rFonts w:ascii="Symbol" w:cs="Symbol" w:eastAsia="Symbol" w:hAnsi="Symbol"/>
          <w:sz w:val="20"/>
          <w:szCs w:val="20"/>
          <w:color w:val="auto"/>
        </w:rPr>
      </w:pPr>
      <w:r>
        <w:rPr>
          <w:rFonts w:ascii="Calibri" w:cs="Calibri" w:eastAsia="Calibri" w:hAnsi="Calibri"/>
          <w:sz w:val="20"/>
          <w:szCs w:val="20"/>
          <w:color w:val="auto"/>
        </w:rPr>
        <w:t>Our product LOQTORZI and product candidates tagmokitug and casdozokitug, if approved, will face significant competition from other immuno-oncology biologics. If we fail to compete effectively, we may not achieve significant market penetration and expansion.</w:t>
      </w:r>
    </w:p>
    <w:p>
      <w:pPr>
        <w:spacing w:after="0" w:line="224" w:lineRule="exact"/>
        <w:rPr>
          <w:rFonts w:ascii="Symbol" w:cs="Symbol" w:eastAsia="Symbol" w:hAnsi="Symbol"/>
          <w:sz w:val="20"/>
          <w:szCs w:val="20"/>
          <w:color w:val="auto"/>
        </w:rPr>
      </w:pPr>
    </w:p>
    <w:p>
      <w:pPr>
        <w:jc w:val="both"/>
        <w:ind w:left="720" w:hanging="353"/>
        <w:spacing w:after="0" w:line="245" w:lineRule="auto"/>
        <w:tabs>
          <w:tab w:leader="none" w:pos="720" w:val="left"/>
        </w:tabs>
        <w:numPr>
          <w:ilvl w:val="0"/>
          <w:numId w:val="3"/>
        </w:numPr>
        <w:rPr>
          <w:rFonts w:ascii="Symbol" w:cs="Symbol" w:eastAsia="Symbol" w:hAnsi="Symbol"/>
          <w:sz w:val="20"/>
          <w:szCs w:val="20"/>
          <w:color w:val="auto"/>
        </w:rPr>
      </w:pPr>
      <w:r>
        <w:rPr>
          <w:rFonts w:ascii="Calibri" w:cs="Calibri" w:eastAsia="Calibri" w:hAnsi="Calibri"/>
          <w:sz w:val="20"/>
          <w:szCs w:val="20"/>
          <w:color w:val="auto"/>
        </w:rPr>
        <w:t>We face intense competition and rapid technological change and the possibility that our competitors may develop therapies that are similar, more advanced or more effective than ours, which may adversely affect our financial condition and our ability to successfully commercialize our product candidates.</w:t>
      </w:r>
    </w:p>
    <w:p>
      <w:pPr>
        <w:spacing w:after="0" w:line="225" w:lineRule="exact"/>
        <w:rPr>
          <w:rFonts w:ascii="Symbol" w:cs="Symbol" w:eastAsia="Symbol" w:hAnsi="Symbol"/>
          <w:sz w:val="20"/>
          <w:szCs w:val="20"/>
          <w:color w:val="auto"/>
        </w:rPr>
      </w:pPr>
    </w:p>
    <w:p>
      <w:pPr>
        <w:jc w:val="both"/>
        <w:ind w:left="720" w:hanging="353"/>
        <w:spacing w:after="0" w:line="245" w:lineRule="auto"/>
        <w:tabs>
          <w:tab w:leader="none" w:pos="720" w:val="left"/>
        </w:tabs>
        <w:numPr>
          <w:ilvl w:val="0"/>
          <w:numId w:val="3"/>
        </w:numPr>
        <w:rPr>
          <w:rFonts w:ascii="Symbol" w:cs="Symbol" w:eastAsia="Symbol" w:hAnsi="Symbol"/>
          <w:sz w:val="20"/>
          <w:szCs w:val="20"/>
          <w:color w:val="auto"/>
        </w:rPr>
      </w:pPr>
      <w:r>
        <w:rPr>
          <w:rFonts w:ascii="Calibri" w:cs="Calibri" w:eastAsia="Calibri" w:hAnsi="Calibri"/>
          <w:sz w:val="20"/>
          <w:szCs w:val="20"/>
          <w:color w:val="auto"/>
        </w:rPr>
        <w:t>Healthcare reform measures, including the IRA and the OBBBA, may increase the difficulty and cost for us to obtain marketing approval for and commercialize our product, affect the prices we may set, and have a material adverse effect on our business and results of operations.</w:t>
      </w:r>
    </w:p>
    <w:p>
      <w:pPr>
        <w:spacing w:after="0" w:line="224" w:lineRule="exact"/>
        <w:rPr>
          <w:rFonts w:ascii="Symbol" w:cs="Symbol" w:eastAsia="Symbol" w:hAnsi="Symbol"/>
          <w:sz w:val="20"/>
          <w:szCs w:val="20"/>
          <w:color w:val="auto"/>
        </w:rPr>
      </w:pPr>
    </w:p>
    <w:p>
      <w:pPr>
        <w:jc w:val="both"/>
        <w:ind w:left="720" w:hanging="353"/>
        <w:spacing w:after="0" w:line="245" w:lineRule="auto"/>
        <w:tabs>
          <w:tab w:leader="none" w:pos="720" w:val="left"/>
        </w:tabs>
        <w:numPr>
          <w:ilvl w:val="0"/>
          <w:numId w:val="3"/>
        </w:numPr>
        <w:rPr>
          <w:rFonts w:ascii="Symbol" w:cs="Symbol" w:eastAsia="Symbol" w:hAnsi="Symbol"/>
          <w:sz w:val="20"/>
          <w:szCs w:val="20"/>
          <w:color w:val="auto"/>
        </w:rPr>
      </w:pPr>
      <w:r>
        <w:rPr>
          <w:rFonts w:ascii="Calibri" w:cs="Calibri" w:eastAsia="Calibri" w:hAnsi="Calibri"/>
          <w:sz w:val="20"/>
          <w:szCs w:val="20"/>
          <w:color w:val="auto"/>
        </w:rPr>
        <w:t>We are highly dependent on the services of our key executives and personnel, including our President and Chief Executive Officer, Dennis M. Lanfear, and if we are not able to retain these members of our management or recruit additional management, clinical and scientific personnel, our business will suffer.</w:t>
      </w:r>
    </w:p>
    <w:p>
      <w:pPr>
        <w:spacing w:after="0" w:line="224" w:lineRule="exact"/>
        <w:rPr>
          <w:rFonts w:ascii="Symbol" w:cs="Symbol" w:eastAsia="Symbol" w:hAnsi="Symbol"/>
          <w:sz w:val="20"/>
          <w:szCs w:val="20"/>
          <w:color w:val="auto"/>
        </w:rPr>
      </w:pPr>
    </w:p>
    <w:p>
      <w:pPr>
        <w:jc w:val="both"/>
        <w:ind w:left="720" w:hanging="353"/>
        <w:spacing w:after="0" w:line="264" w:lineRule="auto"/>
        <w:tabs>
          <w:tab w:leader="none" w:pos="720" w:val="left"/>
        </w:tabs>
        <w:numPr>
          <w:ilvl w:val="0"/>
          <w:numId w:val="3"/>
        </w:numPr>
        <w:rPr>
          <w:rFonts w:ascii="Symbol" w:cs="Symbol" w:eastAsia="Symbol" w:hAnsi="Symbol"/>
          <w:sz w:val="19"/>
          <w:szCs w:val="19"/>
          <w:color w:val="auto"/>
        </w:rPr>
      </w:pPr>
      <w:r>
        <w:rPr>
          <w:rFonts w:ascii="Calibri" w:cs="Calibri" w:eastAsia="Calibri" w:hAnsi="Calibri"/>
          <w:sz w:val="19"/>
          <w:szCs w:val="19"/>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206" w:lineRule="exact"/>
        <w:rPr>
          <w:rFonts w:ascii="Symbol" w:cs="Symbol" w:eastAsia="Symbol" w:hAnsi="Symbol"/>
          <w:sz w:val="19"/>
          <w:szCs w:val="19"/>
          <w:color w:val="auto"/>
        </w:rPr>
      </w:pPr>
    </w:p>
    <w:p>
      <w:pPr>
        <w:jc w:val="both"/>
        <w:ind w:left="720" w:hanging="353"/>
        <w:spacing w:after="0" w:line="243" w:lineRule="auto"/>
        <w:tabs>
          <w:tab w:leader="none" w:pos="720" w:val="left"/>
        </w:tabs>
        <w:numPr>
          <w:ilvl w:val="0"/>
          <w:numId w:val="3"/>
        </w:numPr>
        <w:rPr>
          <w:rFonts w:ascii="Symbol" w:cs="Symbol" w:eastAsia="Symbol" w:hAnsi="Symbol"/>
          <w:sz w:val="20"/>
          <w:szCs w:val="20"/>
          <w:color w:val="auto"/>
        </w:rPr>
      </w:pPr>
      <w:r>
        <w:rPr>
          <w:rFonts w:ascii="Calibri" w:cs="Calibri" w:eastAsia="Calibri" w:hAnsi="Calibri"/>
          <w:sz w:val="20"/>
          <w:szCs w:val="20"/>
          <w:color w:val="auto"/>
        </w:rPr>
        <w:t>We are subject to a multitude of manufacturing risks and the risks of inaccurately forecasting sales of our product. Any adverse developments affecting the manufacturing operations of our product and product candidates, including the risks associated with transitioning our biomanufacturing processes from an offshoring business model to an onshoring business model, could substantially increase our costs and limit supply for our product and product candidates.</w:t>
      </w:r>
    </w:p>
    <w:p>
      <w:pPr>
        <w:spacing w:after="0" w:line="227" w:lineRule="exact"/>
        <w:rPr>
          <w:rFonts w:ascii="Symbol" w:cs="Symbol" w:eastAsia="Symbol" w:hAnsi="Symbol"/>
          <w:sz w:val="20"/>
          <w:szCs w:val="20"/>
          <w:color w:val="auto"/>
        </w:rPr>
      </w:pPr>
    </w:p>
    <w:p>
      <w:pPr>
        <w:ind w:left="720" w:hanging="353"/>
        <w:spacing w:after="0"/>
        <w:tabs>
          <w:tab w:leader="none" w:pos="720" w:val="left"/>
        </w:tabs>
        <w:numPr>
          <w:ilvl w:val="0"/>
          <w:numId w:val="3"/>
        </w:numPr>
        <w:rPr>
          <w:rFonts w:ascii="Symbol" w:cs="Symbol" w:eastAsia="Symbol" w:hAnsi="Symbol"/>
          <w:sz w:val="20"/>
          <w:szCs w:val="20"/>
          <w:color w:val="auto"/>
        </w:rPr>
      </w:pPr>
      <w:r>
        <w:rPr>
          <w:rFonts w:ascii="Calibri" w:cs="Calibri" w:eastAsia="Calibri" w:hAnsi="Calibri"/>
          <w:sz w:val="20"/>
          <w:szCs w:val="20"/>
          <w:color w:val="auto"/>
        </w:rPr>
        <w:t>The continuation of the war between Russia and Ukraine and conflicts in the Middle East may exacerbate certain risks we face.</w:t>
      </w:r>
    </w:p>
    <w:p>
      <w:pPr>
        <w:sectPr>
          <w:pgSz w:w="12240" w:h="15840" w:orient="portrait"/>
          <w:cols w:equalWidth="0" w:num="1">
            <w:col w:w="11160"/>
          </w:cols>
          <w:pgMar w:left="540" w:top="53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2240" w:h="15840" w:orient="portrait"/>
          <w:cols w:equalWidth="0" w:num="1">
            <w:col w:w="11160"/>
          </w:cols>
          <w:pgMar w:left="540" w:top="531" w:right="540" w:bottom="0" w:gutter="0" w:footer="0" w:header="0"/>
          <w:type w:val="continuous"/>
        </w:sectPr>
      </w:pPr>
    </w:p>
    <w:bookmarkStart w:id="5" w:name="page6"/>
    <w:bookmarkEnd w:id="5"/>
    <w:p>
      <w:pPr>
        <w:jc w:val="both"/>
        <w:ind w:left="353" w:hanging="353"/>
        <w:spacing w:after="0" w:line="245" w:lineRule="auto"/>
        <w:tabs>
          <w:tab w:leader="none" w:pos="353" w:val="left"/>
        </w:tabs>
        <w:numPr>
          <w:ilvl w:val="0"/>
          <w:numId w:val="4"/>
        </w:numPr>
        <w:rPr>
          <w:rFonts w:ascii="Symbol" w:cs="Symbol" w:eastAsia="Symbol" w:hAnsi="Symbol"/>
          <w:sz w:val="20"/>
          <w:szCs w:val="20"/>
          <w:color w:val="auto"/>
        </w:rPr>
      </w:pPr>
      <w:r>
        <w:rPr>
          <w:rFonts w:ascii="Calibri" w:cs="Calibri" w:eastAsia="Calibri" w:hAnsi="Calibri"/>
          <w:sz w:val="20"/>
          <w:szCs w:val="20"/>
          <w:color w:val="auto"/>
        </w:rPr>
        <w:t>Our product or our product candidates may cause undesirable side effects or have other properties that could, as applicable, delay or prevent their regulatory approval, limit the commercial profile of an approved label or result in significant negative consequences following marketing approval, if granted.</w:t>
      </w:r>
    </w:p>
    <w:p>
      <w:pPr>
        <w:spacing w:after="0" w:line="224" w:lineRule="exact"/>
        <w:rPr>
          <w:rFonts w:ascii="Symbol" w:cs="Symbol" w:eastAsia="Symbol" w:hAnsi="Symbol"/>
          <w:sz w:val="20"/>
          <w:szCs w:val="20"/>
          <w:color w:val="auto"/>
        </w:rPr>
      </w:pPr>
    </w:p>
    <w:p>
      <w:pPr>
        <w:ind w:left="353" w:hanging="353"/>
        <w:spacing w:after="0" w:line="250" w:lineRule="auto"/>
        <w:tabs>
          <w:tab w:leader="none" w:pos="353" w:val="left"/>
        </w:tabs>
        <w:numPr>
          <w:ilvl w:val="0"/>
          <w:numId w:val="4"/>
        </w:numPr>
        <w:rPr>
          <w:rFonts w:ascii="Symbol" w:cs="Symbol" w:eastAsia="Symbol" w:hAnsi="Symbol"/>
          <w:sz w:val="20"/>
          <w:szCs w:val="20"/>
          <w:color w:val="auto"/>
        </w:rPr>
      </w:pPr>
      <w:r>
        <w:rPr>
          <w:rFonts w:ascii="Calibri" w:cs="Calibri" w:eastAsia="Calibri" w:hAnsi="Calibri"/>
          <w:sz w:val="20"/>
          <w:szCs w:val="20"/>
          <w:color w:val="auto"/>
        </w:rPr>
        <w:t>If we infringe or are alleged to infringe intellectual property rights of third parties, our business could be harmed. Third-party claims of intellectual property infringement may prevent or delay our development and commercialization efforts.</w:t>
      </w:r>
    </w:p>
    <w:p>
      <w:pPr>
        <w:spacing w:after="0" w:line="219" w:lineRule="exact"/>
        <w:rPr>
          <w:rFonts w:ascii="Symbol" w:cs="Symbol" w:eastAsia="Symbol" w:hAnsi="Symbol"/>
          <w:sz w:val="20"/>
          <w:szCs w:val="20"/>
          <w:color w:val="auto"/>
        </w:rPr>
      </w:pPr>
    </w:p>
    <w:p>
      <w:pPr>
        <w:jc w:val="both"/>
        <w:ind w:left="353" w:hanging="353"/>
        <w:spacing w:after="0" w:line="245" w:lineRule="auto"/>
        <w:tabs>
          <w:tab w:leader="none" w:pos="353" w:val="left"/>
        </w:tabs>
        <w:numPr>
          <w:ilvl w:val="0"/>
          <w:numId w:val="4"/>
        </w:numPr>
        <w:rPr>
          <w:rFonts w:ascii="Symbol" w:cs="Symbol" w:eastAsia="Symbol" w:hAnsi="Symbol"/>
          <w:sz w:val="20"/>
          <w:szCs w:val="20"/>
          <w:color w:val="auto"/>
        </w:rPr>
      </w:pPr>
      <w:r>
        <w:rPr>
          <w:rFonts w:ascii="Calibri" w:cs="Calibri" w:eastAsia="Calibri" w:hAnsi="Calibri"/>
          <w:sz w:val="20"/>
          <w:szCs w:val="20"/>
          <w:color w:val="auto"/>
        </w:rPr>
        <w:t>We are heavily dependent on the development, clinical success, regulatory approval and commercial success of our product candidates. We cannot give any assurance that any of our product candidates will receive regulatory approval, which is necessary before they can be commercialized.</w:t>
      </w:r>
    </w:p>
    <w:p>
      <w:pPr>
        <w:sectPr>
          <w:pgSz w:w="12240" w:h="15840" w:orient="portrait"/>
          <w:cols w:equalWidth="0" w:num="1">
            <w:col w:w="10793"/>
          </w:cols>
          <w:pgMar w:left="907" w:top="54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67"/>
        <w:spacing w:after="0"/>
        <w:rPr>
          <w:sz w:val="20"/>
          <w:szCs w:val="20"/>
          <w:color w:val="auto"/>
        </w:rPr>
      </w:pPr>
      <w:r>
        <w:rPr>
          <w:rFonts w:ascii="Calibri" w:cs="Calibri" w:eastAsia="Calibri" w:hAnsi="Calibri"/>
          <w:sz w:val="20"/>
          <w:szCs w:val="20"/>
          <w:color w:val="auto"/>
        </w:rPr>
        <w:t>4</w:t>
      </w:r>
    </w:p>
    <w:p>
      <w:pPr>
        <w:sectPr>
          <w:pgSz w:w="12240" w:h="15840" w:orient="portrait"/>
          <w:cols w:equalWidth="0" w:num="1">
            <w:col w:w="10793"/>
          </w:cols>
          <w:pgMar w:left="907" w:top="543" w:right="540" w:bottom="0" w:gutter="0" w:footer="0" w:header="0"/>
          <w:type w:val="continuous"/>
        </w:sectPr>
      </w:pPr>
    </w:p>
    <w:bookmarkStart w:id="6" w:name="page7"/>
    <w:bookmarkEnd w:id="6"/>
    <w:p>
      <w:pPr>
        <w:jc w:val="center"/>
        <w:spacing w:after="0"/>
        <w:rPr>
          <w:sz w:val="20"/>
          <w:szCs w:val="20"/>
          <w:color w:val="auto"/>
        </w:rPr>
      </w:pPr>
      <w:r>
        <w:rPr>
          <w:rFonts w:ascii="Calibri" w:cs="Calibri" w:eastAsia="Calibri" w:hAnsi="Calibri"/>
          <w:sz w:val="20"/>
          <w:szCs w:val="20"/>
          <w:b w:val="1"/>
          <w:bCs w:val="1"/>
          <w:color w:val="auto"/>
        </w:rPr>
        <w:t>PART I</w:t>
      </w:r>
    </w:p>
    <w:p>
      <w:pPr>
        <w:spacing w:after="0" w:line="23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1.  </w:t>
      </w:r>
      <w:r>
        <w:rPr>
          <w:rFonts w:ascii="Calibri" w:cs="Calibri" w:eastAsia="Calibri" w:hAnsi="Calibri"/>
          <w:sz w:val="20"/>
          <w:szCs w:val="20"/>
          <w:b w:val="1"/>
          <w:bCs w:val="1"/>
          <w:i w:val="1"/>
          <w:iCs w:val="1"/>
          <w:color w:val="auto"/>
        </w:rPr>
        <w:t>Business</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Overview</w:t>
      </w:r>
    </w:p>
    <w:p>
      <w:pPr>
        <w:spacing w:after="0" w:line="240"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We are a fully integrated commercial-stage innovative oncology company with an approved next-generation programmed death receptor-1 (“PD-1”) inhibitor, LOQTORZI® (toripalimab-tpzi), and a pipeline that includes two mid-stage clinical candidates targeting liver, head and neck, colorectal and other cancers. Our strategy is to grow sales of LOQTORZI in nasopharyngeal carcinoma (“NPC”) and advance the development of new indications for LOQTORZI in combination with both our pipeline candidates as well as our partners, driving sales multiples and synergies from proprietary combinations. On May 29, 2025, we changed our corporate name from “Coherus BioSciences, Inc.” to “Coherus Oncology, Inc.” to better align with our exclusive focus on proprietary innovative immuno-oncology medicines following the completion of the recent divestitures of our biosimilar businesses.</w:t>
      </w:r>
    </w:p>
    <w:p>
      <w:pPr>
        <w:spacing w:after="0" w:line="219"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On October 27, 2023, we announced that LOQTORZI was approved by the U.S. Food and Drug Administration (“FDA”) in combination with cisplatin and gemcitabine for the first-line treatment of adults with metastatic or recurrent locally advanced nasopharyngeal carcinoma, and as monotherapy for the treatment of adults with recurrent unresectable, or metastatic NPC with disease progression on or after platinum-containing chemotherapy. LOQTORZI is an anti-PD-1 antibody that we developed in collaboration with Junshi Biosciences Co., Ltd. (“Junshi Biosciences”) that is currently the only immune checkpoint inhibitor approved by the FDA for the treatment of these indications that is commercially available in the United States. We announced the launch of LOQTORZI in the U.S. on January 2, 2024. Further evaluation of LOQTORZI is expected through multiple current and planned clinical studies by us, Junshi Biosciences and our biopharma partners.</w:t>
      </w:r>
    </w:p>
    <w:p>
      <w:pPr>
        <w:spacing w:after="0" w:line="216"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Our pipeline comprises two mid-stage clinical candidates aimed at overcoming immune resistance in cancer. We plan to develop each of them in combination with LOQTORZI as well as in partnership with other companies with immune activating or cancer agents. Our clinical stage product candidate casdozokitug (CHS-388, formerly SRF388) is an investigational antagonist antibody targeting IL-27, an immune regulatory cytokine, that is overexpressed in certain cancers, including hepatocellular, lung and renal cell carcinoma. Casdozokitug received orphan drug designation from the FDA for the treatment of hepatocellular carcinoma (“HCC”) in October 2020. The lead indication for casdozokitug is 1L HCC, and it is currently being studied in a randomized Phase 2 study in HCC evaluating casdozokitug in combination with toripalimab and bevacizumab (clinicaltrials.gov identifier# NCT06679985).</w:t>
      </w:r>
    </w:p>
    <w:p>
      <w:pPr>
        <w:spacing w:after="0" w:line="219"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Our second clinical-stage product candidate, tagmokitug (CHS-114, formerly SRF114), is an investigational afucosylated IgG1 antibody targeting CCR8, a chemokine receptor highly expressed on regulatory T cells (“Treg cells”) in the tumor microenvironment (“TME”). We are enrolling patients with head and neck squamous cell carcinoma (“HNSCC”) in the U.S. in a clinical trial evaluating safety and pharmacokinetics of tagmokitug with and without LOQTORZI (clinicaltrials.gov identifier# NCT05635643). We have also initiated a multiregional Phase 1b clinical study of tagmokitug in combination with toripalimab and/or other treatments in participants with advanced solid tumors including several cohorts including 2L upper GI adenocarcinoma, 2L esophageal squamous cell carcinoma (“ESCC”), 1LESCC, and Phase 2a cohort evaluating 4L+ colorectal cancer (clinicaltrials.gov identifier# NCT06657144). We have planned a clinical study evaluating tagmokitug in combination with pasritamig (a T cell engaging bispecific antibody targeting KLK2) in metastatic castrate resistant prostate cancer.</w:t>
      </w:r>
    </w:p>
    <w:p>
      <w:pPr>
        <w:spacing w:after="0" w:line="222" w:lineRule="exact"/>
        <w:rPr>
          <w:sz w:val="20"/>
          <w:szCs w:val="20"/>
          <w:color w:val="auto"/>
        </w:rPr>
      </w:pPr>
    </w:p>
    <w:p>
      <w:pPr>
        <w:jc w:val="both"/>
        <w:ind w:right="20" w:firstLine="720"/>
        <w:spacing w:after="0" w:line="263" w:lineRule="auto"/>
        <w:rPr>
          <w:sz w:val="20"/>
          <w:szCs w:val="20"/>
          <w:color w:val="auto"/>
        </w:rPr>
      </w:pPr>
      <w:r>
        <w:rPr>
          <w:rFonts w:ascii="Calibri" w:cs="Calibri" w:eastAsia="Calibri" w:hAnsi="Calibri"/>
          <w:sz w:val="20"/>
          <w:szCs w:val="20"/>
          <w:color w:val="auto"/>
        </w:rPr>
        <w:t>Coherus is executing a coordinated initiative to onshore the biomanufacturing process for LOQTORZI, casdozokitug and tagmokitug to the United States.</w:t>
      </w:r>
    </w:p>
    <w:p>
      <w:pPr>
        <w:spacing w:after="0" w:line="193"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We have scientific expertise, manufacturing capabilities, and U.S.-based experience across oncology clinical development, regulatory affairs, sales, and medical affairs, which have supported the commercialization of LOQTORZI. We expect to leverage these capabilities as we continue to advance our immuno-oncology franchise.</w:t>
      </w:r>
    </w:p>
    <w:p>
      <w:pPr>
        <w:spacing w:after="0" w:line="206" w:lineRule="exact"/>
        <w:rPr>
          <w:sz w:val="20"/>
          <w:szCs w:val="20"/>
          <w:color w:val="auto"/>
        </w:rPr>
      </w:pPr>
    </w:p>
    <w:p>
      <w:pPr>
        <w:jc w:val="both"/>
        <w:ind w:right="20" w:firstLine="720"/>
        <w:spacing w:after="0" w:line="263" w:lineRule="auto"/>
        <w:rPr>
          <w:sz w:val="20"/>
          <w:szCs w:val="20"/>
          <w:color w:val="auto"/>
        </w:rPr>
      </w:pPr>
      <w:r>
        <w:rPr>
          <w:rFonts w:ascii="Calibri" w:cs="Calibri" w:eastAsia="Calibri" w:hAnsi="Calibri"/>
          <w:sz w:val="20"/>
          <w:szCs w:val="20"/>
          <w:color w:val="auto"/>
        </w:rPr>
        <w:t>We commercialize LOQTORZI in the United States, and we have global rights to develop and commercialize casdozokitug and tagmokitug.</w:t>
      </w:r>
    </w:p>
    <w:p>
      <w:pPr>
        <w:spacing w:after="0" w:line="19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Product and Product Candidates</w:t>
      </w:r>
    </w:p>
    <w:p>
      <w:pPr>
        <w:spacing w:after="0" w:line="243"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Our portfolio includes the following product and product candidates:</w:t>
      </w:r>
    </w:p>
    <w:p>
      <w:pPr>
        <w:spacing w:after="0" w:line="249" w:lineRule="exact"/>
        <w:rPr>
          <w:sz w:val="20"/>
          <w:szCs w:val="20"/>
          <w:color w:val="auto"/>
        </w:rPr>
      </w:pPr>
    </w:p>
    <w:p>
      <w:pPr>
        <w:jc w:val="both"/>
        <w:ind w:left="1080" w:hanging="353"/>
        <w:spacing w:after="0" w:line="278" w:lineRule="auto"/>
        <w:tabs>
          <w:tab w:leader="none" w:pos="1080" w:val="left"/>
        </w:tabs>
        <w:numPr>
          <w:ilvl w:val="0"/>
          <w:numId w:val="5"/>
        </w:numPr>
        <w:rPr>
          <w:rFonts w:ascii="Symbol" w:cs="Symbol" w:eastAsia="Symbol" w:hAnsi="Symbol"/>
          <w:sz w:val="19"/>
          <w:szCs w:val="19"/>
          <w:color w:val="auto"/>
        </w:rPr>
      </w:pPr>
      <w:r>
        <w:rPr>
          <w:rFonts w:ascii="Calibri" w:cs="Calibri" w:eastAsia="Calibri" w:hAnsi="Calibri"/>
          <w:sz w:val="19"/>
          <w:szCs w:val="19"/>
          <w:color w:val="auto"/>
        </w:rPr>
        <w:t>LOQTORZI was developed for its ability to block PD-1 interactions with its ligands, PD-L1 and PD-L2, by binding to the FG loop on the PD-1 receptor. We believe blocking PD-1 interactions with PD-L1 and PD-L2 can help to promote the immune system’s</w:t>
      </w:r>
    </w:p>
    <w:p>
      <w:pPr>
        <w:sectPr>
          <w:pgSz w:w="12240" w:h="15840" w:orient="portrait"/>
          <w:cols w:equalWidth="0" w:num="1">
            <w:col w:w="11160"/>
          </w:cols>
          <w:pgMar w:left="540" w:top="531" w:right="54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5</w:t>
      </w:r>
    </w:p>
    <w:p>
      <w:pPr>
        <w:sectPr>
          <w:pgSz w:w="12240" w:h="15840" w:orient="portrait"/>
          <w:cols w:equalWidth="0" w:num="1">
            <w:col w:w="11160"/>
          </w:cols>
          <w:pgMar w:left="540" w:top="531" w:right="540" w:bottom="0" w:gutter="0" w:footer="0" w:header="0"/>
          <w:type w:val="continuous"/>
        </w:sectPr>
      </w:pPr>
    </w:p>
    <w:bookmarkStart w:id="7" w:name="page8"/>
    <w:bookmarkEnd w:id="7"/>
    <w:p>
      <w:pPr>
        <w:jc w:val="both"/>
        <w:ind w:left="353"/>
        <w:spacing w:after="0" w:line="245" w:lineRule="auto"/>
        <w:rPr>
          <w:sz w:val="20"/>
          <w:szCs w:val="20"/>
          <w:color w:val="auto"/>
        </w:rPr>
      </w:pPr>
      <w:r>
        <w:rPr>
          <w:rFonts w:ascii="Calibri" w:cs="Calibri" w:eastAsia="Calibri" w:hAnsi="Calibri"/>
          <w:sz w:val="20"/>
          <w:szCs w:val="20"/>
          <w:color w:val="auto"/>
        </w:rPr>
        <w:t>ability to attack and kill tumor cells. On October 27, 2023, we announced that LOQTORZI was approved by the FDA in combination with cisplatin and gemcitabine for the first-line treatment of adults with metastatic or recurrent locally advanced NPC, and as monotherapy for the treatment of adults with recurrent, unresectable, or metastatic NPC with disease progression on or after platinum-containing chemotherapy. LOQTORZI is an anti-PD-1 antibody that we developed in collaboration with Junshi Biosciences. We announced the launch of LOQTORZI in the U.S. on January 2, 2024.</w:t>
      </w:r>
    </w:p>
    <w:p>
      <w:pPr>
        <w:spacing w:after="0" w:line="214" w:lineRule="exact"/>
        <w:rPr>
          <w:sz w:val="20"/>
          <w:szCs w:val="20"/>
          <w:color w:val="auto"/>
        </w:rPr>
      </w:pPr>
    </w:p>
    <w:p>
      <w:pPr>
        <w:jc w:val="both"/>
        <w:ind w:left="353"/>
        <w:spacing w:after="0" w:line="243" w:lineRule="auto"/>
        <w:rPr>
          <w:sz w:val="20"/>
          <w:szCs w:val="20"/>
          <w:color w:val="auto"/>
        </w:rPr>
      </w:pPr>
      <w:r>
        <w:rPr>
          <w:rFonts w:ascii="Calibri" w:cs="Calibri" w:eastAsia="Calibri" w:hAnsi="Calibri"/>
          <w:sz w:val="20"/>
          <w:szCs w:val="20"/>
          <w:color w:val="auto"/>
        </w:rPr>
        <w:t>On December 11, 2023 we announced that NCCN updated the clinical practice guidelines for NPC to include LOQTORZI as a preferred, category 1 first-line treatment option for adults with metastatic or recurrent locally advanced NPC when used in combination with cisplatin and gemcitabine. On November 26, 2024, NCCN made a further update to the clinical practice guidelines for NPC to specify that LOQTORZI is the only preferred category 1 first-line treatment option for adults with metastatic or recurrent locally advanced NPC when used in combination with cisplatin and gemcitabine. The guidelines also recommend LOQTORZI monotherapy as the only preferred treatment in subsequent lines of therapy with disease progression on or after a platinum-containing therapy.</w:t>
      </w:r>
    </w:p>
    <w:p>
      <w:pPr>
        <w:spacing w:after="0" w:line="219" w:lineRule="exact"/>
        <w:rPr>
          <w:sz w:val="20"/>
          <w:szCs w:val="20"/>
          <w:color w:val="auto"/>
        </w:rPr>
      </w:pPr>
    </w:p>
    <w:p>
      <w:pPr>
        <w:jc w:val="both"/>
        <w:ind w:left="353"/>
        <w:spacing w:after="0" w:line="241" w:lineRule="auto"/>
        <w:rPr>
          <w:sz w:val="20"/>
          <w:szCs w:val="20"/>
          <w:color w:val="auto"/>
        </w:rPr>
      </w:pPr>
      <w:r>
        <w:rPr>
          <w:rFonts w:ascii="Calibri" w:cs="Calibri" w:eastAsia="Calibri" w:hAnsi="Calibri"/>
          <w:sz w:val="20"/>
          <w:szCs w:val="20"/>
          <w:color w:val="auto"/>
        </w:rPr>
        <w:t>Further evaluation of LOQTORZI is expected through multiple current and planned clinical studies by us and our partners. We have a post marketing commitment study active and enrolling patients in locations in the U.S. and Canada in order to further evaluate the safety and efficacy of toripalimab in combination with chemotherapy (cisplatin and gemcitabine) in patients with advanced NPC (clinicaltrials.gov identifier# NCT06457503). Junshi Biosciences has an active multiregional Phase 3 clinical study evaluating the treatment of LOQTORZI with its investigational anti-BTLA antibody in LS-SCLC (clinicaltrials.gov identifier# NCT06095583). INOVIO Pharmaceuticals, Inc. plans a randomized Phase 3 study of INO-3112 and toripalimab in locally advanced, high risk HPV16/18+ oropharyngeal squamous cell carcinoma. Cancer Research Institute is evaluating toripalimab in combination with ENB Therapeutics’ investigational agent ENB-003 in its Phase 2 trial titled, “Immunotherapy Platform Study in Platinum Resistant High Grade Serous Ovarian Cancer (IPROC)” (clinicaltrials.gov identifier# NCT04918186) that is being performed in collaboration with Canadian Cancer Trials Group. STORM Therapeutics, Ltd. is evaluating its METTL3 inhibitor STC-15 in combination with LOQTORZI in a Phase 1b/2 study (clinicaltrials.gov identifier# NCT06975293) for the treatment of non-small cell lung cancer, head and neck squamous cell carcinoma, melanoma, and endometrial cancer. On June 27, 2024, we entered into a license Agreement with Apotex, Inc. (“Apotex”), pursuant to which, we granted to Apotex an exclusive license under our rights to toripalimab to commercialize toripalimab within Canada (“Canada License Agreement”). On October 23, 2025, Health Canada approved LOQTORZI for the treatment of recurrent unresectable or metastatic NPC.</w:t>
      </w:r>
    </w:p>
    <w:p>
      <w:pPr>
        <w:spacing w:after="0" w:line="239" w:lineRule="exact"/>
        <w:rPr>
          <w:sz w:val="20"/>
          <w:szCs w:val="20"/>
          <w:color w:val="auto"/>
        </w:rPr>
      </w:pPr>
    </w:p>
    <w:p>
      <w:pPr>
        <w:jc w:val="both"/>
        <w:ind w:left="353" w:hanging="353"/>
        <w:spacing w:after="0" w:line="241" w:lineRule="auto"/>
        <w:tabs>
          <w:tab w:leader="none" w:pos="353" w:val="left"/>
        </w:tabs>
        <w:numPr>
          <w:ilvl w:val="0"/>
          <w:numId w:val="6"/>
        </w:numPr>
        <w:rPr>
          <w:rFonts w:ascii="Symbol" w:cs="Symbol" w:eastAsia="Symbol" w:hAnsi="Symbol"/>
          <w:sz w:val="20"/>
          <w:szCs w:val="20"/>
          <w:color w:val="auto"/>
        </w:rPr>
      </w:pPr>
      <w:r>
        <w:rPr>
          <w:rFonts w:ascii="Calibri" w:cs="Calibri" w:eastAsia="Calibri" w:hAnsi="Calibri"/>
          <w:sz w:val="20"/>
          <w:szCs w:val="20"/>
          <w:color w:val="auto"/>
        </w:rPr>
        <w:t>Casdozokitug (CHS-388, formerly SRF388), is an investigational recombinant human IgG1 monoclonal antibody targeting IL - 27, an immune regulatory cytokine, or protein that is overexpressed in certain cancers, including hepatocellular, lung and renal cell carcinoma. IL-27 is a cytokine secreted by macrophages and antigen presenting cells that plays an important physiological role in suppressing the immune system, as evidenced by its ability to resolve tissue inflammation. In addition, IL-27 is highly expressed during pregnancy and its expression is correlated with maternal-fetal tolerance. Due to its immune regulatory nature, there is a rationale for inhibiting IL-27 to treat cancer, as this approach will influence the activity of multiple types of immune cells that are necessary to recognize and attack a tumor. Casdozokitug received orphan drug designation from the FDA for the treatment of HCC in October 2020. Casdozokitug is currently being evaluated in an ongoing randomized Phase 2 clinical study in HCC evaluating casdozokitug in combination with toripalimab and bevacizumab (clinicaltrials.gov identifier# NCT06679985).</w:t>
      </w:r>
    </w:p>
    <w:p>
      <w:pPr>
        <w:spacing w:after="0" w:line="229" w:lineRule="exact"/>
        <w:rPr>
          <w:rFonts w:ascii="Symbol" w:cs="Symbol" w:eastAsia="Symbol" w:hAnsi="Symbol"/>
          <w:sz w:val="20"/>
          <w:szCs w:val="20"/>
          <w:color w:val="auto"/>
        </w:rPr>
      </w:pPr>
    </w:p>
    <w:p>
      <w:pPr>
        <w:jc w:val="both"/>
        <w:ind w:left="353" w:hanging="353"/>
        <w:spacing w:after="0" w:line="241" w:lineRule="auto"/>
        <w:tabs>
          <w:tab w:leader="none" w:pos="353" w:val="left"/>
        </w:tabs>
        <w:numPr>
          <w:ilvl w:val="0"/>
          <w:numId w:val="6"/>
        </w:numPr>
        <w:rPr>
          <w:rFonts w:ascii="Symbol" w:cs="Symbol" w:eastAsia="Symbol" w:hAnsi="Symbol"/>
          <w:sz w:val="20"/>
          <w:szCs w:val="20"/>
          <w:color w:val="auto"/>
        </w:rPr>
      </w:pPr>
      <w:r>
        <w:rPr>
          <w:rFonts w:ascii="Calibri" w:cs="Calibri" w:eastAsia="Calibri" w:hAnsi="Calibri"/>
          <w:sz w:val="20"/>
          <w:szCs w:val="20"/>
          <w:color w:val="auto"/>
        </w:rPr>
        <w:t>Tagmokitug (CHS-114, formerly SRF114), is an investigational human afucosylated IgG1 monoclonal antibody selectively targeting CCR8, a chemokine receptor highly expressed on regulatory T cells (“Treg cells”) in the tumor microenvironment. Tagmokitug is designed as a cytolytic antibody to cause depletion of intra-tumoral Treg cells, important regulators of immune suppression and tolerance, through antibody-dependent cellular cytotoxicity (“ADCC”), or antibody-dependent cellular phagocytosis (“ADCP”), or both. Tagmokitug has shown anti-tumor activity as monotherapy and in combination with anti-PD - 1 antibodies in preclinical models. We are currently evaluating tagmokitug in combination with toripalimab in a Phase 1b clinical study in second-line HNSCC (clinicaltrials.gov identifier# NCT05635643). We also have an ongoing Phase 1b/2a clinical study of tagmokitug in combination with toripalimab and/or other treatments in participants with advanced solid tumors with the first cohorts evaluating upper GI adenocarcinoma, esophageal squamous cell cancer and microsatellite stable (“MSS”) colorectal cancer (clinicaltrials.gov identifier# NCT06657144).</w:t>
      </w:r>
    </w:p>
    <w:p>
      <w:pPr>
        <w:spacing w:after="0" w:line="219" w:lineRule="exact"/>
        <w:rPr>
          <w:rFonts w:ascii="Symbol" w:cs="Symbol" w:eastAsia="Symbol" w:hAnsi="Symbol"/>
          <w:sz w:val="20"/>
          <w:szCs w:val="20"/>
          <w:color w:val="auto"/>
        </w:rPr>
      </w:pPr>
    </w:p>
    <w:p>
      <w:pPr>
        <w:jc w:val="both"/>
        <w:ind w:left="353"/>
        <w:spacing w:after="0" w:line="250" w:lineRule="auto"/>
        <w:rPr>
          <w:rFonts w:ascii="Symbol" w:cs="Symbol" w:eastAsia="Symbol" w:hAnsi="Symbol"/>
          <w:sz w:val="20"/>
          <w:szCs w:val="20"/>
          <w:color w:val="auto"/>
        </w:rPr>
      </w:pPr>
      <w:r>
        <w:rPr>
          <w:rFonts w:ascii="Calibri" w:cs="Calibri" w:eastAsia="Calibri" w:hAnsi="Calibri"/>
          <w:sz w:val="20"/>
          <w:szCs w:val="20"/>
          <w:color w:val="auto"/>
        </w:rPr>
        <w:t>On February 4, 2026, we announced a clinical supply agreement with Janssen Research &amp; Development, LLC (“Janssen”), to evaluate tagmokitug in combination with pasritamig, a T-cell engaging bispecific antibody, in a Phase 1b clinical study in patients with metastatic castration-resistant prostate cancer (“mCRPC”). Under the terms of the clinical supply agreement,</w:t>
      </w:r>
    </w:p>
    <w:p>
      <w:pPr>
        <w:sectPr>
          <w:pgSz w:w="12240" w:h="15840" w:orient="portrait"/>
          <w:cols w:equalWidth="0" w:num="1">
            <w:col w:w="10433"/>
          </w:cols>
          <w:pgMar w:left="1267" w:top="53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793"/>
        <w:spacing w:after="0"/>
        <w:rPr>
          <w:sz w:val="20"/>
          <w:szCs w:val="20"/>
          <w:color w:val="auto"/>
        </w:rPr>
      </w:pPr>
      <w:r>
        <w:rPr>
          <w:rFonts w:ascii="Calibri" w:cs="Calibri" w:eastAsia="Calibri" w:hAnsi="Calibri"/>
          <w:sz w:val="20"/>
          <w:szCs w:val="20"/>
          <w:color w:val="auto"/>
        </w:rPr>
        <w:t>6</w:t>
      </w:r>
    </w:p>
    <w:p>
      <w:pPr>
        <w:sectPr>
          <w:pgSz w:w="12240" w:h="15840" w:orient="portrait"/>
          <w:cols w:equalWidth="0" w:num="1">
            <w:col w:w="10433"/>
          </w:cols>
          <w:pgMar w:left="1267" w:top="532" w:right="540" w:bottom="0" w:gutter="0" w:footer="0" w:header="0"/>
          <w:type w:val="continuous"/>
        </w:sectPr>
      </w:pPr>
    </w:p>
    <w:bookmarkStart w:id="8" w:name="page9"/>
    <w:bookmarkEnd w:id="8"/>
    <w:p>
      <w:pPr>
        <w:ind w:left="1080"/>
        <w:spacing w:after="0" w:line="262" w:lineRule="auto"/>
        <w:rPr>
          <w:sz w:val="20"/>
          <w:szCs w:val="20"/>
          <w:color w:val="auto"/>
        </w:rPr>
      </w:pPr>
      <w:r>
        <w:rPr>
          <w:rFonts w:ascii="Calibri" w:cs="Calibri" w:eastAsia="Calibri" w:hAnsi="Calibri"/>
          <w:sz w:val="20"/>
          <w:szCs w:val="20"/>
          <w:color w:val="auto"/>
        </w:rPr>
        <w:t>Janssen will provide pasritamig to us, and we will be the sponsor of the Phase 1b clinical trial. Janssen and us each retain all commercial rights to our respective compounds, including as monotherapy or as combination treatments.</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Oncology Franchise Market Opportunity</w:t>
      </w:r>
    </w:p>
    <w:p>
      <w:pPr>
        <w:spacing w:after="0" w:line="23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LOQTORZI Opportunity</w:t>
      </w:r>
    </w:p>
    <w:p>
      <w:pPr>
        <w:spacing w:after="0" w:line="241"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Immuno-oncology agents, and the PD-1/PD-L1 class in particular, have shifted the treatment paradigm across a broad range of tumors, and across the continuum of cancer settings (metastatic to early stage). Clinical adoption of PD-1/PD-L1 therapies has been driven by the proven versatility of certain therapies within the class to be used as a monotherapy, as well as combination therapy with targeted agents such as tyrosine kinase inhibitors, chemotherapy, or other immunotherapy agents to achieve durable tumor responses and improved survival benefits, with acceptable toxicity profiles. The improved safety profile observed for approved PD-L1 therapies versus chemotherapy enables these therapies to be used as a backbone therapy in a broad array of combination regimens.</w:t>
      </w:r>
    </w:p>
    <w:p>
      <w:pPr>
        <w:spacing w:after="0" w:line="215"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On October 27, 2023, we announced that LOQTORZI was approved by the FDA in combination with cisplatin and gemcitabine for the first-line treatment of adults with metastatic or recurrent locally advanced NPC (“RM-NPC”), and as monotherapy for the treatment of adults with recurrent, unresectable, or metastatic NPC with disease progression on or after platinum-containing chemotherapy. LOQTORZI is an anti-PD-1 antibody that we developed in collaboration with Junshi Biosciences. We announced the launch of LOQTORZI in the U.S. on January 2, 2024.</w:t>
      </w:r>
    </w:p>
    <w:p>
      <w:pPr>
        <w:spacing w:after="0" w:line="216"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LOQTORZI is a novel next-generation PD-1 monoclonal antibody that blocks PD-1 ligands PD-L1 and PD-L2 with high potency at a unique site on the PD-1 receptor, enabling the immune system to activate and kill the tumor.</w:t>
      </w:r>
    </w:p>
    <w:p>
      <w:pPr>
        <w:spacing w:after="0" w:line="194"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NPC is a type of aggressive cancer that starts in the nasopharynx, the upper part of the throat behind the nose and near the base of the skull. NPC is rare in the United States, with an annual incidence of fewer than one per 100,000 people. The five-year survival rate for all patients diagnosed with NPC is approximately 60%, however, those who are diagnosed with advanced disease have a five-year survival rate of approximately 49%.</w:t>
      </w:r>
    </w:p>
    <w:p>
      <w:pPr>
        <w:spacing w:after="0" w:line="212"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Due to the location of the primary tumor, surgery is rarely an option, and, before the launch of LOQTORZI, patients with localized disease were treated primarily with radiation and chemotherapy. Patients treated with chemotherapy alone experience poor prognosis: only 20% experience one-year progression-free survival; up to 50% developed distant metastasis during their disease course; and low median overall survival (“OS”) of 29 months.</w:t>
      </w:r>
    </w:p>
    <w:p>
      <w:pPr>
        <w:spacing w:after="0" w:line="212" w:lineRule="exact"/>
        <w:rPr>
          <w:sz w:val="20"/>
          <w:szCs w:val="20"/>
          <w:color w:val="auto"/>
        </w:rPr>
      </w:pPr>
    </w:p>
    <w:p>
      <w:pPr>
        <w:jc w:val="both"/>
        <w:ind w:right="20" w:firstLine="720"/>
        <w:spacing w:after="0" w:line="263" w:lineRule="auto"/>
        <w:rPr>
          <w:sz w:val="20"/>
          <w:szCs w:val="20"/>
          <w:color w:val="auto"/>
        </w:rPr>
      </w:pPr>
      <w:r>
        <w:rPr>
          <w:rFonts w:ascii="Calibri" w:cs="Calibri" w:eastAsia="Calibri" w:hAnsi="Calibri"/>
          <w:sz w:val="20"/>
          <w:szCs w:val="20"/>
          <w:color w:val="auto"/>
        </w:rPr>
        <w:t>We estimate that there are up to 2,000 RM-NPC patients who are eligible for LOQTORZI, which translates into a $250 million market opportunity.</w:t>
      </w:r>
    </w:p>
    <w:p>
      <w:pPr>
        <w:spacing w:after="0" w:line="193"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LOQTORZI is the first FDA-approved therapy for RM-NPC. It represents a new standard of care for treating the disease when used in combination with cisplatin and gemcitabine in the first line setting or as monotherapy in the second line or greater setting. On December 11, 2023 we announced that NCCN updated the clinical practice guidelines for NPC to include LOQTORZI as a preferred, category 1 first-line treatment option for adults with metastatic or recurrent locally advanced NPC when used in combination with cisplatin and gemcitabine. On November 26, 2024, NCCN made a further update to the clinical practice guidelines for NPC to specify that LOQTORZI is the only preferred category 1 first-line treatment option for adults with metastatic or recurrent locally advanced NPC when used in combination with cisplatin and gemcitabine. The guidelines also recommend LOQTORZI monotherapy as the only preferred treatment in subsequent lines of therapy if disease progression on or after a platinum-containing therapy.</w:t>
      </w:r>
    </w:p>
    <w:p>
      <w:pPr>
        <w:spacing w:after="0" w:line="216"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The NCCN recommendations were based on results of the JUPITER-02 Phase 3 study and the POLARIS-02 Phase 2 study. In the JUPITER-02 Phase 3 study, LOQTORZI combined with chemotherapy significantly improved progression-free survival, reducing the risk of disease progression or death by 48% compared to chemotherapy alone. LOQTORZI also demonstrated a statistically significant and clinically meaningful improvement in overall survival, with treatment resulting in a 37% reduction in the risk of death versus chemotherapy alone. In the POLARIS-02 clinical study, LOQTORZI demonstrated durable anti-tumor activity in patients with recurrent or metastatic NPC who failed previous chemotherapy, with an objective response rate of 20.5%, a disease control rate of 40%, and a median overall survival of 17.4 months with an acceptable safety profile. In December 2025, six-year overall survival follow-up results from the JUPITER-02 trial were presented at the European Society of Medical Oncology (“ESMO”) Asia. These findings reveal a durable survival advantage for LOQTORZI plus gemcitabine+cisplatin over chemotherapy alone as a first line treatment for RM-NPC. In this exploratory post-hoc analysis, patients receiving LOQTORZI plus gemcitabine and cisplatin achieved a median overall survival of 64.8 months, nearly double that of chemotherapy alone (33.7 months), representing a 31-month improvement and an observed 38% reduction in risk of death (HR 0.62; 95% CI, 0.45-0.85).</w:t>
      </w:r>
    </w:p>
    <w:p>
      <w:pPr>
        <w:sectPr>
          <w:pgSz w:w="12240" w:h="15840" w:orient="portrait"/>
          <w:cols w:equalWidth="0" w:num="1">
            <w:col w:w="11160"/>
          </w:cols>
          <w:pgMar w:left="540" w:top="53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7</w:t>
      </w:r>
    </w:p>
    <w:p>
      <w:pPr>
        <w:sectPr>
          <w:pgSz w:w="12240" w:h="15840" w:orient="portrait"/>
          <w:cols w:equalWidth="0" w:num="1">
            <w:col w:w="11160"/>
          </w:cols>
          <w:pgMar w:left="540" w:top="532" w:right="540" w:bottom="0" w:gutter="0" w:footer="0" w:header="0"/>
          <w:type w:val="continuous"/>
        </w:sectPr>
      </w:pPr>
    </w:p>
    <w:bookmarkStart w:id="9" w:name="page10"/>
    <w:bookmarkEnd w:id="9"/>
    <w:p>
      <w:pPr>
        <w:spacing w:after="0"/>
        <w:rPr>
          <w:sz w:val="20"/>
          <w:szCs w:val="20"/>
          <w:color w:val="auto"/>
        </w:rPr>
      </w:pPr>
      <w:r>
        <w:rPr>
          <w:rFonts w:ascii="Calibri" w:cs="Calibri" w:eastAsia="Calibri" w:hAnsi="Calibri"/>
          <w:sz w:val="20"/>
          <w:szCs w:val="20"/>
          <w:b w:val="1"/>
          <w:bCs w:val="1"/>
          <w:color w:val="auto"/>
        </w:rPr>
        <w:t>Sales and Marketing</w:t>
      </w:r>
    </w:p>
    <w:p>
      <w:pPr>
        <w:spacing w:after="0" w:line="240"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Our current overarching commercial strategy with LOQTORZI is to establish a new standard of care for eligible patients with RM-NPC. Our execution plan is anchored on three growth drivers: accelerating new patient share through strong healthcare professional engagement and patient identification, ensuring LOQTORZI educational messaging is delivered at the time of treatment decision, and optimizing the duration of LOQTORZI treatment. Our educational efforts are focused on communicating the proven superior overall survival benefit of LOQTORZI to physicians that still treat RM-NPC with chemotherapy alone and, reinforcing LOQTORZI’s position as the only approved and available IO treatment for these patients.</w:t>
      </w:r>
    </w:p>
    <w:p>
      <w:pPr>
        <w:spacing w:after="0" w:line="216"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We sell and distribute LOQTORZI in the U.S. and Puerto Rico, exclusively through the wholesale (Specialty Distribution) channel.</w:t>
      </w:r>
    </w:p>
    <w:p>
      <w:pPr>
        <w:spacing w:after="0" w:line="15" w:lineRule="exact"/>
        <w:rPr>
          <w:sz w:val="20"/>
          <w:szCs w:val="20"/>
          <w:color w:val="auto"/>
        </w:rPr>
      </w:pPr>
    </w:p>
    <w:p>
      <w:pPr>
        <w:spacing w:after="0"/>
        <w:rPr>
          <w:sz w:val="20"/>
          <w:szCs w:val="20"/>
          <w:color w:val="auto"/>
        </w:rPr>
      </w:pPr>
      <w:r>
        <w:rPr>
          <w:rFonts w:ascii="Calibri" w:cs="Calibri" w:eastAsia="Calibri" w:hAnsi="Calibri"/>
          <w:sz w:val="20"/>
          <w:szCs w:val="20"/>
          <w:color w:val="auto"/>
        </w:rPr>
        <w:t>During the year ended December 31, 2025, approximately 99% of LOQTORZI revenues were from three large wholesale distributors:</w:t>
      </w:r>
    </w:p>
    <w:p>
      <w:pPr>
        <w:spacing w:after="0" w:line="237" w:lineRule="auto"/>
        <w:rPr>
          <w:sz w:val="20"/>
          <w:szCs w:val="20"/>
          <w:color w:val="auto"/>
        </w:rPr>
      </w:pPr>
      <w:r>
        <w:rPr>
          <w:rFonts w:ascii="Segoe UI" w:cs="Segoe UI" w:eastAsia="Segoe UI" w:hAnsi="Segoe UI"/>
          <w:sz w:val="18"/>
          <w:szCs w:val="18"/>
          <w:color w:val="auto"/>
        </w:rPr>
        <w:t xml:space="preserve">McKesson </w:t>
      </w:r>
      <w:r>
        <w:rPr>
          <w:rFonts w:ascii="Calibri" w:cs="Calibri" w:eastAsia="Calibri" w:hAnsi="Calibri"/>
          <w:sz w:val="20"/>
          <w:szCs w:val="20"/>
          <w:color w:val="auto"/>
        </w:rPr>
        <w:t>Corporation</w:t>
      </w:r>
      <w:r>
        <w:rPr>
          <w:rFonts w:ascii="Segoe UI" w:cs="Segoe UI" w:eastAsia="Segoe UI" w:hAnsi="Segoe UI"/>
          <w:sz w:val="18"/>
          <w:szCs w:val="18"/>
          <w:color w:val="auto"/>
        </w:rPr>
        <w:t>, Cencora, Inc., and Cardinal Health, Inc.</w:t>
      </w:r>
    </w:p>
    <w:p>
      <w:pPr>
        <w:spacing w:after="0" w:line="207"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For a discussion of risks related to sales and marketing, see “Risk Factors—Risks Related to Launch and Commercialization of our Product and our Product Candidates.”</w:t>
      </w:r>
    </w:p>
    <w:p>
      <w:pPr>
        <w:spacing w:after="0" w:line="19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Scientific, Clinical and Regulatory</w:t>
      </w:r>
    </w:p>
    <w:p>
      <w:pPr>
        <w:spacing w:after="0" w:line="241"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We have a depth of scientific, oncology clinical and regulatory expertise in the United States, which has supported the commercialization of LOQTORZI. We expect to further leverage these capabilities as we continue to advance our immuno-oncology pipeline.</w:t>
      </w:r>
    </w:p>
    <w:p>
      <w:pPr>
        <w:spacing w:after="0" w:line="206"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For a discussion of risks related to scientific, clinical and regulatory matters, see “Risk Factors— Risks Related to Launch and Commercialization of our Product and our Product Candidates, and Risks Related to Reliance on Third Parties, and Risks Related to the Discovery and Development of Our Product Candidates.”</w:t>
      </w:r>
    </w:p>
    <w:p>
      <w:pPr>
        <w:spacing w:after="0" w:line="20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Manufacturing</w:t>
      </w:r>
    </w:p>
    <w:p>
      <w:pPr>
        <w:spacing w:after="0" w:line="240"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We have entered into agreements with several contract manufacturing organizations (“CMOs”) for the manufacture and clinical drug supply of our commercial product and product candidates. We continue to screen other contract manufacturers to meet our clinical, commercial and regulatory supply requirements on a product-by-product basis. We are executing a coordinated initiative to onshore the biomanufacturing process for LOQTORZI, casdozokitug and tagmokitug to the United States.</w:t>
      </w:r>
    </w:p>
    <w:p>
      <w:pPr>
        <w:spacing w:after="0" w:line="212"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For a discussion of risks related to manufacturing our product and our reliance on third parties, see “Risk Factors— Risks Related to Manufacturing and Supply Chain” and “Risk Factors—Risks Related to Reliance on Third Parties.”</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Competition</w:t>
      </w:r>
    </w:p>
    <w:p>
      <w:pPr>
        <w:spacing w:after="0" w:line="240"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While we believe that our knowledge, experience and scientific resources provide us with competitive advantages, we face competition from many different sources. We operate in a highly competitive environment. Such competition includes larger and better-funded pharmaceutical, generic pharmaceutical, specialty pharmaceutical and biotechnology companies commercializing and developing immuno-oncology and biosimilar products that would compete with our product and the product candidates in our pipeline.</w:t>
      </w:r>
    </w:p>
    <w:p>
      <w:pPr>
        <w:spacing w:after="0" w:line="212"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LOQTORZI faces a competitive market in the United States where a number of anti-PD-1 or PD-L1 antibody drugs have been approved by the FDA, including the following marketed products from several competitors: Keytruda® (pembrolizumab) from Merck &amp; Co., Inc. (“Merck”), Opdivo® (nivolumab) from Bristol-Myers Squibb Company (“BMS”), Tecentriq® (atezolizumab) from Genentech, Inc. (“Genentech”), Imfinzi® (durvalumab) from AstraZeneca plc (“AstraZeneca”), Bavencio® (avelumab) from EMD Serono Inc. and Pfizer, Libtayo® (cemiplimab-rwlc) from Regeneron Pharmaceuticals, Inc. (“Regeneron”), Jemperli (dostarlimab-gxly) from GlaxoSmithKline plc (“GlaxoSmithKline”) and TEVIMBRA® (tislelizumab-jsgr) from BeiGene, Ltd. In addition to LOQTORZI, multiple other competitors are seeking to develop and approve novel anti-PD-1 or PD-L1 antibody drugs in the United States in the coming years, including but not limited to camrelizumab from Elevar Therapeutics, Inc. (in collaboration with Jiangsu Hengrui Pharmaceuticals Co., Ltd.).</w:t>
      </w:r>
    </w:p>
    <w:p>
      <w:pPr>
        <w:spacing w:after="0" w:line="216"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On April 23, 2025, the Food and Drug Administration approved penpulimab-kcqx, manufactured by Akeso Biopharma Co., Ltd. (“Akeso”) with cisplatin or carboplatin and gemcitabine for the first-line treatment of adults with recurrent or metastatic non-keratinizing nasopharyngeal carcinoma. FDA also approved penpulimab-kcqx as a single agent for adults with metastatic non-keratinizing NPC with disease progression on or after platinum-based chemotherapy and at least one other prior line of therapy. To date, Akeso has not launched penpulimab in the United States.</w:t>
      </w:r>
    </w:p>
    <w:p>
      <w:pPr>
        <w:sectPr>
          <w:pgSz w:w="12240" w:h="15840" w:orient="portrait"/>
          <w:cols w:equalWidth="0" w:num="1">
            <w:col w:w="11160"/>
          </w:cols>
          <w:pgMar w:left="540" w:top="53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8</w:t>
      </w:r>
    </w:p>
    <w:p>
      <w:pPr>
        <w:sectPr>
          <w:pgSz w:w="12240" w:h="15840" w:orient="portrait"/>
          <w:cols w:equalWidth="0" w:num="1">
            <w:col w:w="11160"/>
          </w:cols>
          <w:pgMar w:left="540" w:top="531" w:right="540" w:bottom="0" w:gutter="0" w:footer="0" w:header="0"/>
          <w:type w:val="continuous"/>
        </w:sectPr>
      </w:pPr>
    </w:p>
    <w:bookmarkStart w:id="10" w:name="page11"/>
    <w:bookmarkEnd w:id="10"/>
    <w:p>
      <w:pPr>
        <w:jc w:val="both"/>
        <w:ind w:firstLine="720"/>
        <w:spacing w:after="0" w:line="262" w:lineRule="auto"/>
        <w:rPr>
          <w:sz w:val="20"/>
          <w:szCs w:val="20"/>
          <w:color w:val="auto"/>
        </w:rPr>
      </w:pPr>
      <w:r>
        <w:rPr>
          <w:rFonts w:ascii="Calibri" w:cs="Calibri" w:eastAsia="Calibri" w:hAnsi="Calibri"/>
          <w:sz w:val="20"/>
          <w:szCs w:val="20"/>
          <w:color w:val="auto"/>
        </w:rPr>
        <w:t>As the only immunotherapy approved by the FDA for the treatment of NPC that is available in the United States, we believe LOQTORZI addresses a potentially high unmet need.</w:t>
      </w:r>
    </w:p>
    <w:p>
      <w:pPr>
        <w:spacing w:after="0" w:line="195"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Casdozokitug is in development and is the only antagonist antibody in development known to us that is targeting the immune regulatory cytokine IL-27. If approved, it faces competition from other immuno-oncology products that are currently approved and that may be approved in the future.</w:t>
      </w:r>
    </w:p>
    <w:p>
      <w:pPr>
        <w:spacing w:after="0" w:line="206"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Tagmokitug is in development and, if approved, faces competition from programs in development specifically targeting CCR8, including those by BMS, Gilead Sciences, Inc. (“Gilead”) / Jounce Therapeutics, Inc. (“Jounce”), Shionogi Inc. (“Shinogi”), AbbVie Inc. (“AbbVie”), Bayer AG, F. Hoffmann-La Roche Ltd. (“Bayer”), Amgen Inc. (“Amgen”), LaNova Medicines Ltd. (“LaNova”) and Nanjing Immunophage Biotech Co., Ltd. (“Nanjing”) in addition to competition from other immuno-oncology products that are currently approved and that may be approved in the future.</w:t>
      </w:r>
    </w:p>
    <w:p>
      <w:pPr>
        <w:spacing w:after="0" w:line="214"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We expect any products that we develop and commercialize directly or with partners to compete on the basis of, among other things, the strength of clinical efficacy and safety data, price and the availability of reimbursement from government and other third-party payers. Our competitors also may obtain FDA or other regulatory approval for their products more rapidly than we may obtain approval for ours, which could result in our competitors establishing a strong market position before we are able to enter the market. For a discussion of risks related to our competition, see “Risk Factors— Risks Related to Competitive Activity.”</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Collaboration and License Agreements</w:t>
      </w:r>
    </w:p>
    <w:p>
      <w:pPr>
        <w:spacing w:after="0" w:line="23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Settlement and License Agreements with Pfizer</w:t>
      </w:r>
    </w:p>
    <w:p>
      <w:pPr>
        <w:spacing w:after="0" w:line="240" w:lineRule="exact"/>
        <w:rPr>
          <w:sz w:val="20"/>
          <w:szCs w:val="20"/>
          <w:color w:val="auto"/>
        </w:rPr>
      </w:pPr>
    </w:p>
    <w:p>
      <w:pPr>
        <w:jc w:val="both"/>
        <w:ind w:firstLine="720"/>
        <w:spacing w:after="0" w:line="263" w:lineRule="auto"/>
        <w:rPr>
          <w:sz w:val="20"/>
          <w:szCs w:val="20"/>
          <w:color w:val="auto"/>
        </w:rPr>
      </w:pPr>
      <w:r>
        <w:rPr>
          <w:rFonts w:ascii="Calibri" w:cs="Calibri" w:eastAsia="Calibri" w:hAnsi="Calibri"/>
          <w:sz w:val="20"/>
          <w:szCs w:val="20"/>
          <w:color w:val="auto"/>
        </w:rPr>
        <w:t>In October 2019, we entered into a license and settlement agreement with Pfizer relating to Coherus’ patents and applications for patents directed to Humira (adalimumab) formulations.</w:t>
      </w:r>
    </w:p>
    <w:p>
      <w:pPr>
        <w:spacing w:after="0" w:line="19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License Agreement with Junshi Biosciences</w:t>
      </w:r>
    </w:p>
    <w:p>
      <w:pPr>
        <w:spacing w:after="0" w:line="241" w:lineRule="exact"/>
        <w:rPr>
          <w:sz w:val="20"/>
          <w:szCs w:val="20"/>
          <w:color w:val="auto"/>
        </w:rPr>
      </w:pPr>
    </w:p>
    <w:p>
      <w:pPr>
        <w:jc w:val="both"/>
        <w:ind w:firstLine="720"/>
        <w:spacing w:after="0" w:line="288" w:lineRule="auto"/>
        <w:rPr>
          <w:sz w:val="20"/>
          <w:szCs w:val="20"/>
          <w:color w:val="auto"/>
        </w:rPr>
      </w:pPr>
      <w:r>
        <w:rPr>
          <w:rFonts w:ascii="Calibri" w:cs="Calibri" w:eastAsia="Calibri" w:hAnsi="Calibri"/>
          <w:sz w:val="19"/>
          <w:szCs w:val="19"/>
          <w:color w:val="auto"/>
        </w:rPr>
        <w:t>On February 1, 2021, we entered into the Collaboration Agreement with Junshi Biosciences for the co-development and commercialization of toripalimab, Junshi Biosciences’ anti-PD-1 antibody in the United States and Canada (the “Collaboration Agreement”).</w:t>
      </w:r>
    </w:p>
    <w:p>
      <w:pPr>
        <w:spacing w:after="0" w:line="172"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Under the terms of the Collaboration Agreement, we paid $150.0 million upfront for exclusive rights to LOQTORZI in the United States and Canada, an option in these territories to Junshi Biosciences’ anti-TIGIT antibody CHS-006, an option in these territories to a next-generation engineered IL-2 cytokine, and certain negotiation rights to two undisclosed preclinical immuno-oncology drug candidates. We are obligated to pay Junshi Biosciences a royalty in the low twenty percent range on net sales of LOQTORZI and up to an aggregate $380.0 million in one-time payments for the achievement of various regulatory and sales milestones, of which $12.5 million was paid as of December 31, 2024 and another $12.5 million was paid in January 2025.</w:t>
      </w:r>
    </w:p>
    <w:p>
      <w:pPr>
        <w:spacing w:after="0" w:line="215"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In March 2022, we paid $35.0 million to exercise our option to license CHS-006. Subsequent joint development consistent with the Collaboration Agreement commenced. On January 10, 2024, we announced that we had delivered a notice of termination of the TIGIT Program (as defined in the Collaboration Agreement) to Junshi Biosciences pursuant to the Collaboration Agreement. Under the Collaboration Agreement, we retain the right to collaborate in the development of LOQTORZI and the other licensed compounds and will pay for a portion of these co-development activities. Additionally, we are responsible for certain associated regulatory and technology transfer costs for LOQTORZI and other licensed compounds and will reimburse Junshi Biosciences for such costs. On June 27, 2024, we entered into the Canada License Agreement pursuant to which, we granted to Apotex an exclusive license under our rights to toripalimab to commercialize toripalimab within Canada.</w:t>
      </w:r>
    </w:p>
    <w:p>
      <w:pPr>
        <w:spacing w:after="0" w:line="216"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We made milestone payments to Junshi Biosciences of $12.5 million in the second quarter of 2024 and another $12.5 million in January of 2025. The accrued royalty obligation to Junshi Biosciences was $4.7 million and $1.5 million as of December 31, 2025 and 2024, respectively. Additional milestone payments and royalties are contingent upon future events and, therefore, will be recorded if and when it becomes probable that a milestone will be achieved, or when an option fee or royalties are contractually payable.</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Adimab Development and Option Agreement</w:t>
      </w:r>
    </w:p>
    <w:p>
      <w:pPr>
        <w:spacing w:after="0" w:line="240" w:lineRule="exact"/>
        <w:rPr>
          <w:sz w:val="20"/>
          <w:szCs w:val="20"/>
          <w:color w:val="auto"/>
        </w:rPr>
      </w:pPr>
    </w:p>
    <w:p>
      <w:pPr>
        <w:jc w:val="both"/>
        <w:ind w:firstLine="720"/>
        <w:spacing w:after="0" w:line="250" w:lineRule="auto"/>
        <w:rPr>
          <w:sz w:val="20"/>
          <w:szCs w:val="20"/>
          <w:color w:val="auto"/>
        </w:rPr>
      </w:pPr>
      <w:r>
        <w:rPr>
          <w:rFonts w:ascii="Calibri" w:cs="Calibri" w:eastAsia="Calibri" w:hAnsi="Calibri"/>
          <w:sz w:val="20"/>
          <w:szCs w:val="20"/>
          <w:color w:val="auto"/>
        </w:rPr>
        <w:t>In October 2018, Surface Oncology, Inc. (“Surface”), which we acquired in September 2023 (the “Surface Acquisition”), and Adimab LLC (“Adimab”), entered into an amended and restated development and option agreement, which was subsequently amended on December 16, 2020, June 1, 2022 and July 18, 2022 (the “A&amp;R Adimab Agreement”), for the discovery and optimization of proprietary</w:t>
      </w:r>
    </w:p>
    <w:p>
      <w:pPr>
        <w:sectPr>
          <w:pgSz w:w="12240" w:h="15840" w:orient="portrait"/>
          <w:cols w:equalWidth="0" w:num="1">
            <w:col w:w="11160"/>
          </w:cols>
          <w:pgMar w:left="540" w:top="53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9</w:t>
      </w:r>
    </w:p>
    <w:p>
      <w:pPr>
        <w:sectPr>
          <w:pgSz w:w="12240" w:h="15840" w:orient="portrait"/>
          <w:cols w:equalWidth="0" w:num="1">
            <w:col w:w="11160"/>
          </w:cols>
          <w:pgMar w:left="540" w:top="532" w:right="540" w:bottom="0" w:gutter="0" w:footer="0" w:header="0"/>
          <w:type w:val="continuous"/>
        </w:sectPr>
      </w:pPr>
    </w:p>
    <w:bookmarkStart w:id="11" w:name="page12"/>
    <w:bookmarkEnd w:id="11"/>
    <w:p>
      <w:pPr>
        <w:jc w:val="both"/>
        <w:spacing w:after="0" w:line="247" w:lineRule="auto"/>
        <w:rPr>
          <w:sz w:val="20"/>
          <w:szCs w:val="20"/>
          <w:color w:val="auto"/>
        </w:rPr>
      </w:pPr>
      <w:r>
        <w:rPr>
          <w:rFonts w:ascii="Calibri" w:cs="Calibri" w:eastAsia="Calibri" w:hAnsi="Calibri"/>
          <w:sz w:val="20"/>
          <w:szCs w:val="20"/>
          <w:color w:val="auto"/>
        </w:rPr>
        <w:t>antibodies as potential therapeutic product candidates. Under the A&amp;R Adimab Agreement, we will select biological targets against which Adimab will use its proprietary platform technology to research and develop antibody proteins using a mutually agreed upon research plan. The A&amp;R Adimab Agreement, among other things, provided access to additional antibodies and expanded our right to evaluate and use antibodies that were modified or derived using Adimab technology for diagnostic purposes.</w:t>
      </w:r>
    </w:p>
    <w:p>
      <w:pPr>
        <w:spacing w:after="0" w:line="212"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Adimab granted us an exclusive option to obtain a non-exclusive, worldwide, fully paid-up, sublicensable license under Adimab’s platform patents and other Adimab technology solely to research up to ten antibodies, chosen by us against a specific biological target for a specified period of time (the “Research Option”). In addition, Adimab granted us an exclusive option to obtain a worldwide, royalty-bearing, sublicensable license under Adimab platform patents and other Adimab technology to exploit, including commercially, 20 or more antibodies against specific biological targets (the “Commercialization Option”). Upon the exercise of a Commercialization Option, and payment of the applicable option fee to Adimab, Adimab will assign us the patents that cover the antibodies selected by such Commercialization Option. We will be required to use commercially reasonable efforts to develop, seek market approval of, and commercialize at least one antibody against the target covered by the Commercialization Option in specified markets upon the exercise of a Commercialization Option.</w:t>
      </w:r>
    </w:p>
    <w:p>
      <w:pPr>
        <w:spacing w:after="0" w:line="222" w:lineRule="exact"/>
        <w:rPr>
          <w:sz w:val="20"/>
          <w:szCs w:val="20"/>
          <w:color w:val="auto"/>
        </w:rPr>
      </w:pPr>
    </w:p>
    <w:p>
      <w:pPr>
        <w:jc w:val="both"/>
        <w:ind w:firstLine="720"/>
        <w:spacing w:after="0" w:line="255" w:lineRule="auto"/>
        <w:rPr>
          <w:sz w:val="20"/>
          <w:szCs w:val="20"/>
          <w:color w:val="auto"/>
        </w:rPr>
      </w:pPr>
      <w:r>
        <w:rPr>
          <w:rFonts w:ascii="Calibri" w:cs="Calibri" w:eastAsia="Calibri" w:hAnsi="Calibri"/>
          <w:sz w:val="19"/>
          <w:szCs w:val="19"/>
          <w:color w:val="auto"/>
        </w:rPr>
        <w:t>Under the A&amp;R Adimab Agreement, we are obligated to make milestone payments and to pay specified fees upon the exercise of the Research Option or Commercialization Option. Upon exercise of a Research Option, we are obligated to pay a nominal research maintenance fee on each of the next four anniversaries of the exercise. Upon the exercise of each Commercialization Option, we will be required to pay an option exercise fee of a low seven-digit dollar amount, and we may be responsible for remaining potential milestone payments up to an aggregate of $10.5 million for each licensed product that receives marketing approval. For any licensed product that is commercialized, we are obligated to pay Adimab tiered royalties of a low to mid single-digit percentage on worldwide net sales of such product. We may also partially exercise a Commercialization Option with respect to ten antibodies against a biological target by paying 65% of the option fee and later either (i) paying the balance and choosing additional antibodies for commercialization, up to the maximum number under the Commercialization Option, or (ii) foregoing the Commercialization Option entirely. For any Adimab diagnostic product that is used with or in connection with any compound or product other than a licensed antibody or licensed product, we are obligated to pay Adimab up to a low seven digits in regulatory milestone payments and low single-digit royalties on net sales. No additional payment is due with respect to any companion diagnostic or any diagnostic product that does not contain any licensed antibody.</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License Agreement with Vaccinex</w:t>
      </w:r>
    </w:p>
    <w:p>
      <w:pPr>
        <w:spacing w:after="0" w:line="241"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On March 23, 2021, Surface and Vaccinex, Inc. (“Vaccinex”) entered into an exclusive product license agreement (the “Vaccinex License Agreement”) to exclusively license certain antibodies, including tagmokitug. Pursuant to the terms of the Vaccinex License Agreement, we have a worldwide, exclusive, sublicensable license to make, have made, use, sell, offer to sell, have sold, import and otherwise exploit licensed products that incorporate certain Vaccinex intellectual property which covers certain antibodies (each, a “Vaccinex Licensed Product”), including the antibody tagmokitug targeting CCR8.</w:t>
      </w:r>
    </w:p>
    <w:p>
      <w:pPr>
        <w:spacing w:after="0" w:line="214"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Under the Vaccinex License Agreement, we are obligated to use commercially reasonable efforts to develop, clinically test, achieve regulatory approval, manufacture, market and commercialize at least one Vaccinex Licensed Product and have the sole right to develop, manufacture and commercialize the licensed products worldwide. We are responsible for all costs and expenses of such development, manufacturing and commercialization. Vaccinex is eligible to receive potential remaining milestones up to $2.0 million based on the achievement of certain clinical milestones, excluding a $1.0 million milestone payment accrued at December 31, 2025, and up to $11.5 million based on the achievement of certain regulatory milestones per Vaccinex Licensed Product. We also owe low single-digit royalties on global net sales of any approved licensed products.</w:t>
      </w:r>
    </w:p>
    <w:p>
      <w:pPr>
        <w:spacing w:after="0" w:line="219"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As of December 31, 2025, we accrued a $1.0 million milestone payment to Vaccinex related to the achievement of a clinical milestone, which was paid in January 2026. Any additional milestone payments and royalties under the Vaccinex License Agreement are contingent upon the achievement of future development, regulatory, or commercial events and will be recorded if and when it becomes probable that a milestone will be achieved, or when royalties are contractually payable.</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GSK Out-licensing Agreement</w:t>
      </w:r>
    </w:p>
    <w:p>
      <w:pPr>
        <w:spacing w:after="0" w:line="240" w:lineRule="exact"/>
        <w:rPr>
          <w:sz w:val="20"/>
          <w:szCs w:val="20"/>
          <w:color w:val="auto"/>
        </w:rPr>
      </w:pPr>
    </w:p>
    <w:p>
      <w:pPr>
        <w:jc w:val="both"/>
        <w:ind w:firstLine="720"/>
        <w:spacing w:after="0" w:line="259" w:lineRule="auto"/>
        <w:rPr>
          <w:sz w:val="20"/>
          <w:szCs w:val="20"/>
          <w:color w:val="auto"/>
        </w:rPr>
      </w:pPr>
      <w:r>
        <w:rPr>
          <w:rFonts w:ascii="Calibri" w:cs="Calibri" w:eastAsia="Calibri" w:hAnsi="Calibri"/>
          <w:sz w:val="19"/>
          <w:szCs w:val="19"/>
          <w:color w:val="auto"/>
        </w:rPr>
        <w:t>In December 2020, Surface entered into the GSK Agreement. Pursuant to the GSK Agreement, Surface granted GSK a worldwide exclusive, sublicensable license to develop, manufacture and commercialize antibodies that target PVRIG, including the antibody GSK4381562 (the “Licensed Antibodies”). GSK was responsible for the development, manufacturing and commercialization of the Licensed Antibodies and a joint development committee was formed to facilitate information sharing. GSK was responsible for all costs and expenses of such development, manufacturing and commercialization and was obligated to provide us with updates on its development, manufacturing and commercialization activities through the joint development committee. In March 2022, Surface earned a $30.0 million</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10</w:t>
      </w:r>
    </w:p>
    <w:p>
      <w:pPr>
        <w:sectPr>
          <w:pgSz w:w="12240" w:h="15840" w:orient="portrait"/>
          <w:cols w:equalWidth="0" w:num="1">
            <w:col w:w="11160"/>
          </w:cols>
          <w:pgMar w:left="540" w:top="532" w:right="540" w:bottom="9" w:gutter="0" w:footer="0" w:header="0"/>
          <w:type w:val="continuous"/>
        </w:sectPr>
      </w:pPr>
    </w:p>
    <w:bookmarkStart w:id="12" w:name="page13"/>
    <w:bookmarkEnd w:id="12"/>
    <w:p>
      <w:pPr>
        <w:jc w:val="both"/>
        <w:spacing w:after="0" w:line="262" w:lineRule="auto"/>
        <w:rPr>
          <w:sz w:val="20"/>
          <w:szCs w:val="20"/>
          <w:color w:val="auto"/>
        </w:rPr>
      </w:pPr>
      <w:r>
        <w:rPr>
          <w:rFonts w:ascii="Calibri" w:cs="Calibri" w:eastAsia="Calibri" w:hAnsi="Calibri"/>
          <w:sz w:val="20"/>
          <w:szCs w:val="20"/>
          <w:color w:val="auto"/>
        </w:rPr>
        <w:t>milestone payment from GSK upon the dosing of the first patient in the Phase 1 trial of GSK4381562. GSK terminated the GSK Agreement effective December 16, 2025. Coherus has elected not to pursue further development of the Licensed Antibodies.</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License Agreement with Apotex</w:t>
      </w:r>
    </w:p>
    <w:p>
      <w:pPr>
        <w:spacing w:after="0" w:line="240"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On June 27, 2024, we entered into the Canada License Agreement pursuant to which, we granted to Apotex an exclusive license under our rights to toripalimab to commercialize toripalimab within Canada. Pursuant to the Canada License Agreement, Apotex paid the Company an upfront payment of $6.3 million United States Dollars. In addition, Apotex agreed to pay the Company up to an aggregate of $51.5 million Canadian Dollars in milestone payments in connection with the achievement of certain regulatory and sales milestones with respect to toripalimab in Canada. Apotex also agreed to pay the Company a low twenty percent range on future net sales of toripalimab in Canada as running royalties, which the Company subsequently pays through to Junshi Biosciences pursuant to the Collaboration Agreement.</w:t>
      </w:r>
    </w:p>
    <w:p>
      <w:pPr>
        <w:spacing w:after="0" w:line="219" w:lineRule="exact"/>
        <w:rPr>
          <w:sz w:val="20"/>
          <w:szCs w:val="20"/>
          <w:color w:val="auto"/>
        </w:rPr>
      </w:pPr>
    </w:p>
    <w:p>
      <w:pPr>
        <w:jc w:val="both"/>
        <w:ind w:firstLine="720"/>
        <w:spacing w:after="0" w:line="260" w:lineRule="auto"/>
        <w:rPr>
          <w:sz w:val="20"/>
          <w:szCs w:val="20"/>
          <w:color w:val="auto"/>
        </w:rPr>
      </w:pPr>
      <w:r>
        <w:rPr>
          <w:rFonts w:ascii="Calibri" w:cs="Calibri" w:eastAsia="Calibri" w:hAnsi="Calibri"/>
          <w:sz w:val="19"/>
          <w:szCs w:val="19"/>
          <w:color w:val="auto"/>
        </w:rPr>
        <w:t>Apotex received Health Canada approval for LOQTORZI for the treatment of recurrent unresectable or metastatic nasopharyngeal cancer in October 2025. The Canada License Agreement term continues until the tenth year after the first commercial sales of toripalimab in Canada, which occurred in January 2026, subject to an extension for a subsequent ten-year term at the option of Apotex. Apotex may terminate the Canada License Agreement for any reason after a specified notice period. The Canada License Agreement will terminate automatically if the rights granted to the Company by the Collaboration Agreement are terminated, if there is a material breach that is not cured, if there are certain challenges to licensed patents by Apotex and in the case of certain insolvency events.</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Intellectual Property</w:t>
      </w:r>
    </w:p>
    <w:p>
      <w:pPr>
        <w:spacing w:after="0" w:line="240"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Our commercial success depends in part on our ability to avoid infringing the proprietary rights of third parties. Additionally, our commercial success may depend on our ability to obtain and maintain proprietary protection for our technologies where applicable and to prevent others from infringing our proprietary rights. We seek to protect our proprietary technologies by, among other methods, filing United States and international patent applications on these technologies, inventions and improvements that are important to our business. We also rely on trade secrets, know-how and continuing technological innovation to develop and maintain our proprietary position.</w:t>
      </w:r>
    </w:p>
    <w:p>
      <w:pPr>
        <w:spacing w:after="0" w:line="216"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The term of individual patents depends upon the legal term of the patents in countries in which they are obtained. In most countries, including the United States, the patent term is generally 20 years from the earliest date of filing a non-provisional patent application in the applicable country. In the United States, a patent’s term may, in certain cases, be lengthened by patent term adjustment, which compensates a patentee for administrative delays by the United States Patent and Trademark Office (“USPTO”) in examining and granting a patent or may be shortened if a patent is terminally disclaimed over a commonly owned patent or a patent naming a common inventor and having an earlier expiration date.</w:t>
      </w:r>
    </w:p>
    <w:p>
      <w:pPr>
        <w:spacing w:after="0" w:line="216"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In the normal course of business, we pursue patent protection for inventions related to our product candidates. Each patent family includes United States patent applications and/or issued patents, and some include foreign counterparts to certain of the United States patents and patent applications. Our patent portfolio includes issued or pending claims directed to formulations, methods of manufacturing biological proteins, and drug products and devices, including their methods of use and methods of manufacture.</w:t>
      </w:r>
    </w:p>
    <w:p>
      <w:pPr>
        <w:spacing w:after="0" w:line="212"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For a discussion of risks related to our proprietary technology and processes, see “Risk Factors — Risks Related to Intellectual Property.”</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Government Regulation</w:t>
      </w:r>
    </w:p>
    <w:p>
      <w:pPr>
        <w:spacing w:after="0" w:line="240"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Our operations and activities are subject to extensive regulation by numerous government authorities in the United States, the European Union (the “E.U.”) and other countries, including laws and regulations governing the testing, manufacture, safety, efficacy, labeling, storage, record keeping, approval, advertising and promotion of our product. As a result of these regulations, product development and product approval processes are very expensive and time consuming. The regulatory requirements applicable to drug development and approval are subject to change. Any legal and regulatory changes may impact our operations in the future. A country’s regulatory agency, such as the FDA in the United States, must approve a drug before it can be sold in the respective country or countries. The general process for drugs and biologics approval in the United States is summarized below. Many other countries, including countries in the E.U., have similar regulatory structures.</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11</w:t>
      </w:r>
    </w:p>
    <w:p>
      <w:pPr>
        <w:sectPr>
          <w:pgSz w:w="12240" w:h="15840" w:orient="portrait"/>
          <w:cols w:equalWidth="0" w:num="1">
            <w:col w:w="11160"/>
          </w:cols>
          <w:pgMar w:left="540" w:top="532" w:right="540" w:bottom="9" w:gutter="0" w:footer="0" w:header="0"/>
          <w:type w:val="continuous"/>
        </w:sectPr>
      </w:pPr>
    </w:p>
    <w:bookmarkStart w:id="13" w:name="page14"/>
    <w:bookmarkEnd w:id="13"/>
    <w:p>
      <w:pPr>
        <w:spacing w:after="0"/>
        <w:rPr>
          <w:sz w:val="20"/>
          <w:szCs w:val="20"/>
          <w:color w:val="auto"/>
        </w:rPr>
      </w:pPr>
      <w:r>
        <w:rPr>
          <w:rFonts w:ascii="Calibri" w:cs="Calibri" w:eastAsia="Calibri" w:hAnsi="Calibri"/>
          <w:sz w:val="20"/>
          <w:szCs w:val="20"/>
          <w:b w:val="1"/>
          <w:bCs w:val="1"/>
          <w:i w:val="1"/>
          <w:iCs w:val="1"/>
          <w:color w:val="auto"/>
        </w:rPr>
        <w:t>FDA Approval Process for Drugs and Biologics</w:t>
      </w:r>
    </w:p>
    <w:p>
      <w:pPr>
        <w:spacing w:after="0" w:line="240"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Our product and product candidates are subject to regulation in the United States by the FDA as biological products or as drug product candidates. The FDA subjects drugs and biologics to extensive pre- and post-market regulation pursuant to the Federal Food, Drug and Cosmetic Act (“FFDCA”) and its implementing regulations, and in the case of biologics, the FFDCA and the Public Health Service Act (“PHSA”) and their implementing regulations. In addition, we are subject to other federal and state statutes and regulations. These laws and regulations govern, among other things, the research, development, testing, manufacture, storage, recordkeeping, approval, labeling, promotion and marketing, distribution, post-approval monitoring and reporting, sampling and import and export of drugs and biologics. Failure to comply with applicable United States requirements may subject a company to a variety of administrative or judicial sanctions, such as FDA refusal to approve a pending biologics license application (“BLA”) or new drug application (“NDA”), withdrawal of approvals, clinical holds, warning letters, product recalls, product seizures, total or partial suspension of production or distribution, injunctions, fines, civil penalties or criminal penalties.</w:t>
      </w:r>
    </w:p>
    <w:p>
      <w:pPr>
        <w:spacing w:after="0" w:line="220" w:lineRule="exact"/>
        <w:rPr>
          <w:sz w:val="20"/>
          <w:szCs w:val="20"/>
          <w:color w:val="auto"/>
        </w:rPr>
      </w:pPr>
    </w:p>
    <w:p>
      <w:pPr>
        <w:jc w:val="both"/>
        <w:ind w:firstLine="720"/>
        <w:spacing w:after="0" w:line="257" w:lineRule="auto"/>
        <w:rPr>
          <w:sz w:val="20"/>
          <w:szCs w:val="20"/>
          <w:color w:val="auto"/>
        </w:rPr>
      </w:pPr>
      <w:r>
        <w:rPr>
          <w:rFonts w:ascii="Calibri" w:cs="Calibri" w:eastAsia="Calibri" w:hAnsi="Calibri"/>
          <w:sz w:val="19"/>
          <w:szCs w:val="19"/>
          <w:color w:val="auto"/>
        </w:rPr>
        <w:t>The process required by the FDA before a new biologic or drug may be marketed in the United States is long, expensive and inherently uncertain. Biologic and drug development in the United States typically involves the completion of certain preclinical laboratory and animal tests in accordance with good laboratory practices (“GLP”), the submission to the FDA of an IND, which must become effective before clinical testing may commence, the performance of adequate and well-controlled clinical trials to establish the safety and effectiveness of the biologic or drug for each indication for which FDA approval is sought in compliance with good clinical practice (“GCP”) requirements, the submission to the FDA of an original BLA under Section 351(a) of the PHSA (“original BLA”) or an NDA, as appropriate, satisfactory completion of an FDA inspection of the manufacturing facility or facilities at which the drug or biologic is produced, and FDA approval and review of the original BLA or NDA. Developing the data to satisfy FDA pre-market approval requirements typically takes many years and the actual time required may vary substantially based upon the type, complexity and novelty of the product or disease.</w:t>
      </w:r>
    </w:p>
    <w:p>
      <w:pPr>
        <w:spacing w:after="0" w:line="202"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Preclinical tests include laboratory evaluation of product chemistry, formulation and toxicity, as well as, when applicable, animal studies to assess the characteristics and potential safety and efficacy of the product. The conduct of the preclinical tests must comply with federal regulations and requirements, including GLP. An IND is a request for allowance from the FDA to administer an investigational drug or biologic to humans. The central focus of an IND submission is on the general investigational plan and the protocol(s) for human studies, although the IND must also include the results of preclinical testing and animal testing assessing the toxicology, pharmacokinetic, pharmacology and pharmacodynamic characteristics of the product along with other information, including information about product chemistry, manufacturing and controls and a proposed clinical trial protocol. Long-term preclinical tests, such as animal tests of reproductive toxicity and carcinogenicity, may continue after the IND is submitted.</w:t>
      </w:r>
    </w:p>
    <w:p>
      <w:pPr>
        <w:spacing w:after="0" w:line="215"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An IND must become effective before United States clinical trials may begin. A 30 - day waiting period after the submission of each IND is required prior to the commencement of clinical testing in humans. If during the 30 - day waiting period the FDA raises concerns or questions related to the proposed clinical studies, the sponsor and the FDA must resolve any outstanding concerns or questions before clinical studies can begin. If the FDA has neither commented on nor questioned the IND within this 30 - day period, the clinical trial proposed in the IND may begin.</w:t>
      </w:r>
    </w:p>
    <w:p>
      <w:pPr>
        <w:spacing w:after="0" w:line="216"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Clinical trials involve the administration of the investigational new drug or biologic to healthy volunteers or patients with the condition under investigation, all under the supervision of a qualified investigator. Clinical trials must be conducted: (i) in compliance with federal regulations; (ii) in compliance with GCP requirements, which are designed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United States patients and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218"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Human clinical trials for novel drugs and biologics are typically conducted in three sequential phases that may overlap or be combined.</w:t>
      </w:r>
    </w:p>
    <w:p>
      <w:pPr>
        <w:spacing w:after="0" w:line="86" w:lineRule="exact"/>
        <w:rPr>
          <w:sz w:val="20"/>
          <w:szCs w:val="20"/>
          <w:color w:val="auto"/>
        </w:rPr>
      </w:pPr>
    </w:p>
    <w:p>
      <w:pPr>
        <w:jc w:val="both"/>
        <w:ind w:left="1080" w:hanging="353"/>
        <w:spacing w:after="0" w:line="243" w:lineRule="auto"/>
        <w:tabs>
          <w:tab w:leader="none" w:pos="1080" w:val="left"/>
        </w:tabs>
        <w:numPr>
          <w:ilvl w:val="0"/>
          <w:numId w:val="7"/>
        </w:numPr>
        <w:rPr>
          <w:rFonts w:ascii="Symbol" w:cs="Symbol" w:eastAsia="Symbol" w:hAnsi="Symbol"/>
          <w:sz w:val="20"/>
          <w:szCs w:val="20"/>
          <w:color w:val="auto"/>
        </w:rPr>
      </w:pPr>
      <w:r>
        <w:rPr>
          <w:rFonts w:ascii="Calibri" w:cs="Calibri" w:eastAsia="Calibri" w:hAnsi="Calibri"/>
          <w:sz w:val="20"/>
          <w:szCs w:val="20"/>
          <w:color w:val="auto"/>
        </w:rPr>
        <w:t>Phase 1—The product candidate is initially introduced into healthy human subjects and tested for safety, dosage tolerance, optimal dosage, absorption, metabolism, distribution and elimination. In the case of some therapeutic candidates for severe or life-threatening diseases, such as cancer, especially when the product candidate may be inherently too toxic to ethically administer to healthy volunteers, the initial human testing is often conducted in patients.</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12</w:t>
      </w:r>
    </w:p>
    <w:p>
      <w:pPr>
        <w:sectPr>
          <w:pgSz w:w="12240" w:h="15840" w:orient="portrait"/>
          <w:cols w:equalWidth="0" w:num="1">
            <w:col w:w="11160"/>
          </w:cols>
          <w:pgMar w:left="540" w:top="531" w:right="540" w:bottom="9" w:gutter="0" w:footer="0" w:header="0"/>
          <w:type w:val="continuous"/>
        </w:sectPr>
      </w:pPr>
    </w:p>
    <w:bookmarkStart w:id="14" w:name="page15"/>
    <w:bookmarkEnd w:id="14"/>
    <w:p>
      <w:pPr>
        <w:ind w:left="1080" w:hanging="353"/>
        <w:spacing w:after="0" w:line="251" w:lineRule="auto"/>
        <w:tabs>
          <w:tab w:leader="none" w:pos="1080" w:val="left"/>
        </w:tabs>
        <w:numPr>
          <w:ilvl w:val="0"/>
          <w:numId w:val="8"/>
        </w:numPr>
        <w:rPr>
          <w:rFonts w:ascii="Symbol" w:cs="Symbol" w:eastAsia="Symbol" w:hAnsi="Symbol"/>
          <w:sz w:val="20"/>
          <w:szCs w:val="20"/>
          <w:color w:val="auto"/>
        </w:rPr>
      </w:pPr>
      <w:r>
        <w:rPr>
          <w:rFonts w:ascii="Calibri" w:cs="Calibri" w:eastAsia="Calibri" w:hAnsi="Calibri"/>
          <w:sz w:val="20"/>
          <w:szCs w:val="20"/>
          <w:color w:val="auto"/>
        </w:rPr>
        <w:t>Phase 2—Clinical trials are performed on a limited patient population intended to identify possible adverse effects and safety risks and to preliminarily evaluate the efficacy of the product for specific targeted diseases.</w:t>
      </w:r>
    </w:p>
    <w:p>
      <w:pPr>
        <w:spacing w:after="0" w:line="97" w:lineRule="exact"/>
        <w:rPr>
          <w:rFonts w:ascii="Symbol" w:cs="Symbol" w:eastAsia="Symbol" w:hAnsi="Symbol"/>
          <w:sz w:val="20"/>
          <w:szCs w:val="20"/>
          <w:color w:val="auto"/>
        </w:rPr>
      </w:pPr>
    </w:p>
    <w:p>
      <w:pPr>
        <w:jc w:val="both"/>
        <w:ind w:left="1080" w:hanging="353"/>
        <w:spacing w:after="0" w:line="245" w:lineRule="auto"/>
        <w:tabs>
          <w:tab w:leader="none" w:pos="1080" w:val="left"/>
        </w:tabs>
        <w:numPr>
          <w:ilvl w:val="0"/>
          <w:numId w:val="8"/>
        </w:numPr>
        <w:rPr>
          <w:rFonts w:ascii="Symbol" w:cs="Symbol" w:eastAsia="Symbol" w:hAnsi="Symbol"/>
          <w:sz w:val="20"/>
          <w:szCs w:val="20"/>
          <w:color w:val="auto"/>
        </w:rPr>
      </w:pPr>
      <w:r>
        <w:rPr>
          <w:rFonts w:ascii="Calibri" w:cs="Calibri" w:eastAsia="Calibri" w:hAnsi="Calibri"/>
          <w:sz w:val="20"/>
          <w:szCs w:val="20"/>
          <w:color w:val="auto"/>
        </w:rPr>
        <w:t>Phase 3—Clinical trials are undertaken to further evaluate dosage, clinical efficacy and safety in an expanded patient population at geographically dispersed clinical study sites. These studies are intended to establish the overall risk-benefit ratio of the product and provide an adequate basis for product labeling.</w:t>
      </w:r>
    </w:p>
    <w:p>
      <w:pPr>
        <w:spacing w:after="0" w:line="213"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such “Phase 4” clinical trials.</w:t>
      </w:r>
    </w:p>
    <w:p>
      <w:pPr>
        <w:spacing w:after="0" w:line="206"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institutional review board (“IRB”), for approval. An IRB may also require the clinical trial at the site to be halted, either temporarily or permanently, for failure to comply with the IRB’s requirements or may impose other conditions. The study sponsor may also suspend a clinical trial at any time on various grounds, including a determination that the subjects or patients are being exposed to an unacceptable health risk.</w:t>
      </w:r>
    </w:p>
    <w:p>
      <w:pPr>
        <w:spacing w:after="0" w:line="219"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current Good Manufacturing Practices (“cGMP”) requirements. The manufacturing process must be capable of consistently producing quality batches of the product candidate and the manufacturer must develop methods for testing the quality, purity and potency of the product candidate.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criteria,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 Additionally, for both NDA and BLA products, appropriate packaging must be selected and tested, and stability studies must be conducted to demonstrate that the product candidate does not undergo unacceptable deterioration over its proposed shelf-life.</w:t>
      </w:r>
    </w:p>
    <w:p>
      <w:pPr>
        <w:spacing w:after="0" w:line="217"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Assuming successful completion of all required testing in accordance with all applicable regulatory requirements, detailed information regarding the investigational product is submitted to the FDA in the form of a BLA or NDA requesting approval to market the product for one or more indications. The BLA or NDA must include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Under the Prescription Drug User Fee Act (the “PDUFA”) as amended, each original BLA or NDA must be accompanied by a significant user fee. Fee waivers or reductions are available in certain circumstances, such as where a waiver is necessary to protect the public health, where the fee would present a significant barrier to innovation, where the product candidate has received orphan drug designations for the sought indication or where the applicant is a small business submitting its first human therapeutic application for review.</w:t>
      </w:r>
    </w:p>
    <w:p>
      <w:pPr>
        <w:spacing w:after="0" w:line="218" w:lineRule="exact"/>
        <w:rPr>
          <w:sz w:val="20"/>
          <w:szCs w:val="20"/>
          <w:color w:val="auto"/>
        </w:rPr>
      </w:pPr>
    </w:p>
    <w:p>
      <w:pPr>
        <w:jc w:val="both"/>
        <w:ind w:firstLine="720"/>
        <w:spacing w:after="0" w:line="255" w:lineRule="auto"/>
        <w:rPr>
          <w:sz w:val="20"/>
          <w:szCs w:val="20"/>
          <w:color w:val="auto"/>
        </w:rPr>
      </w:pPr>
      <w:r>
        <w:rPr>
          <w:rFonts w:ascii="Calibri" w:cs="Calibri" w:eastAsia="Calibri" w:hAnsi="Calibri"/>
          <w:sz w:val="19"/>
          <w:szCs w:val="19"/>
          <w:color w:val="auto"/>
        </w:rPr>
        <w:t>Within 60 days following submission of the application, the FDA reviews an original BLA or NDA submitted to determine if it is substantially complete before the agency accepts it for filing. The FDA may refuse to file any original BLA or NDA that it deems incomplete or not properly reviewable at the time of submission, and may request additional information. In this event, the original BLA or NDA must be resubmitted with the additional information. The resubmitted application also is subject to review before the FDA accepts it for filing. Once the submission is accepted for filing, the FDA begins an in-depth substantive review of the original BLA or NDA. The FDA reviews the original BLA to determine, among other things, whether the proposed product is safe, pure and potent for its intended use, and has an acceptable purity profile, and in the case of an NDA, whether the product is safe and effective for its intended use, and in each case, whether the product is being manufactured in accordance with cGMP.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FDA’s goal is to review standard applications within ten months after the filing date, or, if the application qualifies for priority review, six months after the FDA accepts the application for filing (“Priority Review”). A BLA or NDA is eligible for Priority Review if the product or the product candidate has the potential to provide a significant improvement in the treatment, diagnosis or prevention of a serious disease or</w:t>
      </w:r>
    </w:p>
    <w:p>
      <w:pPr>
        <w:sectPr>
          <w:pgSz w:w="12240" w:h="15840" w:orient="portrait"/>
          <w:cols w:equalWidth="0" w:num="1">
            <w:col w:w="11160"/>
          </w:cols>
          <w:pgMar w:left="540" w:top="543" w:right="540" w:bottom="9"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13</w:t>
      </w:r>
    </w:p>
    <w:p>
      <w:pPr>
        <w:sectPr>
          <w:pgSz w:w="12240" w:h="15840" w:orient="portrait"/>
          <w:cols w:equalWidth="0" w:num="1">
            <w:col w:w="11160"/>
          </w:cols>
          <w:pgMar w:left="540" w:top="543" w:right="540" w:bottom="9" w:gutter="0" w:footer="0" w:header="0"/>
          <w:type w:val="continuous"/>
        </w:sectPr>
      </w:pPr>
    </w:p>
    <w:bookmarkStart w:id="15" w:name="page16"/>
    <w:bookmarkEnd w:id="15"/>
    <w:p>
      <w:pPr>
        <w:jc w:val="both"/>
        <w:spacing w:after="0" w:line="262" w:lineRule="auto"/>
        <w:rPr>
          <w:sz w:val="20"/>
          <w:szCs w:val="20"/>
          <w:color w:val="auto"/>
        </w:rPr>
      </w:pPr>
      <w:r>
        <w:rPr>
          <w:rFonts w:ascii="Calibri" w:cs="Calibri" w:eastAsia="Calibri" w:hAnsi="Calibri"/>
          <w:sz w:val="20"/>
          <w:szCs w:val="20"/>
          <w:color w:val="auto"/>
        </w:rPr>
        <w:t>condition compared to marketed products. In both standard and Priority Reviews, the review process may also be extended for a three-month period by the FDA to review additional information deemed a major amendment to the application.</w:t>
      </w:r>
    </w:p>
    <w:p>
      <w:pPr>
        <w:spacing w:after="0" w:line="195"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During the product approval process, the FDA also will determine whether a risk evaluation and mitigation strategy (“REMS”) is necessary to assure the safe use of the product. If the FDA concludes a REMS plan is needed, the sponsor of the original BLA or NDA must submit a proposed REMS plan. The FDA will not approve an original BLA or NDA without a REMS plan, if required. In determining whether a REMS plan is necessary, the FDA must consider the size of the population likely to use the drug or biologic, the seriousness of the disease or condition to be treated, the expected benefit of the drug or biologic, the duration of treatment, the seriousness of known or potential adverse events, and whether the drug or biologic is a new molecular entity. A REMS plan may be required to include various elements, such as a medication guide or patient package insert, a communication plan to educate health care providers of the risks, limitations on who may prescribe or dispense the drug or biologic, or other measures that the FDA deems necessary to assure the safe use of the drug or biologic. In addition, the REMS plan must include a timetable to assess the strategy at 18 months, three years, and seven years after the strategy’s approval, or at another frequency specified in the REMS.</w:t>
      </w:r>
    </w:p>
    <w:p>
      <w:pPr>
        <w:spacing w:after="0" w:line="219"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The FDA will not approve the application unless it determines that the manufacturing processes and facilities are in compliance with cGMP requirements and adequate to assure consistent production of the product within required specifications. Additionally, before approving an original BLA or NDA, the FDA will typically inspect one or more clinical sites to ensure compliance with GCP. After the FDA evaluates an original BLA or NDA and conducts any inspections in the U.S. or internationally that it deems necessary, the FDA may issue an approval letter or a Complete Response Letter (“CRL”). An approval letter authorizes commercial marketing of the product with specific prescribing information for specific indications. A CRL indicates that the review cycle of the application is complete, and the application is not ready for approval. A CRL may require additional clinical data and/or an additional clinical trial or trials, and/or other significant, expensive and time-consuming requirements related to clinical trials, preclinical trials or manufacturing. Even if such additional information is submitted, the FDA may ultimately decide that the original BLA or NDA does not satisfy the criteria for approval.</w:t>
      </w:r>
    </w:p>
    <w:p>
      <w:pPr>
        <w:spacing w:after="0" w:line="222"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Even if a product receives regulatory approval,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Expedited Development and Review Programs</w:t>
      </w:r>
    </w:p>
    <w:p>
      <w:pPr>
        <w:spacing w:after="0" w:line="241"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The FDA has a number of programs intended to expedite the development or review of a marketing application for an investigational drug or biologic. For example, the fast track designation program is intended to expedite or facilitate the process for developing and reviewing product candidates that meet certain criteria. Specifically, investigational drugs and biologics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with regard to a fast track product candidate, the FDA may consider for review sections of the NDA or original BLA on a rolling basis before the complete application is submitted, if the sponsor provides a schedule for the submission of the sections of the NDA or original BLA, the FDA agrees to accept sections of the NDA or original BLA and determines that the schedule is acceptable, and the sponsor pays any required user fees upon submission of the first section of the NDA or original BLA.</w:t>
      </w:r>
    </w:p>
    <w:p>
      <w:pPr>
        <w:spacing w:after="0" w:line="219"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A product candidate can also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216"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Separately, an NDA or original BLA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 NDA or original BLA designated for Priority Review in an effort to facilitate the review. The FDA endeavors to review applications with Priority Review designations within six months of the filing date as compared to ten months for review of new molecular entity NDAs and original BLAs under its current PDUFA review goals.</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14</w:t>
      </w:r>
    </w:p>
    <w:p>
      <w:pPr>
        <w:sectPr>
          <w:pgSz w:w="12240" w:h="15840" w:orient="portrait"/>
          <w:cols w:equalWidth="0" w:num="1">
            <w:col w:w="11160"/>
          </w:cols>
          <w:pgMar w:left="540" w:top="532" w:right="540" w:bottom="9" w:gutter="0" w:footer="0" w:header="0"/>
          <w:type w:val="continuous"/>
        </w:sectPr>
      </w:pPr>
    </w:p>
    <w:bookmarkStart w:id="16" w:name="page17"/>
    <w:bookmarkEnd w:id="16"/>
    <w:p>
      <w:pPr>
        <w:jc w:val="both"/>
        <w:ind w:firstLine="720"/>
        <w:spacing w:after="0" w:line="242" w:lineRule="auto"/>
        <w:rPr>
          <w:sz w:val="20"/>
          <w:szCs w:val="20"/>
          <w:color w:val="auto"/>
        </w:rPr>
      </w:pPr>
      <w:r>
        <w:rPr>
          <w:rFonts w:ascii="Calibri" w:cs="Calibri" w:eastAsia="Calibri" w:hAnsi="Calibri"/>
          <w:sz w:val="20"/>
          <w:szCs w:val="20"/>
          <w:color w:val="auto"/>
        </w:rPr>
        <w:t>In addition, depending on the design of the applicable clinical trials, a product candidate may be eligible for accelerated approval. Specifically, drugs and biologics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or biologic receiving accelerated approval perform adequate and well-controlled confirmatory clinical trials, and may require that such confirmatory trials be underway prior to granting accelerated approval. Drugs or biologics receiving accelerated approval may be subject to expedited withdrawal procedures if the sponsor fails to conduct the required confirmatory trials in a timely manner or if such trials fail to verify the predicted clinical benefit. In addition, the FDA requires as a condition of accelerated approval pre-approval of promotional materials, which could adversely impact the timing of the commercial launch of the product.</w:t>
      </w:r>
    </w:p>
    <w:p>
      <w:pPr>
        <w:spacing w:after="0" w:line="218"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Orphan drug designation</w:t>
      </w:r>
    </w:p>
    <w:p>
      <w:pPr>
        <w:spacing w:after="0" w:line="240"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the product available in the United States for this type of disease or condition will be recovered from sales of the product. Orphan designation must be requested before submitting an NDA or BLA.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219"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–including full NDAs or BLAs– to market the same drug for the same approved indication or use within such disease or condition for seven years, except in limited circumstances, such as a showing of clinical superiority to the product with orphan exclusivity in the relevant indication or inability to manufacture the product in sufficient quantities. The designation of such drug or biologic also entitles a party to financial incentives such as opportunities for grant funding towards clinical trial costs, tax advantages and user-fee waivers. However, competitors, may receive approval of different products for the indication or use for which the orphan product has exclusivity, or obtain approval for the same product but for a different indication or use for which the orphan product has exclusivity. Orphan exclusivity also could block the approval of a competing product for seven years within the relevant indication or use if a competitor obtains approval of the “same drug,” as defined by the FDA, or if the active ingredient of the product candidate is determined to be contained within the competitor’s product. In addition, if an orphan designated product receives marketing approval for a disease or condition broader than what is designated, it may not be entitled to orphan exclusivity.</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Advertising and Promotion</w:t>
      </w:r>
    </w:p>
    <w:p>
      <w:pPr>
        <w:spacing w:after="0" w:line="238"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Once an NDA or BLA is approved, the product will be subject to continuing post-approval regulatory requirements, including, among other things, requirements relating to recordkeeping, periodic reporting, product sampling and distribution, advertising and promotion and reporting of adverse experiences with the product.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Failure to comply with these regulations can result in significant penalties, including the issuance of warning letters directing a company to correct deviations from FDA standards, a requirement that future advertising and promotional materials be pre-cleared by the FDA and federal and state civil and criminal investigations and prosecutions.</w:t>
      </w:r>
    </w:p>
    <w:p>
      <w:pPr>
        <w:spacing w:after="0" w:line="216"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Biologics and drugs may be marketed only for the approved indications and in accordance with the provisions of the approved labeling. After approval, most changes to the approved product, including changes in indications, labeling or manufacturing processes or facilities, require submission and FDA approval of a new marketing application or supplement to the approved marketing application before the change can be implemented. A supplement for a new indication typically requires clinical data similar to that in the original application, and the FDA uses the same procedures and actions in reviewing supplements as it does in reviewing original application. There are also continuing annual program user fee requirements for marketed products.</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15</w:t>
      </w:r>
    </w:p>
    <w:p>
      <w:pPr>
        <w:sectPr>
          <w:pgSz w:w="12240" w:h="15840" w:orient="portrait"/>
          <w:cols w:equalWidth="0" w:num="1">
            <w:col w:w="11160"/>
          </w:cols>
          <w:pgMar w:left="540" w:top="532" w:right="540" w:bottom="9" w:gutter="0" w:footer="0" w:header="0"/>
          <w:type w:val="continuous"/>
        </w:sectPr>
      </w:pPr>
    </w:p>
    <w:bookmarkStart w:id="17" w:name="page18"/>
    <w:bookmarkEnd w:id="17"/>
    <w:p>
      <w:pPr>
        <w:spacing w:after="0"/>
        <w:rPr>
          <w:sz w:val="20"/>
          <w:szCs w:val="20"/>
          <w:color w:val="auto"/>
        </w:rPr>
      </w:pPr>
      <w:r>
        <w:rPr>
          <w:rFonts w:ascii="Calibri" w:cs="Calibri" w:eastAsia="Calibri" w:hAnsi="Calibri"/>
          <w:sz w:val="20"/>
          <w:szCs w:val="20"/>
          <w:i w:val="1"/>
          <w:iCs w:val="1"/>
          <w:color w:val="auto"/>
        </w:rPr>
        <w:t>Adverse Event Reporting and GMP Compliance</w:t>
      </w:r>
    </w:p>
    <w:p>
      <w:pPr>
        <w:spacing w:after="0" w:line="238"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Adverse event reporting and submission of periodic reports are required following FDA approval of a marketing application. The FDA also may require post-market testing, including Phase 4 testing, implementation of a REMS, and/or surveillance to monitor the effects of an approved product, or the FDA may place conditions on an approval that could restrict the distribution or use of the product. In addition, manufacturing, packaging, labeling, storage and distribution procedures must continue to conform to cGMPs after approval.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 control to maintain compliance with cGMPs. Regulatory authorities may withdraw product approvals, request product recalls or impose marketing restrictions through labeling changes or product removals if a company fails to comply with regulatory standards, if it encounters problems following initial marketing or if previously unrecognized problems are subsequently discovered.</w:t>
      </w:r>
    </w:p>
    <w:p>
      <w:pPr>
        <w:spacing w:after="0" w:line="218"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227" w:lineRule="exact"/>
        <w:rPr>
          <w:sz w:val="20"/>
          <w:szCs w:val="20"/>
          <w:color w:val="auto"/>
        </w:rPr>
      </w:pPr>
    </w:p>
    <w:p>
      <w:pPr>
        <w:ind w:left="1080" w:right="380" w:hanging="353"/>
        <w:spacing w:after="0" w:line="251" w:lineRule="auto"/>
        <w:tabs>
          <w:tab w:leader="none" w:pos="1080" w:val="left"/>
        </w:tabs>
        <w:numPr>
          <w:ilvl w:val="0"/>
          <w:numId w:val="9"/>
        </w:numPr>
        <w:rPr>
          <w:rFonts w:ascii="Symbol" w:cs="Symbol" w:eastAsia="Symbol" w:hAnsi="Symbol"/>
          <w:sz w:val="20"/>
          <w:szCs w:val="20"/>
          <w:color w:val="auto"/>
        </w:rPr>
      </w:pPr>
      <w:r>
        <w:rPr>
          <w:rFonts w:ascii="Calibri" w:cs="Calibri" w:eastAsia="Calibri" w:hAnsi="Calibri"/>
          <w:sz w:val="20"/>
          <w:szCs w:val="20"/>
          <w:color w:val="auto"/>
        </w:rPr>
        <w:t>restrictions on the marketing or manufacturing of the product, complete withdrawal of the product from the market or product recalls;</w:t>
      </w:r>
    </w:p>
    <w:p>
      <w:pPr>
        <w:spacing w:after="0" w:line="218" w:lineRule="exact"/>
        <w:rPr>
          <w:rFonts w:ascii="Symbol" w:cs="Symbol" w:eastAsia="Symbol" w:hAnsi="Symbol"/>
          <w:sz w:val="20"/>
          <w:szCs w:val="20"/>
          <w:color w:val="auto"/>
        </w:rPr>
      </w:pPr>
    </w:p>
    <w:p>
      <w:pPr>
        <w:ind w:left="1080" w:hanging="353"/>
        <w:spacing w:after="0"/>
        <w:tabs>
          <w:tab w:leader="none" w:pos="1080" w:val="left"/>
        </w:tabs>
        <w:numPr>
          <w:ilvl w:val="0"/>
          <w:numId w:val="9"/>
        </w:numPr>
        <w:rPr>
          <w:rFonts w:ascii="Symbol" w:cs="Symbol" w:eastAsia="Symbol" w:hAnsi="Symbol"/>
          <w:sz w:val="20"/>
          <w:szCs w:val="20"/>
          <w:color w:val="auto"/>
        </w:rPr>
      </w:pPr>
      <w:r>
        <w:rPr>
          <w:rFonts w:ascii="Calibri" w:cs="Calibri" w:eastAsia="Calibri" w:hAnsi="Calibri"/>
          <w:sz w:val="20"/>
          <w:szCs w:val="20"/>
          <w:color w:val="auto"/>
        </w:rPr>
        <w:t>fines, warning letters or holds on post-approval clinical trials;</w:t>
      </w:r>
    </w:p>
    <w:p>
      <w:pPr>
        <w:spacing w:after="0" w:line="238" w:lineRule="exact"/>
        <w:rPr>
          <w:rFonts w:ascii="Symbol" w:cs="Symbol" w:eastAsia="Symbol" w:hAnsi="Symbol"/>
          <w:sz w:val="20"/>
          <w:szCs w:val="20"/>
          <w:color w:val="auto"/>
        </w:rPr>
      </w:pPr>
    </w:p>
    <w:p>
      <w:pPr>
        <w:ind w:left="1080" w:right="60" w:hanging="353"/>
        <w:spacing w:after="0" w:line="251" w:lineRule="auto"/>
        <w:tabs>
          <w:tab w:leader="none" w:pos="1080" w:val="left"/>
        </w:tabs>
        <w:numPr>
          <w:ilvl w:val="0"/>
          <w:numId w:val="9"/>
        </w:numPr>
        <w:rPr>
          <w:rFonts w:ascii="Symbol" w:cs="Symbol" w:eastAsia="Symbol" w:hAnsi="Symbol"/>
          <w:sz w:val="20"/>
          <w:szCs w:val="20"/>
          <w:color w:val="auto"/>
        </w:rPr>
      </w:pPr>
      <w:r>
        <w:rPr>
          <w:rFonts w:ascii="Calibri" w:cs="Calibri" w:eastAsia="Calibri" w:hAnsi="Calibri"/>
          <w:sz w:val="20"/>
          <w:szCs w:val="20"/>
          <w:color w:val="auto"/>
        </w:rPr>
        <w:t>refusal of the FDA to approve pending applications or supplements to approved applications or suspension or revocation of product license approvals;</w:t>
      </w:r>
    </w:p>
    <w:p>
      <w:pPr>
        <w:spacing w:after="0" w:line="218" w:lineRule="exact"/>
        <w:rPr>
          <w:rFonts w:ascii="Symbol" w:cs="Symbol" w:eastAsia="Symbol" w:hAnsi="Symbol"/>
          <w:sz w:val="20"/>
          <w:szCs w:val="20"/>
          <w:color w:val="auto"/>
        </w:rPr>
      </w:pPr>
    </w:p>
    <w:p>
      <w:pPr>
        <w:ind w:left="1080" w:hanging="353"/>
        <w:spacing w:after="0"/>
        <w:tabs>
          <w:tab w:leader="none" w:pos="1080" w:val="left"/>
        </w:tabs>
        <w:numPr>
          <w:ilvl w:val="0"/>
          <w:numId w:val="9"/>
        </w:numPr>
        <w:rPr>
          <w:rFonts w:ascii="Symbol" w:cs="Symbol" w:eastAsia="Symbol" w:hAnsi="Symbol"/>
          <w:sz w:val="20"/>
          <w:szCs w:val="20"/>
          <w:color w:val="auto"/>
        </w:rPr>
      </w:pPr>
      <w:r>
        <w:rPr>
          <w:rFonts w:ascii="Calibri" w:cs="Calibri" w:eastAsia="Calibri" w:hAnsi="Calibri"/>
          <w:sz w:val="20"/>
          <w:szCs w:val="20"/>
          <w:color w:val="auto"/>
        </w:rPr>
        <w:t>product seizure or detention or refusal to permit the import or export of products; or</w:t>
      </w:r>
    </w:p>
    <w:p>
      <w:pPr>
        <w:spacing w:after="0" w:line="239" w:lineRule="exact"/>
        <w:rPr>
          <w:rFonts w:ascii="Symbol" w:cs="Symbol" w:eastAsia="Symbol" w:hAnsi="Symbol"/>
          <w:sz w:val="20"/>
          <w:szCs w:val="20"/>
          <w:color w:val="auto"/>
        </w:rPr>
      </w:pPr>
    </w:p>
    <w:p>
      <w:pPr>
        <w:ind w:left="1080" w:hanging="353"/>
        <w:spacing w:after="0"/>
        <w:tabs>
          <w:tab w:leader="none" w:pos="1080" w:val="left"/>
        </w:tabs>
        <w:numPr>
          <w:ilvl w:val="0"/>
          <w:numId w:val="9"/>
        </w:numPr>
        <w:rPr>
          <w:rFonts w:ascii="Symbol" w:cs="Symbol" w:eastAsia="Symbol" w:hAnsi="Symbol"/>
          <w:sz w:val="20"/>
          <w:szCs w:val="20"/>
          <w:color w:val="auto"/>
        </w:rPr>
      </w:pPr>
      <w:r>
        <w:rPr>
          <w:rFonts w:ascii="Calibri" w:cs="Calibri" w:eastAsia="Calibri" w:hAnsi="Calibri"/>
          <w:sz w:val="20"/>
          <w:szCs w:val="20"/>
          <w:color w:val="auto"/>
        </w:rPr>
        <w:t>injunctions or the imposition of civil or criminal penalties.</w:t>
      </w:r>
    </w:p>
    <w:p>
      <w:pPr>
        <w:spacing w:after="0" w:line="22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Other Healthcare Laws and Compliance Requirements</w:t>
      </w:r>
    </w:p>
    <w:p>
      <w:pPr>
        <w:spacing w:after="0" w:line="241"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We are subject to healthcare regulation and enforcement by the federal government and the states and foreign governments in which we conduct our business. These laws include, without limitation, state and federal anti-kickback, fraud and abuse, false claims, privacy and security and transparency laws and regulations.</w:t>
      </w:r>
    </w:p>
    <w:p>
      <w:pPr>
        <w:spacing w:after="0" w:line="206"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Further, a person or entity does not need to have actual knowledge of the statutes or specific intent to violate it in order to have committed a violation. The majority of states also have anti-kickback laws, which establish similar prohibitions and in some cases, may apply to items or services reimbursed by any third-party payer, including commercial insurers.</w:t>
      </w:r>
    </w:p>
    <w:p>
      <w:pPr>
        <w:spacing w:after="0" w:line="216" w:lineRule="exact"/>
        <w:rPr>
          <w:sz w:val="20"/>
          <w:szCs w:val="20"/>
          <w:color w:val="auto"/>
        </w:rPr>
      </w:pPr>
    </w:p>
    <w:p>
      <w:pPr>
        <w:jc w:val="both"/>
        <w:ind w:firstLine="720"/>
        <w:spacing w:after="0" w:line="256" w:lineRule="auto"/>
        <w:rPr>
          <w:sz w:val="20"/>
          <w:szCs w:val="20"/>
          <w:color w:val="auto"/>
        </w:rPr>
      </w:pPr>
      <w:r>
        <w:rPr>
          <w:rFonts w:ascii="Calibri" w:cs="Calibri" w:eastAsia="Calibri" w:hAnsi="Calibri"/>
          <w:sz w:val="19"/>
          <w:szCs w:val="19"/>
          <w:color w:val="auto"/>
        </w:rPr>
        <w:t>Additionally, federal civil and criminal false claims laws, including the civil False Claims Act, prohibit knowingly presenting or causing the presentation of a false, fictitious or fraudulent claim for payment to the United States government. Actions under the False Claims Act may be brought by the Attorney General or as a qui tam action by a private individual in the name of the government. In addition, the government may assert that a claim including items or services resulting from a violation of the federal Anti-Kickback Statute constitutes a false or fraudulent claim for purposes of the federal False Claims Act.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country, for example, in connection with the promotion of products for unapproved uses and other sales and marketing practices. The government has obtained multi-million and multi-billion dollar settlements under the False Claims Act in addition to individual criminal convictions</w:t>
      </w:r>
    </w:p>
    <w:p>
      <w:pPr>
        <w:sectPr>
          <w:pgSz w:w="12240" w:h="15840" w:orient="portrait"/>
          <w:cols w:equalWidth="0" w:num="1">
            <w:col w:w="11160"/>
          </w:cols>
          <w:pgMar w:left="540" w:top="533" w:right="540" w:bottom="9"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16</w:t>
      </w:r>
    </w:p>
    <w:p>
      <w:pPr>
        <w:sectPr>
          <w:pgSz w:w="12240" w:h="15840" w:orient="portrait"/>
          <w:cols w:equalWidth="0" w:num="1">
            <w:col w:w="11160"/>
          </w:cols>
          <w:pgMar w:left="540" w:top="533" w:right="540" w:bottom="9" w:gutter="0" w:footer="0" w:header="0"/>
          <w:type w:val="continuous"/>
        </w:sectPr>
      </w:pPr>
    </w:p>
    <w:bookmarkStart w:id="18" w:name="page19"/>
    <w:bookmarkEnd w:id="18"/>
    <w:p>
      <w:pPr>
        <w:jc w:val="both"/>
        <w:spacing w:after="0" w:line="251" w:lineRule="auto"/>
        <w:rPr>
          <w:sz w:val="20"/>
          <w:szCs w:val="20"/>
          <w:color w:val="auto"/>
        </w:rPr>
      </w:pPr>
      <w:r>
        <w:rPr>
          <w:rFonts w:ascii="Calibri" w:cs="Calibri" w:eastAsia="Calibri" w:hAnsi="Calibri"/>
          <w:sz w:val="20"/>
          <w:szCs w:val="20"/>
          <w:color w:val="auto"/>
        </w:rPr>
        <w:t>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06"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The federal Civil Monetary Penalties Law prohibits, among other things, the offering or transferring of remuneration to a Medicare or Medicaid beneficiary that the person knows or should know is likely to influence the beneficiary’s selection of a particular supplier of Medicare or Medicaid payable items or services. Noncompliance with such beneficiary inducement provision of the federal Civil Monetary Penalties Law can result in civil money penalties for each wrongful act, assessment of three times the amount claimed for each item or service and exclusion from the federal healthcare programs.</w:t>
      </w:r>
    </w:p>
    <w:p>
      <w:pPr>
        <w:spacing w:after="0" w:line="214"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Federal and state government price reporting laws require manufacturers to calculate and report complex pricing metrics to government programs. Such reported prices may be used in the calculation of reimbursement and/or discounts on marketed products. Participation in these programs and compliance with the applicable requirements subject manufacturers to potentially significant discounts on products, increased infrastructure costs, and potentially limit the ability to offer certain marketplace discounts.</w:t>
      </w:r>
    </w:p>
    <w:p>
      <w:pPr>
        <w:spacing w:after="0" w:line="212"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In addition, there has been a recent trend of increased federal and state regulation of payments made to physicians and other healthcare providers. The Patient Protection and Affordable Care Act, as amended by the Health Care and Education Reconciliation Act (collectively, the “ACA”), among other things, imposed reporting requirements on drug manufacturers for payments made by them to physicians (defined to include doctors, dentists, optometrists, podiatrists, chiropractors, certain non-physician practitioners (physician assistants, nurse practitioners, clinical nurse specialists, certified registered nurse anesthetists, anesthesiologist assistants, and certified nurse midwives)) and teaching hospitals, as well as ownership and investment interests held by such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additional penalties for “knowing failures.” Certain states also mandate implementation of commercial compliance programs, impose restrictions on pharmaceutical manufacturer marketing practices and/or require the tracking and reporting of gifts, compensation and other remuneration to physicians.</w:t>
      </w:r>
    </w:p>
    <w:p>
      <w:pPr>
        <w:spacing w:after="0" w:line="218"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The federal Health Insurance Portability and Accountability Act of 1996, as amended by the Health Information Technology for Economic and Clinical Health Act, and their implementing regulations (“HIPAA”) created new federal criminal statutes that prohibit among other actions, knowingly and willfully executing, or attempting to execute, a scheme to defraud any healthcare benefit program, including private third - 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 - Kickback Statute, a person or entity does not need to have actual knowledge of the statute or specific intent to violate it in order to have committed a violation.</w:t>
      </w:r>
    </w:p>
    <w:p>
      <w:pPr>
        <w:spacing w:after="0" w:line="216"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Some states also require pharmaceutical companies to comply with the pharmaceutical industry’s voluntary compliance guidelines and the relevant compliance guidance promulgated by the federal government and require manufacturers to report information related to payments and other transfers of value to healthcare providers and institutions as well as marketing expenditures and pricing information.</w:t>
      </w:r>
    </w:p>
    <w:p>
      <w:pPr>
        <w:spacing w:after="0" w:line="212"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A violation of any of such laws or any other applicable governmental regulations may result in penalties, including, without limitation, civil and criminal penalties, damages, fines, the curtailment or restructuring of our operations, exclusion from participation in federal and state healthcare programs, additional reporting obligations and oversight if the government requires a corporate integrity agreement or other agreement to resolve allegations of non-compliance with these laws, and/or imprisonment.</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Data Privacy and Security</w:t>
      </w:r>
    </w:p>
    <w:p>
      <w:pPr>
        <w:spacing w:after="0" w:line="241" w:lineRule="exact"/>
        <w:rPr>
          <w:sz w:val="20"/>
          <w:szCs w:val="20"/>
          <w:color w:val="auto"/>
        </w:rPr>
      </w:pPr>
    </w:p>
    <w:p>
      <w:pPr>
        <w:jc w:val="both"/>
        <w:ind w:firstLine="720"/>
        <w:spacing w:after="0" w:line="259" w:lineRule="auto"/>
        <w:rPr>
          <w:sz w:val="20"/>
          <w:szCs w:val="20"/>
          <w:color w:val="auto"/>
        </w:rPr>
      </w:pPr>
      <w:r>
        <w:rPr>
          <w:rFonts w:ascii="Calibri" w:cs="Calibri" w:eastAsia="Calibri" w:hAnsi="Calibri"/>
          <w:sz w:val="19"/>
          <w:szCs w:val="19"/>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17</w:t>
      </w:r>
    </w:p>
    <w:p>
      <w:pPr>
        <w:sectPr>
          <w:pgSz w:w="12240" w:h="15840" w:orient="portrait"/>
          <w:cols w:equalWidth="0" w:num="1">
            <w:col w:w="11160"/>
          </w:cols>
          <w:pgMar w:left="540" w:top="532" w:right="540" w:bottom="9" w:gutter="0" w:footer="0" w:header="0"/>
          <w:type w:val="continuous"/>
        </w:sectPr>
      </w:pPr>
    </w:p>
    <w:bookmarkStart w:id="19" w:name="page20"/>
    <w:bookmarkEnd w:id="19"/>
    <w:p>
      <w:pPr>
        <w:jc w:val="both"/>
        <w:spacing w:after="0" w:line="262" w:lineRule="auto"/>
        <w:rPr>
          <w:sz w:val="20"/>
          <w:szCs w:val="20"/>
          <w:color w:val="auto"/>
        </w:rPr>
      </w:pPr>
      <w:r>
        <w:rPr>
          <w:rFonts w:ascii="Calibri" w:cs="Calibri" w:eastAsia="Calibri" w:hAnsi="Calibri"/>
          <w:sz w:val="20"/>
          <w:szCs w:val="20"/>
          <w:color w:val="auto"/>
        </w:rPr>
        <w:t>complicate compliance efforts and can result in investigations, proceedings or actions that lead to significant civil or criminal penalties or both and restrictions on data processing.</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Pharmaceutical Coverage, Pricing and Reimbursement</w:t>
      </w:r>
    </w:p>
    <w:p>
      <w:pPr>
        <w:spacing w:after="0" w:line="240" w:lineRule="exact"/>
        <w:rPr>
          <w:sz w:val="20"/>
          <w:szCs w:val="20"/>
          <w:color w:val="auto"/>
        </w:rPr>
      </w:pPr>
    </w:p>
    <w:p>
      <w:pPr>
        <w:jc w:val="both"/>
        <w:ind w:firstLine="720"/>
        <w:spacing w:after="0" w:line="241" w:lineRule="auto"/>
        <w:rPr>
          <w:sz w:val="20"/>
          <w:szCs w:val="20"/>
          <w:color w:val="auto"/>
        </w:rPr>
      </w:pPr>
      <w:r>
        <w:rPr>
          <w:rFonts w:ascii="Calibri" w:cs="Calibri" w:eastAsia="Calibri" w:hAnsi="Calibri"/>
          <w:sz w:val="20"/>
          <w:szCs w:val="20"/>
          <w:color w:val="auto"/>
        </w:rPr>
        <w:t>In the United States and other countries, sales of LOQTORZI and any other products for which we receive regulatory approval for commercial sale will depend in part on the availability of coverage and reimbursement from third-party payers, including government health administrative authorities, managed care providers, private health insurers and other organizations. Third-party payers are increasingly examining the medical necessity and cost effectiveness of medical products and services in addition to safety and efficacy and, accordingly, significant uncertainty exists as to the reimbursement status of newly approved therapeutics. In addition, the United States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our net revenue and results. A significant portion of our sales are subject to substantial discounts to list price, including rebates we may be required to pay to Medicaid agencies or discounts we may be required to pay to 340B covered entities. Decreases in third-party reimbursement for LOQTORZI or other products for which we receive regulatory approval or a decision by a third-party payer to not cover our products could reduce physician utilization of our products and have a material adverse effect on our sales, results of operations and financial condition.</w:t>
      </w:r>
    </w:p>
    <w:p>
      <w:pPr>
        <w:spacing w:after="0" w:line="22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Government Price Reporting</w:t>
      </w:r>
    </w:p>
    <w:p>
      <w:pPr>
        <w:spacing w:after="0" w:line="240" w:lineRule="exact"/>
        <w:rPr>
          <w:sz w:val="20"/>
          <w:szCs w:val="20"/>
          <w:color w:val="auto"/>
        </w:rPr>
      </w:pPr>
    </w:p>
    <w:p>
      <w:pPr>
        <w:jc w:val="both"/>
        <w:ind w:firstLine="720"/>
        <w:spacing w:after="0" w:line="241" w:lineRule="auto"/>
        <w:rPr>
          <w:sz w:val="20"/>
          <w:szCs w:val="20"/>
          <w:color w:val="auto"/>
        </w:rPr>
      </w:pPr>
      <w:r>
        <w:rPr>
          <w:rFonts w:ascii="Calibri" w:cs="Calibri" w:eastAsia="Calibri" w:hAnsi="Calibri"/>
          <w:sz w:val="20"/>
          <w:szCs w:val="20"/>
          <w:color w:val="auto"/>
        </w:rPr>
        <w:t>Medicaid is a joint federal and state program for low-income and disabled beneficiaries. Medicare is a federal program that is administered by the federal government covering individuals age 65 and over as well as those with certain disabilities. Under the Medicaid Drug Rebate Program (“MDRP”), as a condition of having federal funds available for our covered outpatient drugs under Medicaid and under Medicare Part B, we must enter into, and have entered into, an agreement with the Secretary of Health and Human Services to pay a rebate to state Medicaid programs for each unit of our covered outpatient drugs dispensed to a Medicaid beneficiary and paid for by the state Medicaid program. Medicaid rebates are based on pricing data that we are required to report on a monthly and quarterly basis to the U.S. Centers for Medicare &amp; Medicaid Services (“CMS”), the federal agency that administers the MDRP and Medicare programs. For the MDRP, these data include the average manufacturer price (“AMP”) for each drug and, in the case of innovator products, the “Best Price”, which represents the lowest price available from us to any wholesaler, retailer, provider, health maintenance organization, nonprofit entity, or governmental entity in the United States in any pricing structure, calculated to include all applicable sales and associated rebates, discounts and other price concessions. In connection with Medicare Part B, we must provide CMS with Average Sales Price (“ASP”) information on a quarterly basis. CMS uses this information to compute Medicare Part B payment rates, which consist of ASP plus a specified percentage. If we become aware that our MDRP submissions for a prior period were incorrect or have changed as a result of recalculation of the pricing data, we must resubmit the corrected data for up to three years after those data originally were due. If we fail to provide information timely or are found to have knowingly submitted false information to CMS, we may be subject to civil monetary penalties and other sanctions, including termination from the MDRP.</w:t>
      </w:r>
    </w:p>
    <w:p>
      <w:pPr>
        <w:spacing w:after="0" w:line="225"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Federal law requires that a manufacturer that participates in the MDRP also participate in the Public Health Service’s 340B drug pricing program in order for federal funds to be available for the manufacturer’s drugs under Medicaid and Medicare Part B. The 340B program is administered by the Health Resources and Services Administration (“HRSA”) and requires us to agree to charge statutorily defined covered entities no more than the 340B “ceiling price” for our covered outpatient drugs when used in an outpatient setting.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 eligible drugs. HRSA has also finalized an administrative dispute resolution process through which 340B covered entities may pursue claims against participating manufacturers for overcharges.</w:t>
      </w:r>
    </w:p>
    <w:p>
      <w:pPr>
        <w:spacing w:after="0" w:line="215" w:lineRule="exact"/>
        <w:rPr>
          <w:sz w:val="20"/>
          <w:szCs w:val="20"/>
          <w:color w:val="auto"/>
        </w:rPr>
      </w:pPr>
    </w:p>
    <w:p>
      <w:pPr>
        <w:jc w:val="both"/>
        <w:ind w:firstLine="720"/>
        <w:spacing w:after="0" w:line="259" w:lineRule="auto"/>
        <w:rPr>
          <w:sz w:val="20"/>
          <w:szCs w:val="20"/>
          <w:color w:val="auto"/>
        </w:rPr>
      </w:pPr>
      <w:r>
        <w:rPr>
          <w:rFonts w:ascii="Calibri" w:cs="Calibri" w:eastAsia="Calibri" w:hAnsi="Calibri"/>
          <w:sz w:val="19"/>
          <w:szCs w:val="19"/>
          <w:color w:val="auto"/>
        </w:rPr>
        <w:t>In order to be eligible to have drug products paid for with federal funds under Medicaid and Medicare Part B and purchased by certain federal agencies and grantees, a manufacturer must also participate in the U.S. Department of Veterans Affairs (“VA”) Federal Supply Schedule (“FSS”) pricing program. Under the VA FSS program, we must report the Non-Federal Average Manufacturer Price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18</w:t>
      </w:r>
    </w:p>
    <w:p>
      <w:pPr>
        <w:sectPr>
          <w:pgSz w:w="12240" w:h="15840" w:orient="portrait"/>
          <w:cols w:equalWidth="0" w:num="1">
            <w:col w:w="11160"/>
          </w:cols>
          <w:pgMar w:left="540" w:top="532" w:right="540" w:bottom="9" w:gutter="0" w:footer="0" w:header="0"/>
          <w:type w:val="continuous"/>
        </w:sectPr>
      </w:pPr>
    </w:p>
    <w:bookmarkStart w:id="20" w:name="page21"/>
    <w:bookmarkEnd w:id="20"/>
    <w:p>
      <w:pPr>
        <w:jc w:val="both"/>
        <w:spacing w:after="0" w:line="262" w:lineRule="auto"/>
        <w:rPr>
          <w:sz w:val="20"/>
          <w:szCs w:val="20"/>
          <w:color w:val="auto"/>
        </w:rPr>
      </w:pPr>
      <w:r>
        <w:rPr>
          <w:rFonts w:ascii="Calibri" w:cs="Calibri" w:eastAsia="Calibri" w:hAnsi="Calibri"/>
          <w:sz w:val="20"/>
          <w:szCs w:val="20"/>
          <w:color w:val="auto"/>
        </w:rPr>
        <w:t>and dependents through the TRICARE retail pharmacy program. If a manufacturer participating in the FSS program fails to provide timely information or is found to have knowingly submitted false information, the manufacturer may be subject to civil monetary penalties.</w:t>
      </w:r>
    </w:p>
    <w:p>
      <w:pPr>
        <w:spacing w:after="0" w:line="195"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for the untimely, inaccurate, or incomplete reporting of drug pricing information or for otherwise failing to comply with drug price transparency requirements.</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Healthcare Reform, including the Inflation Reduction Act of 2022 (the “IRA”)</w:t>
      </w:r>
    </w:p>
    <w:p>
      <w:pPr>
        <w:spacing w:after="0" w:line="241" w:lineRule="exact"/>
        <w:rPr>
          <w:sz w:val="20"/>
          <w:szCs w:val="20"/>
          <w:color w:val="auto"/>
        </w:rPr>
      </w:pPr>
    </w:p>
    <w:p>
      <w:pPr>
        <w:jc w:val="both"/>
        <w:ind w:firstLine="720"/>
        <w:spacing w:after="0" w:line="241" w:lineRule="auto"/>
        <w:rPr>
          <w:sz w:val="20"/>
          <w:szCs w:val="20"/>
          <w:color w:val="auto"/>
        </w:rPr>
      </w:pPr>
      <w:r>
        <w:rPr>
          <w:rFonts w:ascii="Calibri" w:cs="Calibri" w:eastAsia="Calibri" w:hAnsi="Calibri"/>
          <w:sz w:val="20"/>
          <w:szCs w:val="20"/>
          <w:color w:val="auto"/>
        </w:rPr>
        <w:t>The United States federal and state governments continue to propose and pass legislation designed to regulate the healthcare industry, including legislation that seeks to indirectly or directly regulate pharmaceutical drug pricing. Most significantly, on August 16, 2022, the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manufacturer discounting program (which began in 2025). The IRA permits the Secretary of the Department of Health and Human Services (“HHS”) to implement many of these provisions through guidance, as opposed to regulation, for the initial years. HHS has issued and will continue to issue guidance implementing the IRA. CMS has published the negotiated prices for the initial ten drugs, which went into effect in 2026, and the subsequent 15 drugs, which will first be effective in 2027, as well as the next set of 15 drugs that will be subject to negotiation, although the Medicare drug price negotiation program is currently subject to legal challenges. While the impact of the IRA on our business and the pharmaceutical industry cannot yet be fully determined, it is likely to be significant. In particular, if a product becomes subject to the IRA negotiation provision and related price cap, that may significantly alter the economic rationale for developing and commercializing a biosimilar.</w:t>
      </w:r>
    </w:p>
    <w:p>
      <w:pPr>
        <w:spacing w:after="0" w:line="227"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LOQTORZI® or any other product candidate that we commercialize.</w:t>
      </w:r>
    </w:p>
    <w:p>
      <w:pPr>
        <w:spacing w:after="0" w:line="206"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The Trump administration is pursuing a two-fold strategy to reduce drug costs in the U.S.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The Trump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spacing w:after="0" w:line="215" w:lineRule="exact"/>
        <w:rPr>
          <w:sz w:val="20"/>
          <w:szCs w:val="20"/>
          <w:color w:val="auto"/>
        </w:rPr>
      </w:pPr>
    </w:p>
    <w:p>
      <w:pPr>
        <w:jc w:val="both"/>
        <w:ind w:firstLine="720"/>
        <w:spacing w:after="0" w:line="258" w:lineRule="auto"/>
        <w:rPr>
          <w:sz w:val="20"/>
          <w:szCs w:val="20"/>
          <w:color w:val="auto"/>
        </w:rPr>
      </w:pPr>
      <w:r>
        <w:rPr>
          <w:rFonts w:ascii="Calibri" w:cs="Calibri" w:eastAsia="Calibri" w:hAnsi="Calibri"/>
          <w:sz w:val="19"/>
          <w:szCs w:val="19"/>
          <w:color w:val="auto"/>
        </w:rPr>
        <w:t>Moreover, the individual states in the United States have become increasingly active in developing proposals, passing legislation and implementing regulations designed to control drug pricing, including price or patient reimbursement constraints, discounts, formulary flexibility, marketing cost disclosure, drug price reporting and other transparency measures. Some states have enacted legislation creating so-called prescription drug affordability boards, which ultimately may attempt to impose price limits on certain drugs in these states, and at least one state board is imposing an upper payment limit. States are also seeking to implement general, across the board price caps for pharmaceuticals, or are seeking to regulate drug distribution. Some measures are designed to encourage importation from other countries. These new laws and the regulations and policies implementing them, as well as other healthcare-related measures that may be adopted in the future, could materially reduce our ability to develop and commercialize LOQTORZI® and our product candidates, if approved.</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19</w:t>
      </w:r>
    </w:p>
    <w:p>
      <w:pPr>
        <w:sectPr>
          <w:pgSz w:w="12240" w:h="15840" w:orient="portrait"/>
          <w:cols w:equalWidth="0" w:num="1">
            <w:col w:w="11160"/>
          </w:cols>
          <w:pgMar w:left="540" w:top="532" w:right="540" w:bottom="9" w:gutter="0" w:footer="0" w:header="0"/>
          <w:type w:val="continuous"/>
        </w:sectPr>
      </w:pPr>
    </w:p>
    <w:bookmarkStart w:id="21" w:name="page22"/>
    <w:bookmarkEnd w:id="21"/>
    <w:p>
      <w:pPr>
        <w:spacing w:after="0"/>
        <w:rPr>
          <w:sz w:val="20"/>
          <w:szCs w:val="20"/>
          <w:color w:val="auto"/>
        </w:rPr>
      </w:pPr>
      <w:r>
        <w:rPr>
          <w:rFonts w:ascii="Calibri" w:cs="Calibri" w:eastAsia="Calibri" w:hAnsi="Calibri"/>
          <w:sz w:val="20"/>
          <w:szCs w:val="20"/>
          <w:b w:val="1"/>
          <w:bCs w:val="1"/>
          <w:color w:val="auto"/>
        </w:rPr>
        <w:t>Environment</w:t>
      </w:r>
    </w:p>
    <w:p>
      <w:pPr>
        <w:spacing w:after="0" w:line="240"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We are subject to a number of laws and regulations that require compliance with federal, state, and local regulations for the protection of the environment. The regulatory landscape continues to evolve, and we anticipate additional regulations in the near future. Laws and regulations are implemented and under consideration to mitigate the effects of climate change mainly caused by greenhouse gas emissions. Our business is not energy intensive. Therefore, we do not anticipate being subject to a cap and trade system, carbon emissions tax or other mitigation measure that would materially impact our capital expenditures, operations or competitive position. The building where our headquarters is located in Redwood City, California, has been awarded LEED Gold Certification from the United States Green Building Council.</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Human Capital Management</w:t>
      </w:r>
    </w:p>
    <w:p>
      <w:pPr>
        <w:spacing w:after="0" w:line="241"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As of December 31, 2025, we had 147 full-time and part-time employees, which represented a decrease of 81 full-time and part-time employees since December 31, 2024. All employees were located in the United States and none were represented by a labor union. We have not experienced any work stoppages and believe we have good relations with our employees and contractors. Our guiding principles are anchored on the goals of being able to recruit, incentivize, retain and integrate talented employees who can develop, implement, and drive long-term value creation strategies. As our development and commercialization plans and strategies evolve and because of reductions in force and turnover, from time to time we experience changes in our number of employees.</w:t>
      </w:r>
    </w:p>
    <w:p>
      <w:pPr>
        <w:spacing w:after="0" w:line="216"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On December 2, 2024, we and Intas Pharmaceuticals Ltd. (“Intas”) entered into an asset purchase agreement (the “UDENYCA Purchase Agreement”), pursuant to which the Company agreed to divest the UDENYCA franchise (the “UDENYCA Business”) to Intas (the “UDENYCA Sale”). On April 11, 2025 (the “UDENYCA Closing Date”), we completed the divestiture of the UDENYCA Business to Intas. Intas has designated Accord BioPharma, Inc., an indirect wholly owned subsidiary of Intas (“Accord” and, together with Intas, the “Intas Parties”) to purchase the physical assets, including product inventory. Pursuant to the UDENYCA Purchase Agreement, 43 of our employees transferred employment to Accord at the closing of the UDENYCA Sale. None of our executive officers transferred to Accord.</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Compensation and Benefits</w:t>
      </w:r>
    </w:p>
    <w:p>
      <w:pPr>
        <w:spacing w:after="0" w:line="241"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We review our base salaries on a regular basis and believe they are fair and competitive with the external labor markets in which our employees work. We offer incentive programs that provide bonus opportunities to encourage and reward participants for our achievement of financial and other key performance metrics and strengthen the connection between pay and performance. We also grant equity compensation awards that vest over time through our long-term incentive plan to employees to align such employees’ incentives with our long-term strategic objectives and the interests of our stockholders.</w:t>
      </w:r>
    </w:p>
    <w:p>
      <w:pPr>
        <w:spacing w:after="0" w:line="214"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We also offer competitive benefits to our employees, including paid vacation and holidays, family leave, disability insurance, life insurance, healthcare, dental and vision coverage, dependent care flexible spending accounts, a 401(k) plan with a company match, and an Employee Stock Purchase Plan. Additionally, we offer an Employee Assistance Program that includes professional support for employees to balance the stress of personal and professional demands.</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Health and Safety</w:t>
      </w:r>
    </w:p>
    <w:p>
      <w:pPr>
        <w:spacing w:after="0" w:line="240"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We are committed to a safe workplace for our employees and have implemented health and safety management processes, including training and awareness, into our operations. We have an incident reporting plan to respond to injuries and emergencies on an ongoing basis to protect our employees and comply with all Occupational Safety and Health Administration requirements.</w:t>
      </w:r>
    </w:p>
    <w:p>
      <w:pPr>
        <w:spacing w:after="0" w:line="20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Training, Development and Engagement</w:t>
      </w:r>
    </w:p>
    <w:p>
      <w:pPr>
        <w:spacing w:after="0" w:line="240" w:lineRule="exact"/>
        <w:rPr>
          <w:sz w:val="20"/>
          <w:szCs w:val="20"/>
          <w:color w:val="auto"/>
        </w:rPr>
      </w:pPr>
    </w:p>
    <w:p>
      <w:pPr>
        <w:jc w:val="both"/>
        <w:ind w:firstLine="720"/>
        <w:spacing w:after="0" w:line="270" w:lineRule="auto"/>
        <w:rPr>
          <w:sz w:val="20"/>
          <w:szCs w:val="20"/>
          <w:color w:val="auto"/>
        </w:rPr>
      </w:pPr>
      <w:r>
        <w:rPr>
          <w:rFonts w:ascii="Calibri" w:cs="Calibri" w:eastAsia="Calibri" w:hAnsi="Calibri"/>
          <w:sz w:val="19"/>
          <w:szCs w:val="19"/>
          <w:color w:val="auto"/>
        </w:rPr>
        <w:t>Through our online learning platform, we deliver a variety of required learning modules, including those modules tied to our Code of Business Conduct, healthcare compliance, cybersecurity, unlawful harassment, workplace violence prevention and anti-corruption policies, which are completed periodically by all team members. We have a highly collaborative, engaging company environment.</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Additional Information</w:t>
      </w:r>
    </w:p>
    <w:p>
      <w:pPr>
        <w:spacing w:after="0" w:line="241"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We view our operations and measure our business as one reportable segment operating primarily in the United States. See “Note 1. Organization and Significant Accounting Policies” in the Notes to Consolidated Financial Statements contained in Part II, Item 8 of this Annual Report on Form 10 - K for additional information. Additional information required by this item is incorporated herein by reference to Part I, Item 1A “Risk Factors.”</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20</w:t>
      </w:r>
    </w:p>
    <w:p>
      <w:pPr>
        <w:sectPr>
          <w:pgSz w:w="12240" w:h="15840" w:orient="portrait"/>
          <w:cols w:equalWidth="0" w:num="1">
            <w:col w:w="11160"/>
          </w:cols>
          <w:pgMar w:left="540" w:top="531" w:right="540" w:bottom="9" w:gutter="0" w:footer="0" w:header="0"/>
          <w:type w:val="continuous"/>
        </w:sectPr>
      </w:pPr>
    </w:p>
    <w:bookmarkStart w:id="22" w:name="page23"/>
    <w:bookmarkEnd w:id="22"/>
    <w:p>
      <w:pPr>
        <w:jc w:val="both"/>
        <w:ind w:firstLine="720"/>
        <w:spacing w:after="0" w:line="262" w:lineRule="auto"/>
        <w:rPr>
          <w:sz w:val="20"/>
          <w:szCs w:val="20"/>
          <w:color w:val="auto"/>
        </w:rPr>
      </w:pPr>
      <w:r>
        <w:rPr>
          <w:rFonts w:ascii="Calibri" w:cs="Calibri" w:eastAsia="Calibri" w:hAnsi="Calibri"/>
          <w:sz w:val="20"/>
          <w:szCs w:val="20"/>
          <w:color w:val="auto"/>
        </w:rPr>
        <w:t>We were incorporated in Delaware in September 2010. We completed the initial public offering of our common stock in November 2014. Our common stock is currently listed on The Nasdaq Global Market under the symbol “CHRS.”</w:t>
      </w:r>
    </w:p>
    <w:p>
      <w:pPr>
        <w:spacing w:after="0" w:line="195"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Our principal executive offices are located at 333 Twin Dolphin Drive, Suite 600, Redwood City, CA 94065, and our telephone number is (650) 649 - 3530.</w:t>
      </w:r>
    </w:p>
    <w:p>
      <w:pPr>
        <w:spacing w:after="0" w:line="195"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You may find electronic copies of our annual reports on Form 10 - K, quarterly reports on Form 10 - Q, current reports on Form 8 - K, and amendments to those reports filed or furnished pursuant to Section 13(a) or 15(d) of the Securities Exchange Act of 1934 on our website at https://www.coherus.com free of charge. We also periodically release and publicize press releases to the public that are also available on our website’s section entitled “Investors &amp; Media” which we use as a recognized channel of distribution for our investors and other people interested in our company. The SEC maintains a website (https://www.sec.gov) that contains reports, proxy and information statements and other information regarding issuers that file electronically with the SEC. Such filings are placed on our website as soon as reasonably possible after they are filed with the SEC. Our most recent charter for our audit, compensation, and nominating and corporate governance committees and our Code of Business Conduct and Ethics are available on our website as well at https://www.coherus.com. Any waiver of our Code of Business Conduct and Ethics may be made only by our board of directors (“Board”). Any waiver of our Code of Business Conduct and Ethics for any of our directors or executive officers must be disclosed on a Current Report on Form 8 - K within four business days, or such shorter period as may be required under applicable law.</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21</w:t>
      </w:r>
    </w:p>
    <w:p>
      <w:pPr>
        <w:sectPr>
          <w:pgSz w:w="12240" w:h="15840" w:orient="portrait"/>
          <w:cols w:equalWidth="0" w:num="1">
            <w:col w:w="11160"/>
          </w:cols>
          <w:pgMar w:left="540" w:top="532" w:right="540" w:bottom="9" w:gutter="0" w:footer="0" w:header="0"/>
          <w:type w:val="continuous"/>
        </w:sectPr>
      </w:pPr>
    </w:p>
    <w:bookmarkStart w:id="23" w:name="page24"/>
    <w:bookmarkEnd w:id="23"/>
    <w:p>
      <w:pPr>
        <w:spacing w:after="0"/>
        <w:rPr>
          <w:sz w:val="20"/>
          <w:szCs w:val="20"/>
          <w:color w:val="auto"/>
        </w:rPr>
      </w:pPr>
      <w:r>
        <w:rPr>
          <w:rFonts w:ascii="Calibri" w:cs="Calibri" w:eastAsia="Calibri" w:hAnsi="Calibri"/>
          <w:sz w:val="20"/>
          <w:szCs w:val="20"/>
          <w:b w:val="1"/>
          <w:bCs w:val="1"/>
          <w:color w:val="auto"/>
        </w:rPr>
        <w:t xml:space="preserve">Item 1A.  </w:t>
      </w:r>
      <w:r>
        <w:rPr>
          <w:rFonts w:ascii="Calibri" w:cs="Calibri" w:eastAsia="Calibri" w:hAnsi="Calibri"/>
          <w:sz w:val="20"/>
          <w:szCs w:val="20"/>
          <w:b w:val="1"/>
          <w:bCs w:val="1"/>
          <w:i w:val="1"/>
          <w:iCs w:val="1"/>
          <w:color w:val="auto"/>
        </w:rPr>
        <w:t>Risk Factors</w:t>
      </w:r>
    </w:p>
    <w:p>
      <w:pPr>
        <w:spacing w:after="0" w:line="240"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i w:val="1"/>
          <w:iCs w:val="1"/>
          <w:color w:val="auto"/>
        </w:rPr>
        <w:t>Investing in the common stock of a commercial-stage innovative oncology company, including one with a significant international partnership and multiple product candidates in development, is a highly speculative undertaking and involves a substantial degree of risk. You should carefully consider the risks and uncertainties described below, together with all of the other information in this Annual Report on Form 10-K. If any of the following risks are realized, our business, financial condition, results of operations and prospects could be materially and adversely affected. The risks described below are not the only risks facing us. Risks and uncertainties not currently known to us or that we currently deem to be immaterial also may materially adversely affect our business, financial condition, results of operations and/or prospects.</w:t>
      </w:r>
    </w:p>
    <w:p>
      <w:pPr>
        <w:spacing w:after="0" w:line="22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Risks Related to Our Financial Condition and Capital Requirements</w:t>
      </w:r>
    </w:p>
    <w:p>
      <w:pPr>
        <w:spacing w:after="0" w:line="239" w:lineRule="exact"/>
        <w:rPr>
          <w:sz w:val="20"/>
          <w:szCs w:val="20"/>
          <w:color w:val="auto"/>
        </w:rPr>
      </w:pPr>
    </w:p>
    <w:p>
      <w:pPr>
        <w:jc w:val="both"/>
        <w:spacing w:after="0" w:line="262" w:lineRule="auto"/>
        <w:rPr>
          <w:sz w:val="20"/>
          <w:szCs w:val="20"/>
          <w:color w:val="auto"/>
        </w:rPr>
      </w:pPr>
      <w:r>
        <w:rPr>
          <w:rFonts w:ascii="Calibri" w:cs="Calibri" w:eastAsia="Calibri" w:hAnsi="Calibri"/>
          <w:sz w:val="20"/>
          <w:szCs w:val="20"/>
          <w:b w:val="1"/>
          <w:bCs w:val="1"/>
          <w:i w:val="1"/>
          <w:iCs w:val="1"/>
          <w:color w:val="auto"/>
        </w:rPr>
        <w:t>We have a limited history of profitability, which we have not maintained and may not achieve again, and only one product that has been approved and marketed and with multiple product candidates that are not approved and still in development.</w:t>
      </w:r>
    </w:p>
    <w:p>
      <w:pPr>
        <w:spacing w:after="0" w:line="197" w:lineRule="exact"/>
        <w:rPr>
          <w:sz w:val="20"/>
          <w:szCs w:val="20"/>
          <w:color w:val="auto"/>
        </w:rPr>
      </w:pPr>
    </w:p>
    <w:p>
      <w:pPr>
        <w:jc w:val="both"/>
        <w:ind w:firstLine="490"/>
        <w:spacing w:after="0" w:line="244" w:lineRule="auto"/>
        <w:rPr>
          <w:sz w:val="20"/>
          <w:szCs w:val="20"/>
          <w:color w:val="auto"/>
        </w:rPr>
      </w:pPr>
      <w:r>
        <w:rPr>
          <w:rFonts w:ascii="Calibri" w:cs="Calibri" w:eastAsia="Calibri" w:hAnsi="Calibri"/>
          <w:sz w:val="20"/>
          <w:szCs w:val="20"/>
          <w:color w:val="auto"/>
        </w:rPr>
        <w:t>We have generated significant operating losses in all the years since our inception except for certain periods that had gains from divestitures and 2020 and 2019. It is uncertain that we will be profitable in future periods, particularly now that the UDENYCA Sale was consummated, as research and development is expensive and risky. The amount of our future net losses or any future net income will depend, in part, on the amount of our future expenditures offset by the amount of future product sales, including sales of our current product or any other products that may receive regulatory approval. Innovative oncology product development is a highly speculative undertaking and involves a substantial degree of risk.</w:t>
      </w:r>
    </w:p>
    <w:p>
      <w:pPr>
        <w:spacing w:after="0" w:line="215"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For example, as of December 31, 2025, we had an accumulated deficit of $1.4 billion. The losses and accumulated deficit were primarily due to the substantial investments we made to commercialize our product and identify, develop or acquire our product candidates, including conducting, among other things, analytical characterization, process development and manufacturing, formulation and clinical studies and providing general and administrative support for these operations.</w:t>
      </w:r>
    </w:p>
    <w:p>
      <w:pPr>
        <w:spacing w:after="0" w:line="212" w:lineRule="exact"/>
        <w:rPr>
          <w:sz w:val="20"/>
          <w:szCs w:val="20"/>
          <w:color w:val="auto"/>
        </w:rPr>
      </w:pPr>
    </w:p>
    <w:p>
      <w:pPr>
        <w:jc w:val="both"/>
        <w:ind w:firstLine="490"/>
        <w:spacing w:after="0" w:line="245" w:lineRule="auto"/>
        <w:rPr>
          <w:sz w:val="20"/>
          <w:szCs w:val="20"/>
          <w:color w:val="auto"/>
        </w:rPr>
      </w:pPr>
      <w:r>
        <w:rPr>
          <w:rFonts w:ascii="Calibri" w:cs="Calibri" w:eastAsia="Calibri" w:hAnsi="Calibri"/>
          <w:sz w:val="20"/>
          <w:szCs w:val="20"/>
          <w:color w:val="auto"/>
        </w:rPr>
        <w:t>We have incurred and anticipate we will continue to incur certain development and commercial expenses for LOQTORZI, the anti-PD-1 antibody we licensed from Junshi Biosciences in 2021, and have agreed to pay up to $90.0 million for the achievement of certain regulatory approvals and up to $290.0 million for the attainment of certain sales thresholds. The launch of this product and future work to advance our other product candidates through clinical development in combination with toripalimab will be expensive and could result in us continuing to experience future net losses.</w:t>
      </w:r>
    </w:p>
    <w:p>
      <w:pPr>
        <w:spacing w:after="0" w:line="216" w:lineRule="exact"/>
        <w:rPr>
          <w:sz w:val="20"/>
          <w:szCs w:val="20"/>
          <w:color w:val="auto"/>
        </w:rPr>
      </w:pPr>
    </w:p>
    <w:p>
      <w:pPr>
        <w:jc w:val="both"/>
        <w:ind w:firstLine="490"/>
        <w:spacing w:after="0" w:line="245" w:lineRule="auto"/>
        <w:rPr>
          <w:sz w:val="20"/>
          <w:szCs w:val="20"/>
          <w:color w:val="auto"/>
        </w:rPr>
      </w:pPr>
      <w:r>
        <w:rPr>
          <w:rFonts w:ascii="Calibri" w:cs="Calibri" w:eastAsia="Calibri" w:hAnsi="Calibri"/>
          <w:sz w:val="20"/>
          <w:szCs w:val="20"/>
          <w:color w:val="auto"/>
        </w:rPr>
        <w:t>For LOQTORZI, our only commercial product, and if we obtain regulatory approval to market any other product candidate, our future revenue will depend upon the size of any markets in which our product candidates may receive approval and our ability to achieve sufficient market acceptance, pricing, reimbursement from third-party payers, and adequate market share for our product candidates which include all product candidates for which we obtained commercial rights, in those markets. However, even if additional product candidates in addition to our current product gain regulatory approval and are commercialized, we may not become profitable.</w:t>
      </w:r>
    </w:p>
    <w:p>
      <w:pPr>
        <w:spacing w:after="0" w:line="216" w:lineRule="exact"/>
        <w:rPr>
          <w:sz w:val="20"/>
          <w:szCs w:val="20"/>
          <w:color w:val="auto"/>
        </w:rPr>
      </w:pPr>
    </w:p>
    <w:p>
      <w:pPr>
        <w:ind w:left="500"/>
        <w:spacing w:after="0"/>
        <w:rPr>
          <w:sz w:val="20"/>
          <w:szCs w:val="20"/>
          <w:color w:val="auto"/>
        </w:rPr>
      </w:pPr>
      <w:r>
        <w:rPr>
          <w:rFonts w:ascii="Calibri" w:cs="Calibri" w:eastAsia="Calibri" w:hAnsi="Calibri"/>
          <w:sz w:val="20"/>
          <w:szCs w:val="20"/>
          <w:color w:val="auto"/>
        </w:rPr>
        <w:t>Our expenses will increase substantially if and as we:</w:t>
      </w:r>
    </w:p>
    <w:p>
      <w:pPr>
        <w:spacing w:after="0" w:line="129" w:lineRule="exact"/>
        <w:rPr>
          <w:sz w:val="20"/>
          <w:szCs w:val="20"/>
          <w:color w:val="auto"/>
        </w:rPr>
      </w:pPr>
    </w:p>
    <w:p>
      <w:pPr>
        <w:ind w:left="980" w:hanging="483"/>
        <w:spacing w:after="0" w:line="253" w:lineRule="auto"/>
        <w:tabs>
          <w:tab w:leader="none" w:pos="980" w:val="left"/>
        </w:tabs>
        <w:numPr>
          <w:ilvl w:val="0"/>
          <w:numId w:val="10"/>
        </w:numPr>
        <w:rPr>
          <w:rFonts w:ascii="Symbol" w:cs="Symbol" w:eastAsia="Symbol" w:hAnsi="Symbol"/>
          <w:sz w:val="20"/>
          <w:szCs w:val="20"/>
          <w:color w:val="auto"/>
        </w:rPr>
      </w:pPr>
      <w:r>
        <w:rPr>
          <w:rFonts w:ascii="Calibri" w:cs="Calibri" w:eastAsia="Calibri" w:hAnsi="Calibri"/>
          <w:sz w:val="20"/>
          <w:szCs w:val="20"/>
          <w:color w:val="auto"/>
        </w:rPr>
        <w:t>establish a sales, marketing and distribution infrastructure to commercialize any of our product candidates for which we may obtain marketing approval;</w:t>
      </w:r>
    </w:p>
    <w:p>
      <w:pPr>
        <w:spacing w:after="0" w:line="94" w:lineRule="exact"/>
        <w:rPr>
          <w:rFonts w:ascii="Symbol" w:cs="Symbol" w:eastAsia="Symbol" w:hAnsi="Symbol"/>
          <w:sz w:val="20"/>
          <w:szCs w:val="20"/>
          <w:color w:val="auto"/>
        </w:rPr>
      </w:pPr>
    </w:p>
    <w:p>
      <w:pPr>
        <w:ind w:left="980" w:hanging="483"/>
        <w:spacing w:after="0"/>
        <w:tabs>
          <w:tab w:leader="none" w:pos="980" w:val="left"/>
        </w:tabs>
        <w:numPr>
          <w:ilvl w:val="0"/>
          <w:numId w:val="10"/>
        </w:numPr>
        <w:rPr>
          <w:rFonts w:ascii="Symbol" w:cs="Symbol" w:eastAsia="Symbol" w:hAnsi="Symbol"/>
          <w:sz w:val="20"/>
          <w:szCs w:val="20"/>
          <w:color w:val="auto"/>
        </w:rPr>
      </w:pPr>
      <w:r>
        <w:rPr>
          <w:rFonts w:ascii="Calibri" w:cs="Calibri" w:eastAsia="Calibri" w:hAnsi="Calibri"/>
          <w:sz w:val="20"/>
          <w:szCs w:val="20"/>
          <w:color w:val="auto"/>
        </w:rPr>
        <w:t>make upfront, milestone, royalty or other payments under any license agreements;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0"/>
        </w:numPr>
        <w:rPr>
          <w:rFonts w:ascii="Symbol" w:cs="Symbol" w:eastAsia="Symbol" w:hAnsi="Symbol"/>
          <w:sz w:val="20"/>
          <w:szCs w:val="20"/>
          <w:color w:val="auto"/>
        </w:rPr>
      </w:pPr>
      <w:r>
        <w:rPr>
          <w:rFonts w:ascii="Calibri" w:cs="Calibri" w:eastAsia="Calibri" w:hAnsi="Calibri"/>
          <w:sz w:val="20"/>
          <w:szCs w:val="20"/>
          <w:color w:val="auto"/>
        </w:rPr>
        <w:t>continue our nonclinical and clinical development of our product candidates;</w:t>
      </w:r>
    </w:p>
    <w:p>
      <w:pPr>
        <w:spacing w:after="0" w:line="120" w:lineRule="exact"/>
        <w:rPr>
          <w:rFonts w:ascii="Symbol" w:cs="Symbol" w:eastAsia="Symbol" w:hAnsi="Symbol"/>
          <w:sz w:val="20"/>
          <w:szCs w:val="20"/>
          <w:color w:val="auto"/>
        </w:rPr>
      </w:pPr>
    </w:p>
    <w:p>
      <w:pPr>
        <w:ind w:left="980" w:hanging="483"/>
        <w:spacing w:after="0"/>
        <w:tabs>
          <w:tab w:leader="none" w:pos="980" w:val="left"/>
        </w:tabs>
        <w:numPr>
          <w:ilvl w:val="0"/>
          <w:numId w:val="10"/>
        </w:numPr>
        <w:rPr>
          <w:rFonts w:ascii="Symbol" w:cs="Symbol" w:eastAsia="Symbol" w:hAnsi="Symbol"/>
          <w:sz w:val="20"/>
          <w:szCs w:val="20"/>
          <w:color w:val="auto"/>
        </w:rPr>
      </w:pPr>
      <w:r>
        <w:rPr>
          <w:rFonts w:ascii="Calibri" w:cs="Calibri" w:eastAsia="Calibri" w:hAnsi="Calibri"/>
          <w:sz w:val="20"/>
          <w:szCs w:val="20"/>
          <w:color w:val="auto"/>
        </w:rPr>
        <w:t>initiate additional nonclinical, clinical or other studies for our product candidates;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0"/>
        </w:numPr>
        <w:rPr>
          <w:rFonts w:ascii="Symbol" w:cs="Symbol" w:eastAsia="Symbol" w:hAnsi="Symbol"/>
          <w:sz w:val="20"/>
          <w:szCs w:val="20"/>
          <w:color w:val="auto"/>
        </w:rPr>
      </w:pPr>
      <w:r>
        <w:rPr>
          <w:rFonts w:ascii="Calibri" w:cs="Calibri" w:eastAsia="Calibri" w:hAnsi="Calibri"/>
          <w:sz w:val="20"/>
          <w:szCs w:val="20"/>
          <w:color w:val="auto"/>
        </w:rPr>
        <w:t>expand the scope of our current clinical studies for our product candidates;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0"/>
        </w:numPr>
        <w:rPr>
          <w:rFonts w:ascii="Symbol" w:cs="Symbol" w:eastAsia="Symbol" w:hAnsi="Symbol"/>
          <w:sz w:val="20"/>
          <w:szCs w:val="20"/>
          <w:color w:val="auto"/>
        </w:rPr>
      </w:pPr>
      <w:r>
        <w:rPr>
          <w:rFonts w:ascii="Calibri" w:cs="Calibri" w:eastAsia="Calibri" w:hAnsi="Calibri"/>
          <w:sz w:val="20"/>
          <w:szCs w:val="20"/>
          <w:color w:val="auto"/>
        </w:rPr>
        <w:t>advance our programs into more expensive clinical studies;</w:t>
      </w:r>
    </w:p>
    <w:p>
      <w:pPr>
        <w:spacing w:after="0" w:line="119" w:lineRule="exact"/>
        <w:rPr>
          <w:rFonts w:ascii="Symbol" w:cs="Symbol" w:eastAsia="Symbol" w:hAnsi="Symbol"/>
          <w:sz w:val="20"/>
          <w:szCs w:val="20"/>
          <w:color w:val="auto"/>
        </w:rPr>
      </w:pPr>
    </w:p>
    <w:p>
      <w:pPr>
        <w:ind w:left="980" w:hanging="483"/>
        <w:spacing w:after="0" w:line="252" w:lineRule="auto"/>
        <w:tabs>
          <w:tab w:leader="none" w:pos="980" w:val="left"/>
        </w:tabs>
        <w:numPr>
          <w:ilvl w:val="0"/>
          <w:numId w:val="10"/>
        </w:numPr>
        <w:rPr>
          <w:rFonts w:ascii="Symbol" w:cs="Symbol" w:eastAsia="Symbol" w:hAnsi="Symbol"/>
          <w:sz w:val="20"/>
          <w:szCs w:val="20"/>
          <w:color w:val="auto"/>
        </w:rPr>
      </w:pPr>
      <w:r>
        <w:rPr>
          <w:rFonts w:ascii="Calibri" w:cs="Calibri" w:eastAsia="Calibri" w:hAnsi="Calibri"/>
          <w:sz w:val="20"/>
          <w:szCs w:val="20"/>
          <w:color w:val="auto"/>
        </w:rPr>
        <w:t>change or add contract manufacturers, clinical research service providers, testing laboratories, device suppliers, legal service providers or other vendors or suppliers;</w:t>
      </w:r>
    </w:p>
    <w:p>
      <w:pPr>
        <w:spacing w:after="0" w:line="95" w:lineRule="exact"/>
        <w:rPr>
          <w:rFonts w:ascii="Symbol" w:cs="Symbol" w:eastAsia="Symbol" w:hAnsi="Symbol"/>
          <w:sz w:val="20"/>
          <w:szCs w:val="20"/>
          <w:color w:val="auto"/>
        </w:rPr>
      </w:pPr>
    </w:p>
    <w:p>
      <w:pPr>
        <w:ind w:left="980" w:hanging="483"/>
        <w:spacing w:after="0"/>
        <w:tabs>
          <w:tab w:leader="none" w:pos="980" w:val="left"/>
        </w:tabs>
        <w:numPr>
          <w:ilvl w:val="0"/>
          <w:numId w:val="10"/>
        </w:numPr>
        <w:rPr>
          <w:rFonts w:ascii="Symbol" w:cs="Symbol" w:eastAsia="Symbol" w:hAnsi="Symbol"/>
          <w:sz w:val="20"/>
          <w:szCs w:val="20"/>
          <w:color w:val="auto"/>
        </w:rPr>
      </w:pPr>
      <w:r>
        <w:rPr>
          <w:rFonts w:ascii="Calibri" w:cs="Calibri" w:eastAsia="Calibri" w:hAnsi="Calibri"/>
          <w:sz w:val="20"/>
          <w:szCs w:val="20"/>
          <w:color w:val="auto"/>
        </w:rPr>
        <w:t>seek regulatory approvals for our product candidates that successfully complete clinical studies;</w:t>
      </w:r>
    </w:p>
    <w:p>
      <w:pPr>
        <w:spacing w:after="0" w:line="119"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10"/>
        </w:numPr>
        <w:rPr>
          <w:rFonts w:ascii="Symbol" w:cs="Symbol" w:eastAsia="Symbol" w:hAnsi="Symbol"/>
          <w:sz w:val="20"/>
          <w:szCs w:val="20"/>
          <w:color w:val="auto"/>
        </w:rPr>
      </w:pPr>
      <w:r>
        <w:rPr>
          <w:rFonts w:ascii="Calibri" w:cs="Calibri" w:eastAsia="Calibri" w:hAnsi="Calibri"/>
          <w:sz w:val="20"/>
          <w:szCs w:val="20"/>
          <w:color w:val="auto"/>
        </w:rPr>
        <w:t>seek to identify, assess, acquire and/or develop other product candidates or products that may be complementary to our product;</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22</w:t>
      </w:r>
    </w:p>
    <w:p>
      <w:pPr>
        <w:sectPr>
          <w:pgSz w:w="12240" w:h="15840" w:orient="portrait"/>
          <w:cols w:equalWidth="0" w:num="1">
            <w:col w:w="11160"/>
          </w:cols>
          <w:pgMar w:left="540" w:top="531" w:right="540" w:bottom="9" w:gutter="0" w:footer="0" w:header="0"/>
          <w:type w:val="continuous"/>
        </w:sectPr>
      </w:pPr>
    </w:p>
    <w:bookmarkStart w:id="24" w:name="page25"/>
    <w:bookmarkEnd w:id="24"/>
    <w:p>
      <w:pPr>
        <w:ind w:left="980" w:hanging="483"/>
        <w:spacing w:after="0"/>
        <w:tabs>
          <w:tab w:leader="none" w:pos="980" w:val="left"/>
        </w:tabs>
        <w:numPr>
          <w:ilvl w:val="0"/>
          <w:numId w:val="11"/>
        </w:numPr>
        <w:rPr>
          <w:rFonts w:ascii="Symbol" w:cs="Symbol" w:eastAsia="Symbol" w:hAnsi="Symbol"/>
          <w:sz w:val="20"/>
          <w:szCs w:val="20"/>
          <w:color w:val="auto"/>
        </w:rPr>
      </w:pPr>
      <w:r>
        <w:rPr>
          <w:rFonts w:ascii="Calibri" w:cs="Calibri" w:eastAsia="Calibri" w:hAnsi="Calibri"/>
          <w:sz w:val="20"/>
          <w:szCs w:val="20"/>
          <w:color w:val="auto"/>
        </w:rPr>
        <w:t>seek to create, maintain, protect and expand our intellectual property portfolio;</w:t>
      </w:r>
    </w:p>
    <w:p>
      <w:pPr>
        <w:spacing w:after="0" w:line="118"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11"/>
        </w:numPr>
        <w:rPr>
          <w:rFonts w:ascii="Symbol" w:cs="Symbol" w:eastAsia="Symbol" w:hAnsi="Symbol"/>
          <w:sz w:val="20"/>
          <w:szCs w:val="20"/>
          <w:color w:val="auto"/>
        </w:rPr>
      </w:pPr>
      <w:r>
        <w:rPr>
          <w:rFonts w:ascii="Calibri" w:cs="Calibri" w:eastAsia="Calibri" w:hAnsi="Calibri"/>
          <w:sz w:val="20"/>
          <w:szCs w:val="20"/>
          <w:color w:val="auto"/>
        </w:rPr>
        <w:t>engage legal counsel and technical experts to help us evaluate and avoid infringing any valid and enforceable intellectual property rights of third parties;</w:t>
      </w:r>
    </w:p>
    <w:p>
      <w:pPr>
        <w:spacing w:after="0" w:line="98" w:lineRule="exact"/>
        <w:rPr>
          <w:rFonts w:ascii="Symbol" w:cs="Symbol" w:eastAsia="Symbol" w:hAnsi="Symbol"/>
          <w:sz w:val="20"/>
          <w:szCs w:val="20"/>
          <w:color w:val="auto"/>
        </w:rPr>
      </w:pPr>
    </w:p>
    <w:p>
      <w:pPr>
        <w:ind w:left="980" w:hanging="483"/>
        <w:spacing w:after="0"/>
        <w:tabs>
          <w:tab w:leader="none" w:pos="980" w:val="left"/>
        </w:tabs>
        <w:numPr>
          <w:ilvl w:val="0"/>
          <w:numId w:val="11"/>
        </w:numPr>
        <w:rPr>
          <w:rFonts w:ascii="Symbol" w:cs="Symbol" w:eastAsia="Symbol" w:hAnsi="Symbol"/>
          <w:sz w:val="20"/>
          <w:szCs w:val="20"/>
          <w:color w:val="auto"/>
        </w:rPr>
      </w:pPr>
      <w:r>
        <w:rPr>
          <w:rFonts w:ascii="Calibri" w:cs="Calibri" w:eastAsia="Calibri" w:hAnsi="Calibri"/>
          <w:sz w:val="20"/>
          <w:szCs w:val="20"/>
          <w:color w:val="auto"/>
        </w:rPr>
        <w:t>engage in litigation, including patent litigation;</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1"/>
        </w:numPr>
        <w:rPr>
          <w:rFonts w:ascii="Symbol" w:cs="Symbol" w:eastAsia="Symbol" w:hAnsi="Symbol"/>
          <w:sz w:val="20"/>
          <w:szCs w:val="20"/>
          <w:color w:val="auto"/>
        </w:rPr>
      </w:pPr>
      <w:r>
        <w:rPr>
          <w:rFonts w:ascii="Calibri" w:cs="Calibri" w:eastAsia="Calibri" w:hAnsi="Calibri"/>
          <w:sz w:val="20"/>
          <w:szCs w:val="20"/>
          <w:color w:val="auto"/>
        </w:rPr>
        <w:t>seek to attract and retain skilled personnel;</w:t>
      </w:r>
    </w:p>
    <w:p>
      <w:pPr>
        <w:spacing w:after="0" w:line="119"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11"/>
        </w:numPr>
        <w:rPr>
          <w:rFonts w:ascii="Symbol" w:cs="Symbol" w:eastAsia="Symbol" w:hAnsi="Symbol"/>
          <w:sz w:val="20"/>
          <w:szCs w:val="20"/>
          <w:color w:val="auto"/>
        </w:rPr>
      </w:pPr>
      <w:r>
        <w:rPr>
          <w:rFonts w:ascii="Calibri" w:cs="Calibri" w:eastAsia="Calibri" w:hAnsi="Calibri"/>
          <w:sz w:val="20"/>
          <w:szCs w:val="20"/>
          <w:color w:val="auto"/>
        </w:rPr>
        <w:t>create additional infrastructure to support our operations as a public company and our product development and planned future commercialization efforts; and</w:t>
      </w:r>
    </w:p>
    <w:p>
      <w:pPr>
        <w:spacing w:after="0" w:line="96" w:lineRule="exact"/>
        <w:rPr>
          <w:rFonts w:ascii="Symbol" w:cs="Symbol" w:eastAsia="Symbol" w:hAnsi="Symbol"/>
          <w:sz w:val="20"/>
          <w:szCs w:val="20"/>
          <w:color w:val="auto"/>
        </w:rPr>
      </w:pPr>
    </w:p>
    <w:p>
      <w:pPr>
        <w:jc w:val="both"/>
        <w:ind w:left="980" w:hanging="483"/>
        <w:spacing w:after="0" w:line="246" w:lineRule="auto"/>
        <w:tabs>
          <w:tab w:leader="none" w:pos="980" w:val="left"/>
        </w:tabs>
        <w:numPr>
          <w:ilvl w:val="0"/>
          <w:numId w:val="11"/>
        </w:numPr>
        <w:rPr>
          <w:rFonts w:ascii="Symbol" w:cs="Symbol" w:eastAsia="Symbol" w:hAnsi="Symbol"/>
          <w:sz w:val="20"/>
          <w:szCs w:val="20"/>
          <w:color w:val="auto"/>
        </w:rPr>
      </w:pPr>
      <w:r>
        <w:rPr>
          <w:rFonts w:ascii="Calibri" w:cs="Calibri" w:eastAsia="Calibri" w:hAnsi="Calibri"/>
          <w:sz w:val="20"/>
          <w:szCs w:val="20"/>
          <w:color w:val="auto"/>
        </w:rPr>
        <w:t>experience any delays or encounter issues with any of the above, including but not limited to failed studies, conflicting results, safety issues, manufacturing delays, litigation or regulatory challenges that may require longer follow-up of existing studies, additional major studies or additional supportive studies or analyses in order to pursue marketing approval.</w:t>
      </w:r>
    </w:p>
    <w:p>
      <w:pPr>
        <w:spacing w:after="0" w:line="212" w:lineRule="exact"/>
        <w:rPr>
          <w:sz w:val="20"/>
          <w:szCs w:val="20"/>
          <w:color w:val="auto"/>
        </w:rPr>
      </w:pPr>
    </w:p>
    <w:p>
      <w:pPr>
        <w:jc w:val="both"/>
        <w:ind w:firstLine="490"/>
        <w:spacing w:after="0" w:line="244" w:lineRule="auto"/>
        <w:rPr>
          <w:sz w:val="20"/>
          <w:szCs w:val="20"/>
          <w:color w:val="auto"/>
        </w:rPr>
      </w:pPr>
      <w:r>
        <w:rPr>
          <w:rFonts w:ascii="Calibri" w:cs="Calibri" w:eastAsia="Calibri" w:hAnsi="Calibri"/>
          <w:sz w:val="20"/>
          <w:szCs w:val="20"/>
          <w:color w:val="auto"/>
        </w:rPr>
        <w:t>In addition, the UDENYCA Sale closed on the UDENYCA Closing Date, which may make it more difficult or make it take more time for us to become profitable at any point in the future. UDENYCA was our largest product that contributed significantly more revenue to our business than LOQTORZI currently. LOQTORZI may not increase its revenue contribution to our business as quickly as we project or at all and our clinical trials for our product candidates may be delayed, may be unsuccessful or may take more time and expense to complete than we currently anticipate. The inherent risk involved in divesting a major business could make it difficult for us to replace the revenue lost by the UDENYCA Sale or by becoming profitable in the future.</w:t>
      </w:r>
    </w:p>
    <w:p>
      <w:pPr>
        <w:spacing w:after="0" w:line="215" w:lineRule="exact"/>
        <w:rPr>
          <w:sz w:val="20"/>
          <w:szCs w:val="20"/>
          <w:color w:val="auto"/>
        </w:rPr>
      </w:pPr>
    </w:p>
    <w:p>
      <w:pPr>
        <w:jc w:val="both"/>
        <w:ind w:firstLine="490"/>
        <w:spacing w:after="0" w:line="245" w:lineRule="auto"/>
        <w:rPr>
          <w:sz w:val="20"/>
          <w:szCs w:val="20"/>
          <w:color w:val="auto"/>
        </w:rPr>
      </w:pPr>
      <w:r>
        <w:rPr>
          <w:rFonts w:ascii="Calibri" w:cs="Calibri" w:eastAsia="Calibri" w:hAnsi="Calibri"/>
          <w:sz w:val="20"/>
          <w:szCs w:val="20"/>
          <w:color w:val="auto"/>
        </w:rPr>
        <w:t>Further, the net loss or net income we achieve may fluctuate significantly from quarter-to-quarter and year-to-year such that a period-to-period comparison of our results of operations may not be a good indication of our future performance quarter-to-quarter and year-to-year due to factors including the timing of clinical trials, any litigation that we may initiate or that may be initiated against us as well as any settlements or judgments from such litigation, the execution of collaboration, licensing or other agreements and the timing of any payments we make or receive thereunder.</w:t>
      </w:r>
    </w:p>
    <w:p>
      <w:pPr>
        <w:spacing w:after="0" w:line="213" w:lineRule="exact"/>
        <w:rPr>
          <w:sz w:val="20"/>
          <w:szCs w:val="20"/>
          <w:color w:val="auto"/>
        </w:rPr>
      </w:pPr>
    </w:p>
    <w:p>
      <w:pPr>
        <w:jc w:val="both"/>
        <w:spacing w:after="0" w:line="250" w:lineRule="auto"/>
        <w:rPr>
          <w:sz w:val="20"/>
          <w:szCs w:val="20"/>
          <w:color w:val="auto"/>
        </w:rPr>
      </w:pPr>
      <w:r>
        <w:rPr>
          <w:rFonts w:ascii="Calibri" w:cs="Calibri" w:eastAsia="Calibri" w:hAnsi="Calibri"/>
          <w:sz w:val="20"/>
          <w:szCs w:val="20"/>
          <w:b w:val="1"/>
          <w:bCs w:val="1"/>
          <w:i w:val="1"/>
          <w:iCs w:val="1"/>
          <w:color w:val="auto"/>
        </w:rPr>
        <w:t>We continue to be dependent on the ability to raise funds. This additional funding may not be available on acceptable terms or at all. Failure to obtain this necessary capital when needed may force us to delay, limit or terminate our product development and commercialization efforts or other operations.</w:t>
      </w:r>
    </w:p>
    <w:p>
      <w:pPr>
        <w:spacing w:after="0" w:line="211" w:lineRule="exact"/>
        <w:rPr>
          <w:sz w:val="20"/>
          <w:szCs w:val="20"/>
          <w:color w:val="auto"/>
        </w:rPr>
      </w:pPr>
    </w:p>
    <w:p>
      <w:pPr>
        <w:jc w:val="both"/>
        <w:ind w:firstLine="490"/>
        <w:spacing w:after="0" w:line="244" w:lineRule="auto"/>
        <w:rPr>
          <w:sz w:val="20"/>
          <w:szCs w:val="20"/>
          <w:color w:val="auto"/>
        </w:rPr>
      </w:pPr>
      <w:r>
        <w:rPr>
          <w:rFonts w:ascii="Calibri" w:cs="Calibri" w:eastAsia="Calibri" w:hAnsi="Calibri"/>
          <w:sz w:val="20"/>
          <w:szCs w:val="20"/>
          <w:color w:val="auto"/>
        </w:rPr>
        <w:t>As of December 31, 2025, our cash, cash equivalents and marketable securities were $172.1 million. In February 2026, we received approximately $47.0 million in net proceeds from a public offering of our common stock after deducting the underwriters’ discounts and commissions but before estimated offering expenses payable by us. We expect that our existing cash and cash equivalents, investments, cash collected from our product sales and cash proceeds from the UDENYCA Sale will be sufficient to fund our current operations for the foreseeable future. We have financed our operations primarily through the sale of equity securities, convertible notes, credit facilities, divestitures, license agreements and through recent product sales of our product.</w:t>
      </w:r>
    </w:p>
    <w:p>
      <w:pPr>
        <w:spacing w:after="0" w:line="216" w:lineRule="exact"/>
        <w:rPr>
          <w:sz w:val="20"/>
          <w:szCs w:val="20"/>
          <w:color w:val="auto"/>
        </w:rPr>
      </w:pPr>
    </w:p>
    <w:p>
      <w:pPr>
        <w:jc w:val="both"/>
        <w:ind w:firstLine="490"/>
        <w:spacing w:after="0" w:line="250" w:lineRule="auto"/>
        <w:rPr>
          <w:sz w:val="20"/>
          <w:szCs w:val="20"/>
          <w:color w:val="auto"/>
        </w:rPr>
      </w:pPr>
      <w:r>
        <w:rPr>
          <w:rFonts w:ascii="Calibri" w:cs="Calibri" w:eastAsia="Calibri" w:hAnsi="Calibri"/>
          <w:sz w:val="20"/>
          <w:szCs w:val="20"/>
          <w:color w:val="auto"/>
        </w:rPr>
        <w:t>However, our operating or investing plans may change as a result of many factors that may currently be unknown to us, and we may need to seek additional funds sooner than planned. Our future funding requirements will depend on many factors, including but not limited to:</w:t>
      </w:r>
    </w:p>
    <w:p>
      <w:pPr>
        <w:spacing w:after="0" w:line="101" w:lineRule="exact"/>
        <w:rPr>
          <w:sz w:val="20"/>
          <w:szCs w:val="20"/>
          <w:color w:val="auto"/>
        </w:rPr>
      </w:pPr>
    </w:p>
    <w:p>
      <w:pPr>
        <w:ind w:left="980" w:hanging="483"/>
        <w:spacing w:after="0"/>
        <w:tabs>
          <w:tab w:leader="none" w:pos="980" w:val="left"/>
        </w:tabs>
        <w:numPr>
          <w:ilvl w:val="0"/>
          <w:numId w:val="12"/>
        </w:numPr>
        <w:rPr>
          <w:rFonts w:ascii="Symbol" w:cs="Symbol" w:eastAsia="Symbol" w:hAnsi="Symbol"/>
          <w:sz w:val="20"/>
          <w:szCs w:val="20"/>
          <w:color w:val="auto"/>
        </w:rPr>
      </w:pPr>
      <w:r>
        <w:rPr>
          <w:rFonts w:ascii="Calibri" w:cs="Calibri" w:eastAsia="Calibri" w:hAnsi="Calibri"/>
          <w:sz w:val="20"/>
          <w:szCs w:val="20"/>
          <w:color w:val="auto"/>
        </w:rPr>
        <w:t>our ability to continue to successfully commercialize our product;</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2"/>
        </w:numPr>
        <w:rPr>
          <w:rFonts w:ascii="Symbol" w:cs="Symbol" w:eastAsia="Symbol" w:hAnsi="Symbol"/>
          <w:sz w:val="20"/>
          <w:szCs w:val="20"/>
          <w:color w:val="auto"/>
        </w:rPr>
      </w:pPr>
      <w:r>
        <w:rPr>
          <w:rFonts w:ascii="Calibri" w:cs="Calibri" w:eastAsia="Calibri" w:hAnsi="Calibri"/>
          <w:sz w:val="20"/>
          <w:szCs w:val="20"/>
          <w:color w:val="auto"/>
        </w:rPr>
        <w:t>our ability to maintain continuity for the supply of our product and product candidates;</w:t>
      </w:r>
    </w:p>
    <w:p>
      <w:pPr>
        <w:spacing w:after="0" w:line="120" w:lineRule="exact"/>
        <w:rPr>
          <w:rFonts w:ascii="Symbol" w:cs="Symbol" w:eastAsia="Symbol" w:hAnsi="Symbol"/>
          <w:sz w:val="20"/>
          <w:szCs w:val="20"/>
          <w:color w:val="auto"/>
        </w:rPr>
      </w:pPr>
    </w:p>
    <w:p>
      <w:pPr>
        <w:ind w:left="980" w:hanging="483"/>
        <w:spacing w:after="0"/>
        <w:tabs>
          <w:tab w:leader="none" w:pos="980" w:val="left"/>
        </w:tabs>
        <w:numPr>
          <w:ilvl w:val="0"/>
          <w:numId w:val="12"/>
        </w:numPr>
        <w:rPr>
          <w:rFonts w:ascii="Symbol" w:cs="Symbol" w:eastAsia="Symbol" w:hAnsi="Symbol"/>
          <w:sz w:val="20"/>
          <w:szCs w:val="20"/>
          <w:color w:val="auto"/>
        </w:rPr>
      </w:pPr>
      <w:r>
        <w:rPr>
          <w:rFonts w:ascii="Calibri" w:cs="Calibri" w:eastAsia="Calibri" w:hAnsi="Calibri"/>
          <w:sz w:val="20"/>
          <w:szCs w:val="20"/>
          <w:color w:val="auto"/>
        </w:rPr>
        <w:t>the scope, rate of progress, results and cost of any clinical studies, nonclinical testing and other related activities;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2"/>
        </w:numPr>
        <w:rPr>
          <w:rFonts w:ascii="Symbol" w:cs="Symbol" w:eastAsia="Symbol" w:hAnsi="Symbol"/>
          <w:sz w:val="20"/>
          <w:szCs w:val="20"/>
          <w:color w:val="auto"/>
        </w:rPr>
      </w:pPr>
      <w:r>
        <w:rPr>
          <w:rFonts w:ascii="Calibri" w:cs="Calibri" w:eastAsia="Calibri" w:hAnsi="Calibri"/>
          <w:sz w:val="20"/>
          <w:szCs w:val="20"/>
          <w:color w:val="auto"/>
        </w:rPr>
        <w:t>the cost of manufacturing clinical drug supplies and establishing commercial supplies of our product and product candidates;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2"/>
        </w:numPr>
        <w:rPr>
          <w:rFonts w:ascii="Symbol" w:cs="Symbol" w:eastAsia="Symbol" w:hAnsi="Symbol"/>
          <w:sz w:val="20"/>
          <w:szCs w:val="20"/>
          <w:color w:val="auto"/>
        </w:rPr>
      </w:pPr>
      <w:r>
        <w:rPr>
          <w:rFonts w:ascii="Calibri" w:cs="Calibri" w:eastAsia="Calibri" w:hAnsi="Calibri"/>
          <w:sz w:val="20"/>
          <w:szCs w:val="20"/>
          <w:color w:val="auto"/>
        </w:rPr>
        <w:t>the number and characteristics of product candidates that we pursue;</w:t>
      </w:r>
    </w:p>
    <w:p>
      <w:pPr>
        <w:spacing w:after="0" w:line="120" w:lineRule="exact"/>
        <w:rPr>
          <w:rFonts w:ascii="Symbol" w:cs="Symbol" w:eastAsia="Symbol" w:hAnsi="Symbol"/>
          <w:sz w:val="20"/>
          <w:szCs w:val="20"/>
          <w:color w:val="auto"/>
        </w:rPr>
      </w:pPr>
    </w:p>
    <w:p>
      <w:pPr>
        <w:ind w:left="980" w:hanging="483"/>
        <w:spacing w:after="0"/>
        <w:tabs>
          <w:tab w:leader="none" w:pos="980" w:val="left"/>
        </w:tabs>
        <w:numPr>
          <w:ilvl w:val="0"/>
          <w:numId w:val="12"/>
        </w:numPr>
        <w:rPr>
          <w:rFonts w:ascii="Symbol" w:cs="Symbol" w:eastAsia="Symbol" w:hAnsi="Symbol"/>
          <w:sz w:val="20"/>
          <w:szCs w:val="20"/>
          <w:color w:val="auto"/>
        </w:rPr>
      </w:pPr>
      <w:r>
        <w:rPr>
          <w:rFonts w:ascii="Calibri" w:cs="Calibri" w:eastAsia="Calibri" w:hAnsi="Calibri"/>
          <w:sz w:val="20"/>
          <w:szCs w:val="20"/>
          <w:color w:val="auto"/>
        </w:rPr>
        <w:t>the cost, timing and outcomes of regulatory approvals;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2"/>
        </w:numPr>
        <w:rPr>
          <w:rFonts w:ascii="Symbol" w:cs="Symbol" w:eastAsia="Symbol" w:hAnsi="Symbol"/>
          <w:sz w:val="20"/>
          <w:szCs w:val="20"/>
          <w:color w:val="auto"/>
        </w:rPr>
      </w:pPr>
      <w:r>
        <w:rPr>
          <w:rFonts w:ascii="Calibri" w:cs="Calibri" w:eastAsia="Calibri" w:hAnsi="Calibri"/>
          <w:sz w:val="20"/>
          <w:szCs w:val="20"/>
          <w:color w:val="auto"/>
        </w:rPr>
        <w:t>our ability to receive either of the Earnout Payments (as defined below) in the future;</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2"/>
        </w:numPr>
        <w:rPr>
          <w:rFonts w:ascii="Symbol" w:cs="Symbol" w:eastAsia="Symbol" w:hAnsi="Symbol"/>
          <w:sz w:val="20"/>
          <w:szCs w:val="20"/>
          <w:color w:val="auto"/>
        </w:rPr>
      </w:pPr>
      <w:r>
        <w:rPr>
          <w:rFonts w:ascii="Calibri" w:cs="Calibri" w:eastAsia="Calibri" w:hAnsi="Calibri"/>
          <w:sz w:val="20"/>
          <w:szCs w:val="20"/>
          <w:color w:val="auto"/>
        </w:rPr>
        <w:t>the cost and timing of establishing sales, marketing and distribution capabilities;</w:t>
      </w:r>
    </w:p>
    <w:p>
      <w:pPr>
        <w:sectPr>
          <w:pgSz w:w="12240" w:h="15840" w:orient="portrait"/>
          <w:cols w:equalWidth="0" w:num="1">
            <w:col w:w="11160"/>
          </w:cols>
          <w:pgMar w:left="540" w:top="544"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23</w:t>
      </w:r>
    </w:p>
    <w:p>
      <w:pPr>
        <w:sectPr>
          <w:pgSz w:w="12240" w:h="15840" w:orient="portrait"/>
          <w:cols w:equalWidth="0" w:num="1">
            <w:col w:w="11160"/>
          </w:cols>
          <w:pgMar w:left="540" w:top="544" w:right="540" w:bottom="9" w:gutter="0" w:footer="0" w:header="0"/>
          <w:type w:val="continuous"/>
        </w:sectPr>
      </w:pPr>
    </w:p>
    <w:bookmarkStart w:id="25" w:name="page26"/>
    <w:bookmarkEnd w:id="25"/>
    <w:p>
      <w:pPr>
        <w:ind w:left="980" w:hanging="483"/>
        <w:spacing w:after="0" w:line="251" w:lineRule="auto"/>
        <w:tabs>
          <w:tab w:leader="none" w:pos="980" w:val="left"/>
        </w:tabs>
        <w:numPr>
          <w:ilvl w:val="0"/>
          <w:numId w:val="13"/>
        </w:numPr>
        <w:rPr>
          <w:rFonts w:ascii="Symbol" w:cs="Symbol" w:eastAsia="Symbol" w:hAnsi="Symbol"/>
          <w:sz w:val="20"/>
          <w:szCs w:val="20"/>
          <w:color w:val="auto"/>
        </w:rPr>
      </w:pPr>
      <w:r>
        <w:rPr>
          <w:rFonts w:ascii="Calibri" w:cs="Calibri" w:eastAsia="Calibri" w:hAnsi="Calibri"/>
          <w:sz w:val="20"/>
          <w:szCs w:val="20"/>
          <w:color w:val="auto"/>
        </w:rPr>
        <w:t>the terms and timing of any licensing or other arrangements to acquire intellectual property rights that we may establish, including any milestone and royalty payments thereunder;</w:t>
      </w:r>
    </w:p>
    <w:p>
      <w:pPr>
        <w:spacing w:after="0" w:line="97"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13"/>
        </w:numPr>
        <w:rPr>
          <w:rFonts w:ascii="Symbol" w:cs="Symbol" w:eastAsia="Symbol" w:hAnsi="Symbol"/>
          <w:sz w:val="20"/>
          <w:szCs w:val="20"/>
          <w:color w:val="auto"/>
        </w:rPr>
      </w:pPr>
      <w:r>
        <w:rPr>
          <w:rFonts w:ascii="Calibri" w:cs="Calibri" w:eastAsia="Calibri" w:hAnsi="Calibri"/>
          <w:sz w:val="20"/>
          <w:szCs w:val="20"/>
          <w:color w:val="auto"/>
        </w:rPr>
        <w:t>the timing of repayment in cash, whether due or not, of our long-term debt and the payment of interest, principal and royalties related to our financial liabilities; and</w:t>
      </w:r>
    </w:p>
    <w:p>
      <w:pPr>
        <w:spacing w:after="0" w:line="96" w:lineRule="exact"/>
        <w:rPr>
          <w:rFonts w:ascii="Symbol" w:cs="Symbol" w:eastAsia="Symbol" w:hAnsi="Symbol"/>
          <w:sz w:val="20"/>
          <w:szCs w:val="20"/>
          <w:color w:val="auto"/>
        </w:rPr>
      </w:pPr>
    </w:p>
    <w:p>
      <w:pPr>
        <w:ind w:left="980" w:hanging="483"/>
        <w:spacing w:after="0" w:line="253" w:lineRule="auto"/>
        <w:tabs>
          <w:tab w:leader="none" w:pos="980" w:val="left"/>
        </w:tabs>
        <w:numPr>
          <w:ilvl w:val="0"/>
          <w:numId w:val="13"/>
        </w:numPr>
        <w:rPr>
          <w:rFonts w:ascii="Symbol" w:cs="Symbol" w:eastAsia="Symbol" w:hAnsi="Symbol"/>
          <w:sz w:val="20"/>
          <w:szCs w:val="20"/>
          <w:color w:val="auto"/>
        </w:rPr>
      </w:pPr>
      <w:r>
        <w:rPr>
          <w:rFonts w:ascii="Calibri" w:cs="Calibri" w:eastAsia="Calibri" w:hAnsi="Calibri"/>
          <w:sz w:val="20"/>
          <w:szCs w:val="20"/>
          <w:color w:val="auto"/>
        </w:rPr>
        <w:t>the cost, timing and outcomes of any litigation that we may file against third parties or that may be filed against us by third parties.</w:t>
      </w:r>
    </w:p>
    <w:p>
      <w:pPr>
        <w:spacing w:after="0" w:line="202" w:lineRule="exact"/>
        <w:rPr>
          <w:sz w:val="20"/>
          <w:szCs w:val="20"/>
          <w:color w:val="auto"/>
        </w:rPr>
      </w:pPr>
    </w:p>
    <w:p>
      <w:pPr>
        <w:jc w:val="both"/>
        <w:ind w:firstLine="490"/>
        <w:spacing w:after="0" w:line="255" w:lineRule="auto"/>
        <w:rPr>
          <w:sz w:val="20"/>
          <w:szCs w:val="20"/>
          <w:color w:val="auto"/>
        </w:rPr>
      </w:pPr>
      <w:r>
        <w:rPr>
          <w:rFonts w:ascii="Calibri" w:cs="Calibri" w:eastAsia="Calibri" w:hAnsi="Calibri"/>
          <w:sz w:val="19"/>
          <w:szCs w:val="19"/>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such as the sales from time to time through our Sales Agreement with TD Cowen (the “Sales Agreement”) pursuant to which we may issue and sell from time to time up to an additional approximately $64.9 million of our common stock, through or to TD Cowen as our sales agent or principal in an ATM offering, may dilute the share ownership of our existing stockholders. The incurrence of indebtedness could result in increased fixed payment obligations and we may be required to agree to certain restrictive covenants, such as those contained in the 2029 Loan Agreement, including limitations on our ability to incur additional debt, limitations on our ability to acquire, sell or license intellectual property rights and other operating restrictions that could adversely impact our ability to conduct our business such as a financial covenant which requires us to maintain certain levels of cash and cash equivalents. We could also be required to seek funds through arrangements with collaborative partners or otherwise at an earlier stage or for a lower price than otherwise would be desirable and we may be required to relinquish rights to some of our technologies or product candidates or otherwise agree to terms unfavorable to us, any of which may have a material adverse effect on our business, operating results and prospects. Even if we believe we have sufficient funds for our current or future operating plans, we may seek additional capital if market conditions are favorable or for specific strategic considerations.</w:t>
      </w:r>
    </w:p>
    <w:p>
      <w:pPr>
        <w:spacing w:after="0" w:line="203"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If we are unable to obtain funding on a timely basis or at all, stay profitable or generate any net profits, we may be required to significantly curtail, delay or discontinue one or more of our research or development programs or the commercialization of any product or product candidates or be unable to expand our operations or otherwise capitalize on our business opportunities, as desired, which could materially affect our financial condition and results of operations.</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Risks Related to Launch and Commercialization of our Product and our Product Candidates</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We have a limited operating history in an emerging regulatory environment on which to assess our business.</w:t>
      </w:r>
    </w:p>
    <w:p>
      <w:pPr>
        <w:spacing w:after="0" w:line="240"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We are a commercial-stage innovative oncology company with a limited operating history in an emerging regulatory environment of immuno-oncology products. Although we have received upfront payments, milestone and other contingent payments and/or funding for development from some of our collaboration and license agreements, our only approved product is LOQTORZI, which is approved for commercial sale in the United States, and we have no products approved in any other territories.</w:t>
      </w:r>
    </w:p>
    <w:p>
      <w:pPr>
        <w:spacing w:after="0" w:line="212"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Our ability to generate meaningful revenue and remain profitable depends on our ability, alone or with strategic collaboration partners, to successfully market and sell our product, and to complete the development of, and obtain the regulatory approvals necessary to commercialize, one or more of our product pipeline candidates, which include:</w:t>
      </w:r>
    </w:p>
    <w:p>
      <w:pPr>
        <w:spacing w:after="0" w:line="98" w:lineRule="exact"/>
        <w:rPr>
          <w:sz w:val="20"/>
          <w:szCs w:val="20"/>
          <w:color w:val="auto"/>
        </w:rPr>
      </w:pPr>
    </w:p>
    <w:p>
      <w:pPr>
        <w:ind w:left="980" w:hanging="483"/>
        <w:spacing w:after="0"/>
        <w:tabs>
          <w:tab w:leader="none" w:pos="980" w:val="left"/>
        </w:tabs>
        <w:numPr>
          <w:ilvl w:val="0"/>
          <w:numId w:val="14"/>
        </w:numPr>
        <w:rPr>
          <w:rFonts w:ascii="Symbol" w:cs="Symbol" w:eastAsia="Symbol" w:hAnsi="Symbol"/>
          <w:sz w:val="20"/>
          <w:szCs w:val="20"/>
          <w:color w:val="auto"/>
        </w:rPr>
      </w:pPr>
      <w:r>
        <w:rPr>
          <w:rFonts w:ascii="Calibri" w:cs="Calibri" w:eastAsia="Calibri" w:hAnsi="Calibri"/>
          <w:sz w:val="20"/>
          <w:szCs w:val="20"/>
          <w:color w:val="auto"/>
        </w:rPr>
        <w:t>casdozokitug;</w:t>
      </w:r>
    </w:p>
    <w:p>
      <w:pPr>
        <w:spacing w:after="0" w:line="120" w:lineRule="exact"/>
        <w:rPr>
          <w:rFonts w:ascii="Symbol" w:cs="Symbol" w:eastAsia="Symbol" w:hAnsi="Symbol"/>
          <w:sz w:val="20"/>
          <w:szCs w:val="20"/>
          <w:color w:val="auto"/>
        </w:rPr>
      </w:pPr>
    </w:p>
    <w:p>
      <w:pPr>
        <w:ind w:left="980" w:hanging="483"/>
        <w:spacing w:after="0"/>
        <w:tabs>
          <w:tab w:leader="none" w:pos="980" w:val="left"/>
        </w:tabs>
        <w:numPr>
          <w:ilvl w:val="0"/>
          <w:numId w:val="14"/>
        </w:numPr>
        <w:rPr>
          <w:rFonts w:ascii="Symbol" w:cs="Symbol" w:eastAsia="Symbol" w:hAnsi="Symbol"/>
          <w:sz w:val="20"/>
          <w:szCs w:val="20"/>
          <w:color w:val="auto"/>
        </w:rPr>
      </w:pPr>
      <w:r>
        <w:rPr>
          <w:rFonts w:ascii="Calibri" w:cs="Calibri" w:eastAsia="Calibri" w:hAnsi="Calibri"/>
          <w:sz w:val="20"/>
          <w:szCs w:val="20"/>
          <w:color w:val="auto"/>
        </w:rPr>
        <w:t>tagmokitug; and</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4"/>
        </w:numPr>
        <w:rPr>
          <w:rFonts w:ascii="Symbol" w:cs="Symbol" w:eastAsia="Symbol" w:hAnsi="Symbol"/>
          <w:sz w:val="20"/>
          <w:szCs w:val="20"/>
          <w:color w:val="auto"/>
        </w:rPr>
      </w:pPr>
      <w:r>
        <w:rPr>
          <w:rFonts w:ascii="Calibri" w:cs="Calibri" w:eastAsia="Calibri" w:hAnsi="Calibri"/>
          <w:sz w:val="20"/>
          <w:szCs w:val="20"/>
          <w:color w:val="auto"/>
        </w:rPr>
        <w:t>toripalimab in non-NPC indications.</w:t>
      </w:r>
    </w:p>
    <w:p>
      <w:pPr>
        <w:spacing w:after="0" w:line="228" w:lineRule="exact"/>
        <w:rPr>
          <w:sz w:val="20"/>
          <w:szCs w:val="20"/>
          <w:color w:val="auto"/>
        </w:rPr>
      </w:pPr>
    </w:p>
    <w:p>
      <w:pPr>
        <w:ind w:firstLine="490"/>
        <w:spacing w:after="0" w:line="263" w:lineRule="auto"/>
        <w:rPr>
          <w:sz w:val="20"/>
          <w:szCs w:val="20"/>
          <w:color w:val="auto"/>
        </w:rPr>
      </w:pPr>
      <w:r>
        <w:rPr>
          <w:rFonts w:ascii="Calibri" w:cs="Calibri" w:eastAsia="Calibri" w:hAnsi="Calibri"/>
          <w:sz w:val="20"/>
          <w:szCs w:val="20"/>
          <w:color w:val="auto"/>
        </w:rPr>
        <w:t>We may not be able to continue to generate meaningful revenue from product sales, as this depends heavily on our success in many areas, including but not limited to:</w:t>
      </w:r>
    </w:p>
    <w:p>
      <w:pPr>
        <w:spacing w:after="0" w:line="85" w:lineRule="exact"/>
        <w:rPr>
          <w:sz w:val="20"/>
          <w:szCs w:val="20"/>
          <w:color w:val="auto"/>
        </w:rPr>
      </w:pPr>
    </w:p>
    <w:p>
      <w:pPr>
        <w:ind w:left="980" w:hanging="483"/>
        <w:spacing w:after="0"/>
        <w:tabs>
          <w:tab w:leader="none" w:pos="980" w:val="left"/>
        </w:tabs>
        <w:numPr>
          <w:ilvl w:val="0"/>
          <w:numId w:val="15"/>
        </w:numPr>
        <w:rPr>
          <w:rFonts w:ascii="Symbol" w:cs="Symbol" w:eastAsia="Symbol" w:hAnsi="Symbol"/>
          <w:sz w:val="20"/>
          <w:szCs w:val="20"/>
          <w:color w:val="auto"/>
        </w:rPr>
      </w:pPr>
      <w:r>
        <w:rPr>
          <w:rFonts w:ascii="Calibri" w:cs="Calibri" w:eastAsia="Calibri" w:hAnsi="Calibri"/>
          <w:sz w:val="20"/>
          <w:szCs w:val="20"/>
          <w:color w:val="auto"/>
        </w:rPr>
        <w:t>our ability to continue to successfully commercialize LOQTORZI;</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5"/>
        </w:numPr>
        <w:rPr>
          <w:rFonts w:ascii="Symbol" w:cs="Symbol" w:eastAsia="Symbol" w:hAnsi="Symbol"/>
          <w:sz w:val="20"/>
          <w:szCs w:val="20"/>
          <w:color w:val="auto"/>
        </w:rPr>
      </w:pPr>
      <w:r>
        <w:rPr>
          <w:rFonts w:ascii="Calibri" w:cs="Calibri" w:eastAsia="Calibri" w:hAnsi="Calibri"/>
          <w:sz w:val="20"/>
          <w:szCs w:val="20"/>
          <w:color w:val="auto"/>
        </w:rPr>
        <w:t>healthcare providers, payers, and patients adopting our product and product candidates once approved and launched;</w:t>
      </w:r>
    </w:p>
    <w:p>
      <w:pPr>
        <w:spacing w:after="0" w:line="120" w:lineRule="exact"/>
        <w:rPr>
          <w:rFonts w:ascii="Symbol" w:cs="Symbol" w:eastAsia="Symbol" w:hAnsi="Symbol"/>
          <w:sz w:val="20"/>
          <w:szCs w:val="20"/>
          <w:color w:val="auto"/>
        </w:rPr>
      </w:pPr>
    </w:p>
    <w:p>
      <w:pPr>
        <w:ind w:left="980" w:hanging="483"/>
        <w:spacing w:after="0"/>
        <w:tabs>
          <w:tab w:leader="none" w:pos="980" w:val="left"/>
        </w:tabs>
        <w:numPr>
          <w:ilvl w:val="0"/>
          <w:numId w:val="15"/>
        </w:numPr>
        <w:rPr>
          <w:rFonts w:ascii="Symbol" w:cs="Symbol" w:eastAsia="Symbol" w:hAnsi="Symbol"/>
          <w:sz w:val="20"/>
          <w:szCs w:val="20"/>
          <w:color w:val="auto"/>
        </w:rPr>
      </w:pPr>
      <w:r>
        <w:rPr>
          <w:rFonts w:ascii="Calibri" w:cs="Calibri" w:eastAsia="Calibri" w:hAnsi="Calibri"/>
          <w:sz w:val="20"/>
          <w:szCs w:val="20"/>
          <w:color w:val="auto"/>
        </w:rPr>
        <w:t>obtaining additional regulatory approvals for product candidates for which we complete clinical studies;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5"/>
        </w:numPr>
        <w:rPr>
          <w:rFonts w:ascii="Symbol" w:cs="Symbol" w:eastAsia="Symbol" w:hAnsi="Symbol"/>
          <w:sz w:val="20"/>
          <w:szCs w:val="20"/>
          <w:color w:val="auto"/>
        </w:rPr>
      </w:pPr>
      <w:r>
        <w:rPr>
          <w:rFonts w:ascii="Calibri" w:cs="Calibri" w:eastAsia="Calibri" w:hAnsi="Calibri"/>
          <w:sz w:val="20"/>
          <w:szCs w:val="20"/>
          <w:color w:val="auto"/>
        </w:rPr>
        <w:t>obtaining adequate third-party coverage and reimbursements for our product;</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5"/>
        </w:numPr>
        <w:rPr>
          <w:rFonts w:ascii="Symbol" w:cs="Symbol" w:eastAsia="Symbol" w:hAnsi="Symbol"/>
          <w:sz w:val="20"/>
          <w:szCs w:val="20"/>
          <w:color w:val="auto"/>
        </w:rPr>
      </w:pPr>
      <w:r>
        <w:rPr>
          <w:rFonts w:ascii="Calibri" w:cs="Calibri" w:eastAsia="Calibri" w:hAnsi="Calibri"/>
          <w:sz w:val="20"/>
          <w:szCs w:val="20"/>
          <w:color w:val="auto"/>
        </w:rPr>
        <w:t>obtaining market acceptance of our product and product candidates as viable treatment options;</w:t>
      </w:r>
    </w:p>
    <w:p>
      <w:pPr>
        <w:sectPr>
          <w:pgSz w:w="12240" w:h="15840" w:orient="portrait"/>
          <w:cols w:equalWidth="0" w:num="1">
            <w:col w:w="11160"/>
          </w:cols>
          <w:pgMar w:left="540" w:top="543" w:right="540" w:bottom="9"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24</w:t>
      </w:r>
    </w:p>
    <w:p>
      <w:pPr>
        <w:sectPr>
          <w:pgSz w:w="12240" w:h="15840" w:orient="portrait"/>
          <w:cols w:equalWidth="0" w:num="1">
            <w:col w:w="11160"/>
          </w:cols>
          <w:pgMar w:left="540" w:top="543" w:right="540" w:bottom="9" w:gutter="0" w:footer="0" w:header="0"/>
          <w:type w:val="continuous"/>
        </w:sectPr>
      </w:pPr>
    </w:p>
    <w:bookmarkStart w:id="26" w:name="page27"/>
    <w:bookmarkEnd w:id="26"/>
    <w:p>
      <w:pPr>
        <w:ind w:left="980" w:hanging="483"/>
        <w:spacing w:after="0"/>
        <w:tabs>
          <w:tab w:leader="none" w:pos="980" w:val="left"/>
        </w:tabs>
        <w:numPr>
          <w:ilvl w:val="0"/>
          <w:numId w:val="16"/>
        </w:numPr>
        <w:rPr>
          <w:rFonts w:ascii="Symbol" w:cs="Symbol" w:eastAsia="Symbol" w:hAnsi="Symbol"/>
          <w:sz w:val="20"/>
          <w:szCs w:val="20"/>
          <w:color w:val="auto"/>
        </w:rPr>
      </w:pPr>
      <w:r>
        <w:rPr>
          <w:rFonts w:ascii="Calibri" w:cs="Calibri" w:eastAsia="Calibri" w:hAnsi="Calibri"/>
          <w:sz w:val="20"/>
          <w:szCs w:val="20"/>
          <w:color w:val="auto"/>
        </w:rPr>
        <w:t>completing nonclinical and clinical development of our product candidates;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6"/>
        </w:numPr>
        <w:rPr>
          <w:rFonts w:ascii="Symbol" w:cs="Symbol" w:eastAsia="Symbol" w:hAnsi="Symbol"/>
          <w:sz w:val="20"/>
          <w:szCs w:val="20"/>
          <w:color w:val="auto"/>
        </w:rPr>
      </w:pPr>
      <w:r>
        <w:rPr>
          <w:rFonts w:ascii="Calibri" w:cs="Calibri" w:eastAsia="Calibri" w:hAnsi="Calibri"/>
          <w:sz w:val="20"/>
          <w:szCs w:val="20"/>
          <w:color w:val="auto"/>
        </w:rPr>
        <w:t>developing and testing of our product formulations;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6"/>
        </w:numPr>
        <w:rPr>
          <w:rFonts w:ascii="Symbol" w:cs="Symbol" w:eastAsia="Symbol" w:hAnsi="Symbol"/>
          <w:sz w:val="20"/>
          <w:szCs w:val="20"/>
          <w:color w:val="auto"/>
        </w:rPr>
      </w:pPr>
      <w:r>
        <w:rPr>
          <w:rFonts w:ascii="Calibri" w:cs="Calibri" w:eastAsia="Calibri" w:hAnsi="Calibri"/>
          <w:sz w:val="20"/>
          <w:szCs w:val="20"/>
          <w:color w:val="auto"/>
        </w:rPr>
        <w:t>attracting, hiring and retaining qualified personnel;</w:t>
      </w:r>
    </w:p>
    <w:p>
      <w:pPr>
        <w:spacing w:after="0" w:line="119" w:lineRule="exact"/>
        <w:rPr>
          <w:rFonts w:ascii="Symbol" w:cs="Symbol" w:eastAsia="Symbol" w:hAnsi="Symbol"/>
          <w:sz w:val="20"/>
          <w:szCs w:val="20"/>
          <w:color w:val="auto"/>
        </w:rPr>
      </w:pPr>
    </w:p>
    <w:p>
      <w:pPr>
        <w:jc w:val="both"/>
        <w:ind w:left="980" w:hanging="483"/>
        <w:spacing w:after="0" w:line="243" w:lineRule="auto"/>
        <w:tabs>
          <w:tab w:leader="none" w:pos="980" w:val="left"/>
        </w:tabs>
        <w:numPr>
          <w:ilvl w:val="0"/>
          <w:numId w:val="16"/>
        </w:numPr>
        <w:rPr>
          <w:rFonts w:ascii="Symbol" w:cs="Symbol" w:eastAsia="Symbol" w:hAnsi="Symbol"/>
          <w:sz w:val="20"/>
          <w:szCs w:val="20"/>
          <w:color w:val="auto"/>
        </w:rPr>
      </w:pPr>
      <w:r>
        <w:rPr>
          <w:rFonts w:ascii="Calibri" w:cs="Calibri" w:eastAsia="Calibri" w:hAnsi="Calibri"/>
          <w:sz w:val="20"/>
          <w:szCs w:val="20"/>
          <w:color w:val="auto"/>
        </w:rPr>
        <w:t>developing a sustainable and scalable manufacturing process for our product and any approved product candidates and establishing and maintaining supply and manufacturing relationships with third parties that can conduct the process and provide adequate (in amount and quality) products to support clinical development and the market demand for our product and product candidates, if approved;</w:t>
      </w:r>
    </w:p>
    <w:p>
      <w:pPr>
        <w:spacing w:after="0" w:line="108" w:lineRule="exact"/>
        <w:rPr>
          <w:rFonts w:ascii="Symbol" w:cs="Symbol" w:eastAsia="Symbol" w:hAnsi="Symbol"/>
          <w:sz w:val="20"/>
          <w:szCs w:val="20"/>
          <w:color w:val="auto"/>
        </w:rPr>
      </w:pPr>
    </w:p>
    <w:p>
      <w:pPr>
        <w:ind w:left="980" w:hanging="483"/>
        <w:spacing w:after="0"/>
        <w:tabs>
          <w:tab w:leader="none" w:pos="980" w:val="left"/>
        </w:tabs>
        <w:numPr>
          <w:ilvl w:val="0"/>
          <w:numId w:val="16"/>
        </w:numPr>
        <w:rPr>
          <w:rFonts w:ascii="Symbol" w:cs="Symbol" w:eastAsia="Symbol" w:hAnsi="Symbol"/>
          <w:sz w:val="20"/>
          <w:szCs w:val="20"/>
          <w:color w:val="auto"/>
        </w:rPr>
      </w:pPr>
      <w:r>
        <w:rPr>
          <w:rFonts w:ascii="Calibri" w:cs="Calibri" w:eastAsia="Calibri" w:hAnsi="Calibri"/>
          <w:sz w:val="20"/>
          <w:szCs w:val="20"/>
          <w:color w:val="auto"/>
        </w:rPr>
        <w:t>addressing any competing technological and market developments;</w:t>
      </w:r>
    </w:p>
    <w:p>
      <w:pPr>
        <w:spacing w:after="0" w:line="120" w:lineRule="exact"/>
        <w:rPr>
          <w:rFonts w:ascii="Symbol" w:cs="Symbol" w:eastAsia="Symbol" w:hAnsi="Symbol"/>
          <w:sz w:val="20"/>
          <w:szCs w:val="20"/>
          <w:color w:val="auto"/>
        </w:rPr>
      </w:pPr>
    </w:p>
    <w:p>
      <w:pPr>
        <w:ind w:left="980" w:hanging="483"/>
        <w:spacing w:after="0"/>
        <w:tabs>
          <w:tab w:leader="none" w:pos="980" w:val="left"/>
        </w:tabs>
        <w:numPr>
          <w:ilvl w:val="0"/>
          <w:numId w:val="16"/>
        </w:numPr>
        <w:rPr>
          <w:rFonts w:ascii="Symbol" w:cs="Symbol" w:eastAsia="Symbol" w:hAnsi="Symbol"/>
          <w:sz w:val="20"/>
          <w:szCs w:val="20"/>
          <w:color w:val="auto"/>
        </w:rPr>
      </w:pPr>
      <w:r>
        <w:rPr>
          <w:rFonts w:ascii="Calibri" w:cs="Calibri" w:eastAsia="Calibri" w:hAnsi="Calibri"/>
          <w:sz w:val="20"/>
          <w:szCs w:val="20"/>
          <w:color w:val="auto"/>
        </w:rPr>
        <w:t>identifying, assessing and developing (or acquiring/in-licensing on favorable terms) new product candidates;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6"/>
        </w:numPr>
        <w:rPr>
          <w:rFonts w:ascii="Symbol" w:cs="Symbol" w:eastAsia="Symbol" w:hAnsi="Symbol"/>
          <w:sz w:val="20"/>
          <w:szCs w:val="20"/>
          <w:color w:val="auto"/>
        </w:rPr>
      </w:pPr>
      <w:r>
        <w:rPr>
          <w:rFonts w:ascii="Calibri" w:cs="Calibri" w:eastAsia="Calibri" w:hAnsi="Calibri"/>
          <w:sz w:val="20"/>
          <w:szCs w:val="20"/>
          <w:color w:val="auto"/>
        </w:rPr>
        <w:t>negotiating favorable terms in any collaboration, licensing or other arrangements into which we may enter;</w:t>
      </w:r>
    </w:p>
    <w:p>
      <w:pPr>
        <w:spacing w:after="0" w:line="118" w:lineRule="exact"/>
        <w:rPr>
          <w:rFonts w:ascii="Symbol" w:cs="Symbol" w:eastAsia="Symbol" w:hAnsi="Symbol"/>
          <w:sz w:val="20"/>
          <w:szCs w:val="20"/>
          <w:color w:val="auto"/>
        </w:rPr>
      </w:pPr>
    </w:p>
    <w:p>
      <w:pPr>
        <w:ind w:left="980" w:hanging="483"/>
        <w:spacing w:after="0" w:line="253" w:lineRule="auto"/>
        <w:tabs>
          <w:tab w:leader="none" w:pos="980" w:val="left"/>
        </w:tabs>
        <w:numPr>
          <w:ilvl w:val="0"/>
          <w:numId w:val="16"/>
        </w:numPr>
        <w:rPr>
          <w:rFonts w:ascii="Symbol" w:cs="Symbol" w:eastAsia="Symbol" w:hAnsi="Symbol"/>
          <w:sz w:val="20"/>
          <w:szCs w:val="20"/>
          <w:color w:val="auto"/>
        </w:rPr>
      </w:pPr>
      <w:r>
        <w:rPr>
          <w:rFonts w:ascii="Calibri" w:cs="Calibri" w:eastAsia="Calibri" w:hAnsi="Calibri"/>
          <w:sz w:val="20"/>
          <w:szCs w:val="20"/>
          <w:color w:val="auto"/>
        </w:rPr>
        <w:t>maintaining, protecting and expanding our portfolio of intellectual property rights, including patents, trade secrets and know-how; and</w:t>
      </w:r>
    </w:p>
    <w:p>
      <w:pPr>
        <w:spacing w:after="0" w:line="93" w:lineRule="exact"/>
        <w:rPr>
          <w:rFonts w:ascii="Symbol" w:cs="Symbol" w:eastAsia="Symbol" w:hAnsi="Symbol"/>
          <w:sz w:val="20"/>
          <w:szCs w:val="20"/>
          <w:color w:val="auto"/>
        </w:rPr>
      </w:pPr>
    </w:p>
    <w:p>
      <w:pPr>
        <w:ind w:left="980" w:hanging="483"/>
        <w:spacing w:after="0" w:line="253" w:lineRule="auto"/>
        <w:tabs>
          <w:tab w:leader="none" w:pos="980" w:val="left"/>
        </w:tabs>
        <w:numPr>
          <w:ilvl w:val="0"/>
          <w:numId w:val="16"/>
        </w:numPr>
        <w:rPr>
          <w:rFonts w:ascii="Symbol" w:cs="Symbol" w:eastAsia="Symbol" w:hAnsi="Symbol"/>
          <w:sz w:val="20"/>
          <w:szCs w:val="20"/>
          <w:color w:val="auto"/>
        </w:rPr>
      </w:pPr>
      <w:r>
        <w:rPr>
          <w:rFonts w:ascii="Calibri" w:cs="Calibri" w:eastAsia="Calibri" w:hAnsi="Calibri"/>
          <w:sz w:val="20"/>
          <w:szCs w:val="20"/>
          <w:color w:val="auto"/>
        </w:rPr>
        <w:t>defending against any litigation including patent or trade secret infringement lawsuits, which may be filed against us, or achieving successful outcomes lawsuits that we may in the future file against third parties.</w:t>
      </w:r>
    </w:p>
    <w:p>
      <w:pPr>
        <w:spacing w:after="0" w:line="202" w:lineRule="exact"/>
        <w:rPr>
          <w:sz w:val="20"/>
          <w:szCs w:val="20"/>
          <w:color w:val="auto"/>
        </w:rPr>
      </w:pPr>
    </w:p>
    <w:p>
      <w:pPr>
        <w:jc w:val="both"/>
        <w:ind w:firstLine="490"/>
        <w:spacing w:after="0" w:line="241" w:lineRule="auto"/>
        <w:rPr>
          <w:sz w:val="20"/>
          <w:szCs w:val="20"/>
          <w:color w:val="auto"/>
        </w:rPr>
      </w:pPr>
      <w:r>
        <w:rPr>
          <w:rFonts w:ascii="Calibri" w:cs="Calibri" w:eastAsia="Calibri" w:hAnsi="Calibri"/>
          <w:sz w:val="20"/>
          <w:szCs w:val="20"/>
          <w:color w:val="auto"/>
        </w:rPr>
        <w:t>Even if one or more of the product candidates that we develop is approved for commercial sale, we anticipate incurring significant costs to commercialize any such product. Our expenses could increase beyond our expectations if we are required by the FDA, the European Medical Agency (the “EMA”), other regulatory agencies, domestic or foreign, or by any unfavorable outcomes in intellectual property litigation filed against us, to change our manufacturing processes or assays or to perform clinical, nonclinical or other types of studies in addition to those that we currently anticipate. In cases where we are successful in obtaining additional regulatory approvals to market one or more of our product candidates, our revenue will be dependent, in part, upon the size of the markets in the territories for which we gain regulatory approval, the number of competitors in such markets, the accepted price for the product, the ability to get reimbursement at any price, the nature and degree of competition from immuno-oncology companies (including competition from large pharmaceutical companies possessing large established positions in the immuno-oncology market that may be able to gain advantages in the sale of immuno-oncology products based on brand recognition or existing relationships with customers and payers) and whether we own (or have partnered with companies owning) the commercial rights for that territory. If the market for our product and product candidates (or our share of that market) is not as significant as we expect, the price of our product is not what we project,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If we are unable to successfully complete development and obtain additional regulatory approval for our product, our business may suffer.</w:t>
      </w:r>
    </w:p>
    <w:p>
      <w:pPr>
        <w:spacing w:after="0" w:line="222" w:lineRule="exact"/>
        <w:rPr>
          <w:sz w:val="20"/>
          <w:szCs w:val="20"/>
          <w:color w:val="auto"/>
        </w:rPr>
      </w:pPr>
    </w:p>
    <w:p>
      <w:pPr>
        <w:jc w:val="both"/>
        <w:spacing w:after="0" w:line="247" w:lineRule="auto"/>
        <w:rPr>
          <w:sz w:val="20"/>
          <w:szCs w:val="20"/>
          <w:color w:val="auto"/>
        </w:rPr>
      </w:pPr>
      <w:r>
        <w:rPr>
          <w:rFonts w:ascii="Calibri" w:cs="Calibri" w:eastAsia="Calibri" w:hAnsi="Calibri"/>
          <w:sz w:val="20"/>
          <w:szCs w:val="20"/>
          <w:b w:val="1"/>
          <w:bCs w:val="1"/>
          <w:i w:val="1"/>
          <w:iCs w:val="1"/>
          <w:color w:val="auto"/>
        </w:rPr>
        <w:t>The commercial success of our existing product or any future products will depend upon the degree of market acceptance and adoption by prescribing physicians, healthcare providers and the patients to whom our medicines are prescribed. Additionally, obtaining placement on national or local clinical guidelines/pathways, as well as coverage on third-party payor formularies, can impact our short and long-term financial performance.</w:t>
      </w:r>
    </w:p>
    <w:p>
      <w:pPr>
        <w:spacing w:after="0" w:line="214" w:lineRule="exact"/>
        <w:rPr>
          <w:sz w:val="20"/>
          <w:szCs w:val="20"/>
          <w:color w:val="auto"/>
        </w:rPr>
      </w:pPr>
    </w:p>
    <w:p>
      <w:pPr>
        <w:jc w:val="both"/>
        <w:ind w:firstLine="490"/>
        <w:spacing w:after="0" w:line="245" w:lineRule="auto"/>
        <w:rPr>
          <w:sz w:val="20"/>
          <w:szCs w:val="20"/>
          <w:color w:val="auto"/>
        </w:rPr>
      </w:pPr>
      <w:r>
        <w:rPr>
          <w:rFonts w:ascii="Calibri" w:cs="Calibri" w:eastAsia="Calibri" w:hAnsi="Calibri"/>
          <w:sz w:val="20"/>
          <w:szCs w:val="20"/>
          <w:color w:val="auto"/>
        </w:rPr>
        <w:t>Even with the requisite approvals from the FDA and comparable foreign regulatory authorities, the commercial success of our product or product candidates, if approved, will depend in part on the medical community, patients and third-party payers accepting our product and product candidates as medically useful, cost-effective and safe. Any product that we bring to the market may not gain market acceptance by physicians, patients, third-party payers and others in the medical community. The degree of market acceptance of our product LOQTORZI, or any of our product candidates, if approved for commercial sale, will depend on a number of factors, including:</w:t>
      </w:r>
    </w:p>
    <w:p>
      <w:pPr>
        <w:spacing w:after="0" w:line="105" w:lineRule="exact"/>
        <w:rPr>
          <w:sz w:val="20"/>
          <w:szCs w:val="20"/>
          <w:color w:val="auto"/>
        </w:rPr>
      </w:pPr>
    </w:p>
    <w:p>
      <w:pPr>
        <w:ind w:left="980" w:hanging="483"/>
        <w:spacing w:after="0" w:line="253" w:lineRule="auto"/>
        <w:tabs>
          <w:tab w:leader="none" w:pos="980" w:val="left"/>
        </w:tabs>
        <w:numPr>
          <w:ilvl w:val="0"/>
          <w:numId w:val="17"/>
        </w:numPr>
        <w:rPr>
          <w:rFonts w:ascii="Symbol" w:cs="Symbol" w:eastAsia="Symbol" w:hAnsi="Symbol"/>
          <w:sz w:val="20"/>
          <w:szCs w:val="20"/>
          <w:color w:val="auto"/>
        </w:rPr>
      </w:pPr>
      <w:r>
        <w:rPr>
          <w:rFonts w:ascii="Calibri" w:cs="Calibri" w:eastAsia="Calibri" w:hAnsi="Calibri"/>
          <w:sz w:val="20"/>
          <w:szCs w:val="20"/>
          <w:color w:val="auto"/>
        </w:rPr>
        <w:t>the safety and efficacy of the product, as demonstrated in clinical studies, and potential advantages over competing treatments;</w:t>
      </w:r>
    </w:p>
    <w:p>
      <w:pPr>
        <w:spacing w:after="0" w:line="94" w:lineRule="exact"/>
        <w:rPr>
          <w:rFonts w:ascii="Symbol" w:cs="Symbol" w:eastAsia="Symbol" w:hAnsi="Symbol"/>
          <w:sz w:val="20"/>
          <w:szCs w:val="20"/>
          <w:color w:val="auto"/>
        </w:rPr>
      </w:pPr>
    </w:p>
    <w:p>
      <w:pPr>
        <w:ind w:left="980" w:hanging="483"/>
        <w:spacing w:after="0"/>
        <w:tabs>
          <w:tab w:leader="none" w:pos="980" w:val="left"/>
        </w:tabs>
        <w:numPr>
          <w:ilvl w:val="0"/>
          <w:numId w:val="17"/>
        </w:numPr>
        <w:rPr>
          <w:rFonts w:ascii="Symbol" w:cs="Symbol" w:eastAsia="Symbol" w:hAnsi="Symbol"/>
          <w:sz w:val="20"/>
          <w:szCs w:val="20"/>
          <w:color w:val="auto"/>
        </w:rPr>
      </w:pPr>
      <w:r>
        <w:rPr>
          <w:rFonts w:ascii="Calibri" w:cs="Calibri" w:eastAsia="Calibri" w:hAnsi="Calibri"/>
          <w:sz w:val="20"/>
          <w:szCs w:val="20"/>
          <w:color w:val="auto"/>
        </w:rPr>
        <w:t>the prevalence and severity of any side effects and any limitations or warnings contained in a product’s approved labeling;</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7"/>
        </w:numPr>
        <w:rPr>
          <w:rFonts w:ascii="Symbol" w:cs="Symbol" w:eastAsia="Symbol" w:hAnsi="Symbol"/>
          <w:sz w:val="20"/>
          <w:szCs w:val="20"/>
          <w:color w:val="auto"/>
        </w:rPr>
      </w:pPr>
      <w:r>
        <w:rPr>
          <w:rFonts w:ascii="Calibri" w:cs="Calibri" w:eastAsia="Calibri" w:hAnsi="Calibri"/>
          <w:sz w:val="20"/>
          <w:szCs w:val="20"/>
          <w:color w:val="auto"/>
        </w:rPr>
        <w:t>the clinical indications for which approval is granted;</w:t>
      </w:r>
    </w:p>
    <w:p>
      <w:pPr>
        <w:spacing w:after="0" w:line="120" w:lineRule="exact"/>
        <w:rPr>
          <w:rFonts w:ascii="Symbol" w:cs="Symbol" w:eastAsia="Symbol" w:hAnsi="Symbol"/>
          <w:sz w:val="20"/>
          <w:szCs w:val="20"/>
          <w:color w:val="auto"/>
        </w:rPr>
      </w:pPr>
    </w:p>
    <w:p>
      <w:pPr>
        <w:ind w:left="980" w:hanging="483"/>
        <w:spacing w:after="0"/>
        <w:tabs>
          <w:tab w:leader="none" w:pos="980" w:val="left"/>
        </w:tabs>
        <w:numPr>
          <w:ilvl w:val="0"/>
          <w:numId w:val="17"/>
        </w:numPr>
        <w:rPr>
          <w:rFonts w:ascii="Symbol" w:cs="Symbol" w:eastAsia="Symbol" w:hAnsi="Symbol"/>
          <w:sz w:val="20"/>
          <w:szCs w:val="20"/>
          <w:color w:val="auto"/>
        </w:rPr>
      </w:pPr>
      <w:r>
        <w:rPr>
          <w:rFonts w:ascii="Calibri" w:cs="Calibri" w:eastAsia="Calibri" w:hAnsi="Calibri"/>
          <w:sz w:val="20"/>
          <w:szCs w:val="20"/>
          <w:color w:val="auto"/>
        </w:rPr>
        <w:t>for our product candidates, our ability to compete in a competitive immuno-oncology market;</w:t>
      </w:r>
    </w:p>
    <w:p>
      <w:pPr>
        <w:spacing w:after="0" w:line="118"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17"/>
        </w:numPr>
        <w:rPr>
          <w:rFonts w:ascii="Symbol" w:cs="Symbol" w:eastAsia="Symbol" w:hAnsi="Symbol"/>
          <w:sz w:val="20"/>
          <w:szCs w:val="20"/>
          <w:color w:val="auto"/>
        </w:rPr>
      </w:pPr>
      <w:r>
        <w:rPr>
          <w:rFonts w:ascii="Calibri" w:cs="Calibri" w:eastAsia="Calibri" w:hAnsi="Calibri"/>
          <w:sz w:val="20"/>
          <w:szCs w:val="20"/>
          <w:color w:val="auto"/>
        </w:rPr>
        <w:t>inclusion, in either parity or better position, on commonly accepted clinical guidelines or pathways that influence prescribing patterns and/or affect reimbursement;</w:t>
      </w:r>
    </w:p>
    <w:p>
      <w:pPr>
        <w:spacing w:after="0" w:line="98" w:lineRule="exact"/>
        <w:rPr>
          <w:rFonts w:ascii="Symbol" w:cs="Symbol" w:eastAsia="Symbol" w:hAnsi="Symbol"/>
          <w:sz w:val="20"/>
          <w:szCs w:val="20"/>
          <w:color w:val="auto"/>
        </w:rPr>
      </w:pPr>
    </w:p>
    <w:p>
      <w:pPr>
        <w:ind w:left="980" w:hanging="483"/>
        <w:spacing w:after="0"/>
        <w:tabs>
          <w:tab w:leader="none" w:pos="980" w:val="left"/>
        </w:tabs>
        <w:numPr>
          <w:ilvl w:val="0"/>
          <w:numId w:val="17"/>
        </w:numPr>
        <w:rPr>
          <w:rFonts w:ascii="Symbol" w:cs="Symbol" w:eastAsia="Symbol" w:hAnsi="Symbol"/>
          <w:sz w:val="20"/>
          <w:szCs w:val="20"/>
          <w:color w:val="auto"/>
        </w:rPr>
      </w:pPr>
      <w:r>
        <w:rPr>
          <w:rFonts w:ascii="Calibri" w:cs="Calibri" w:eastAsia="Calibri" w:hAnsi="Calibri"/>
          <w:sz w:val="20"/>
          <w:szCs w:val="20"/>
          <w:color w:val="auto"/>
        </w:rPr>
        <w:t>prevalence of the disease or condition for which the product is approved;</w:t>
      </w:r>
    </w:p>
    <w:p>
      <w:pPr>
        <w:sectPr>
          <w:pgSz w:w="12240" w:h="15840" w:orient="portrait"/>
          <w:cols w:equalWidth="0" w:num="1">
            <w:col w:w="11160"/>
          </w:cols>
          <w:pgMar w:left="540" w:top="544" w:right="540" w:bottom="9"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25</w:t>
      </w:r>
    </w:p>
    <w:p>
      <w:pPr>
        <w:sectPr>
          <w:pgSz w:w="12240" w:h="15840" w:orient="portrait"/>
          <w:cols w:equalWidth="0" w:num="1">
            <w:col w:w="11160"/>
          </w:cols>
          <w:pgMar w:left="540" w:top="544" w:right="540" w:bottom="9" w:gutter="0" w:footer="0" w:header="0"/>
          <w:type w:val="continuous"/>
        </w:sectPr>
      </w:pPr>
    </w:p>
    <w:bookmarkStart w:id="27" w:name="page28"/>
    <w:bookmarkEnd w:id="27"/>
    <w:p>
      <w:pPr>
        <w:ind w:left="980" w:hanging="483"/>
        <w:spacing w:after="0"/>
        <w:tabs>
          <w:tab w:leader="none" w:pos="980" w:val="left"/>
        </w:tabs>
        <w:numPr>
          <w:ilvl w:val="0"/>
          <w:numId w:val="18"/>
        </w:numPr>
        <w:rPr>
          <w:rFonts w:ascii="Symbol" w:cs="Symbol" w:eastAsia="Symbol" w:hAnsi="Symbol"/>
          <w:sz w:val="20"/>
          <w:szCs w:val="20"/>
          <w:color w:val="auto"/>
        </w:rPr>
      </w:pPr>
      <w:r>
        <w:rPr>
          <w:rFonts w:ascii="Calibri" w:cs="Calibri" w:eastAsia="Calibri" w:hAnsi="Calibri"/>
          <w:sz w:val="20"/>
          <w:szCs w:val="20"/>
          <w:color w:val="auto"/>
        </w:rPr>
        <w:t>the cost of treatment, particularly in relation to competing treatments;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8"/>
        </w:numPr>
        <w:rPr>
          <w:rFonts w:ascii="Symbol" w:cs="Symbol" w:eastAsia="Symbol" w:hAnsi="Symbol"/>
          <w:sz w:val="20"/>
          <w:szCs w:val="20"/>
          <w:color w:val="auto"/>
        </w:rPr>
      </w:pPr>
      <w:r>
        <w:rPr>
          <w:rFonts w:ascii="Calibri" w:cs="Calibri" w:eastAsia="Calibri" w:hAnsi="Calibri"/>
          <w:sz w:val="20"/>
          <w:szCs w:val="20"/>
          <w:color w:val="auto"/>
        </w:rPr>
        <w:t>the willingness of the target patient population to try new therapies and of physicians to prescribe these therapies;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8"/>
        </w:numPr>
        <w:rPr>
          <w:rFonts w:ascii="Symbol" w:cs="Symbol" w:eastAsia="Symbol" w:hAnsi="Symbol"/>
          <w:sz w:val="20"/>
          <w:szCs w:val="20"/>
          <w:color w:val="auto"/>
        </w:rPr>
      </w:pPr>
      <w:r>
        <w:rPr>
          <w:rFonts w:ascii="Calibri" w:cs="Calibri" w:eastAsia="Calibri" w:hAnsi="Calibri"/>
          <w:sz w:val="20"/>
          <w:szCs w:val="20"/>
          <w:color w:val="auto"/>
        </w:rPr>
        <w:t>the strength of marketing and distribution support and timing of market introduction of competitive products;</w:t>
      </w:r>
    </w:p>
    <w:p>
      <w:pPr>
        <w:spacing w:after="0" w:line="119" w:lineRule="exact"/>
        <w:rPr>
          <w:rFonts w:ascii="Symbol" w:cs="Symbol" w:eastAsia="Symbol" w:hAnsi="Symbol"/>
          <w:sz w:val="20"/>
          <w:szCs w:val="20"/>
          <w:color w:val="auto"/>
        </w:rPr>
      </w:pPr>
    </w:p>
    <w:p>
      <w:pPr>
        <w:ind w:left="980" w:right="20" w:hanging="483"/>
        <w:spacing w:after="0" w:line="251" w:lineRule="auto"/>
        <w:tabs>
          <w:tab w:leader="none" w:pos="980" w:val="left"/>
        </w:tabs>
        <w:numPr>
          <w:ilvl w:val="0"/>
          <w:numId w:val="18"/>
        </w:numPr>
        <w:rPr>
          <w:rFonts w:ascii="Symbol" w:cs="Symbol" w:eastAsia="Symbol" w:hAnsi="Symbol"/>
          <w:sz w:val="20"/>
          <w:szCs w:val="20"/>
          <w:color w:val="auto"/>
        </w:rPr>
      </w:pPr>
      <w:r>
        <w:rPr>
          <w:rFonts w:ascii="Calibri" w:cs="Calibri" w:eastAsia="Calibri" w:hAnsi="Calibri"/>
          <w:sz w:val="20"/>
          <w:szCs w:val="20"/>
          <w:color w:val="auto"/>
        </w:rPr>
        <w:t>the extent to which the product is approved for inclusion on formularies of hospitals, integrated delivery networks and managed care organizations;</w:t>
      </w:r>
    </w:p>
    <w:p>
      <w:pPr>
        <w:spacing w:after="0" w:line="98" w:lineRule="exact"/>
        <w:rPr>
          <w:rFonts w:ascii="Symbol" w:cs="Symbol" w:eastAsia="Symbol" w:hAnsi="Symbol"/>
          <w:sz w:val="20"/>
          <w:szCs w:val="20"/>
          <w:color w:val="auto"/>
        </w:rPr>
      </w:pPr>
    </w:p>
    <w:p>
      <w:pPr>
        <w:ind w:left="980" w:hanging="483"/>
        <w:spacing w:after="0"/>
        <w:tabs>
          <w:tab w:leader="none" w:pos="980" w:val="left"/>
        </w:tabs>
        <w:numPr>
          <w:ilvl w:val="0"/>
          <w:numId w:val="18"/>
        </w:numPr>
        <w:rPr>
          <w:rFonts w:ascii="Symbol" w:cs="Symbol" w:eastAsia="Symbol" w:hAnsi="Symbol"/>
          <w:sz w:val="20"/>
          <w:szCs w:val="20"/>
          <w:color w:val="auto"/>
        </w:rPr>
      </w:pPr>
      <w:r>
        <w:rPr>
          <w:rFonts w:ascii="Calibri" w:cs="Calibri" w:eastAsia="Calibri" w:hAnsi="Calibri"/>
          <w:sz w:val="20"/>
          <w:szCs w:val="20"/>
          <w:color w:val="auto"/>
        </w:rPr>
        <w:t>publicity concerning our product or competing products and treatments;</w:t>
      </w:r>
    </w:p>
    <w:p>
      <w:pPr>
        <w:spacing w:after="0" w:line="118"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18"/>
        </w:numPr>
        <w:rPr>
          <w:rFonts w:ascii="Symbol" w:cs="Symbol" w:eastAsia="Symbol" w:hAnsi="Symbol"/>
          <w:sz w:val="20"/>
          <w:szCs w:val="20"/>
          <w:color w:val="auto"/>
        </w:rPr>
      </w:pPr>
      <w:r>
        <w:rPr>
          <w:rFonts w:ascii="Calibri" w:cs="Calibri" w:eastAsia="Calibri" w:hAnsi="Calibri"/>
          <w:sz w:val="20"/>
          <w:szCs w:val="20"/>
          <w:color w:val="auto"/>
        </w:rPr>
        <w:t>the extent to which third-party payers (including government and national/regional commercial plans) provide adequate third-party coverage and reimbursement for our product and product candidates, if approved;</w:t>
      </w:r>
    </w:p>
    <w:p>
      <w:pPr>
        <w:spacing w:after="0" w:line="98" w:lineRule="exact"/>
        <w:rPr>
          <w:rFonts w:ascii="Symbol" w:cs="Symbol" w:eastAsia="Symbol" w:hAnsi="Symbol"/>
          <w:sz w:val="20"/>
          <w:szCs w:val="20"/>
          <w:color w:val="auto"/>
        </w:rPr>
      </w:pPr>
    </w:p>
    <w:p>
      <w:pPr>
        <w:ind w:left="980" w:hanging="483"/>
        <w:spacing w:after="0"/>
        <w:tabs>
          <w:tab w:leader="none" w:pos="980" w:val="left"/>
        </w:tabs>
        <w:numPr>
          <w:ilvl w:val="0"/>
          <w:numId w:val="18"/>
        </w:numPr>
        <w:rPr>
          <w:rFonts w:ascii="Symbol" w:cs="Symbol" w:eastAsia="Symbol" w:hAnsi="Symbol"/>
          <w:sz w:val="20"/>
          <w:szCs w:val="20"/>
          <w:color w:val="auto"/>
        </w:rPr>
      </w:pPr>
      <w:r>
        <w:rPr>
          <w:rFonts w:ascii="Calibri" w:cs="Calibri" w:eastAsia="Calibri" w:hAnsi="Calibri"/>
          <w:sz w:val="20"/>
          <w:szCs w:val="20"/>
          <w:color w:val="auto"/>
        </w:rPr>
        <w:t>the price at which we sell our product;</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8"/>
        </w:numPr>
        <w:rPr>
          <w:rFonts w:ascii="Symbol" w:cs="Symbol" w:eastAsia="Symbol" w:hAnsi="Symbol"/>
          <w:sz w:val="20"/>
          <w:szCs w:val="20"/>
          <w:color w:val="auto"/>
        </w:rPr>
      </w:pPr>
      <w:r>
        <w:rPr>
          <w:rFonts w:ascii="Calibri" w:cs="Calibri" w:eastAsia="Calibri" w:hAnsi="Calibri"/>
          <w:sz w:val="20"/>
          <w:szCs w:val="20"/>
          <w:color w:val="auto"/>
        </w:rPr>
        <w:t>the potential impact of the IRA on the pharmaceutical industry and the market for our product;</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8"/>
        </w:numPr>
        <w:rPr>
          <w:rFonts w:ascii="Symbol" w:cs="Symbol" w:eastAsia="Symbol" w:hAnsi="Symbol"/>
          <w:sz w:val="20"/>
          <w:szCs w:val="20"/>
          <w:color w:val="auto"/>
        </w:rPr>
      </w:pPr>
      <w:r>
        <w:rPr>
          <w:rFonts w:ascii="Calibri" w:cs="Calibri" w:eastAsia="Calibri" w:hAnsi="Calibri"/>
          <w:sz w:val="20"/>
          <w:szCs w:val="20"/>
          <w:color w:val="auto"/>
        </w:rPr>
        <w:t>the actions taken by current and future competitors to delay, restrict or block customer usage of the product; and</w:t>
      </w:r>
    </w:p>
    <w:p>
      <w:pPr>
        <w:spacing w:after="0" w:line="120" w:lineRule="exact"/>
        <w:rPr>
          <w:rFonts w:ascii="Symbol" w:cs="Symbol" w:eastAsia="Symbol" w:hAnsi="Symbol"/>
          <w:sz w:val="20"/>
          <w:szCs w:val="20"/>
          <w:color w:val="auto"/>
        </w:rPr>
      </w:pPr>
    </w:p>
    <w:p>
      <w:pPr>
        <w:ind w:left="980" w:hanging="483"/>
        <w:spacing w:after="0"/>
        <w:tabs>
          <w:tab w:leader="none" w:pos="980" w:val="left"/>
        </w:tabs>
        <w:numPr>
          <w:ilvl w:val="0"/>
          <w:numId w:val="18"/>
        </w:numPr>
        <w:rPr>
          <w:rFonts w:ascii="Symbol" w:cs="Symbol" w:eastAsia="Symbol" w:hAnsi="Symbol"/>
          <w:sz w:val="20"/>
          <w:szCs w:val="20"/>
          <w:color w:val="auto"/>
        </w:rPr>
      </w:pPr>
      <w:r>
        <w:rPr>
          <w:rFonts w:ascii="Calibri" w:cs="Calibri" w:eastAsia="Calibri" w:hAnsi="Calibri"/>
          <w:sz w:val="20"/>
          <w:szCs w:val="20"/>
          <w:color w:val="auto"/>
        </w:rPr>
        <w:t>our ability to maintain compliance with regulatory requirements.</w:t>
      </w:r>
    </w:p>
    <w:p>
      <w:pPr>
        <w:spacing w:after="0" w:line="228"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Market acceptance of any future product candidates, if approved, will not be fully known until after they are launched and may be negatively affected by a potential poor safety experience and the track record of other products and product candidates. Further, continued market acceptance of LOQTORZI, and any future product candidates that may be approved, depend on our efforts to educate the medical community and third-party payers on the benefits of our product and product candidates and will require significant resources from us and we have significantly less resources compared to large, well-funded pharmaceutical companies. Given the resource disparity, our outreach may have little success or may never be successful. If our product or any future product candidates that are approved fail to achieve an adequate level of acceptance by physicians, patients, third-party payers and others in the medical community, we will not be able to generate sufficient revenue to sustain profitability.</w:t>
      </w:r>
    </w:p>
    <w:p>
      <w:pPr>
        <w:spacing w:after="0" w:line="214" w:lineRule="exact"/>
        <w:rPr>
          <w:sz w:val="20"/>
          <w:szCs w:val="20"/>
          <w:color w:val="auto"/>
        </w:rPr>
      </w:pPr>
    </w:p>
    <w:p>
      <w:pPr>
        <w:jc w:val="both"/>
        <w:spacing w:after="0" w:line="250" w:lineRule="auto"/>
        <w:rPr>
          <w:sz w:val="20"/>
          <w:szCs w:val="20"/>
          <w:color w:val="auto"/>
        </w:rPr>
      </w:pPr>
      <w:r>
        <w:rPr>
          <w:rFonts w:ascii="Calibri" w:cs="Calibri" w:eastAsia="Calibri" w:hAnsi="Calibri"/>
          <w:sz w:val="20"/>
          <w:szCs w:val="20"/>
          <w:b w:val="1"/>
          <w:bCs w:val="1"/>
          <w:i w:val="1"/>
          <w:iCs w:val="1"/>
          <w:color w:val="auto"/>
        </w:rPr>
        <w:t>The third-party coverage and reimbursement status of our product is uncertain. Failure to obtain or maintain adequate coverage and reimbursement for any new products or our current product could limit our ability to market those products and decrease our ability to generate revenue.</w:t>
      </w:r>
    </w:p>
    <w:p>
      <w:pPr>
        <w:spacing w:after="0" w:line="211"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Pricing, coverage and reimbursement of our product, or any of our product candidates, if approved, may not be adequate to support our commercial infrastructure. The prices required to successfully compete may not continue to be sufficient to recover our development and manufacturing costs, and as a result, we may not be profitable in the future. Accordingly, the availability and adequacy of coverage and reimbursement by governmental and commercial payers are essential to enable provider/patient access to our product and our patient support services must be sufficiently scaled to meet the needs of patients receiving our product. Sales will depend substantially, both domestically and abroad, on the extent to which the costs of our product will be paid for by health maintenance, managed care, pharmacy benefit and similar healthcare management organizations or reimbursed by government authorities, private health insurers and other third-party payers. If coverage and reimbursement are not available, or are available only to limited levels, or become unavailable, we may not be able to successfully commercialize our product or any of our product candidates, if approved. Even if coverage is provided, the approved reimbursement amount may not be adequate to allow us to establish or maintain pricing sufficient to realize a return on our investment.</w:t>
      </w:r>
    </w:p>
    <w:p>
      <w:pPr>
        <w:spacing w:after="0" w:line="218"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There is significant uncertainty related to third-party coverage and reimbursement of newly approved products. In the United States, third-party payers, including private and governmental payers such as the Medicare and Medicaid programs, play an important role in determining the extent to which new drugs and biologics will be covered and reimbursed. The Medicare program covers certain individuals aged 65 or older or those who are disabled or suffering from end-stage renal disease. The Medicaid program, which varies from state to state, covers certain individuals and families who have limited financial means. The Medicare and Medicaid programs increasingly are used as models for how private payers and other governmental payers develop their coverage and reimbursement policies for drugs and biologics. It is difficult to predict what third-party payers will decide with respect to the coverage and reimbursement for any newly approved product. In addition, in the United States, no uniform policy of coverage and reimbursement for biologics exists among third-party payers. Therefore, coverage and reimbursement for biologics can differ significantly from payer to payer. As a result, the process for obtaining favorable coverage determinations often is time-consuming and costly and may require us to provide scientific and clinical support for the use of our product to each payer separately, with no assurance that coverage and adequate reimbursement will be obtained.</w:t>
      </w:r>
    </w:p>
    <w:p>
      <w:pPr>
        <w:sectPr>
          <w:pgSz w:w="12240" w:h="15840" w:orient="portrait"/>
          <w:cols w:equalWidth="0" w:num="1">
            <w:col w:w="11160"/>
          </w:cols>
          <w:pgMar w:left="540" w:top="544"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26</w:t>
      </w:r>
    </w:p>
    <w:p>
      <w:pPr>
        <w:sectPr>
          <w:pgSz w:w="12240" w:h="15840" w:orient="portrait"/>
          <w:cols w:equalWidth="0" w:num="1">
            <w:col w:w="11160"/>
          </w:cols>
          <w:pgMar w:left="540" w:top="544" w:right="540" w:bottom="9" w:gutter="0" w:footer="0" w:header="0"/>
          <w:type w:val="continuous"/>
        </w:sectPr>
      </w:pPr>
    </w:p>
    <w:bookmarkStart w:id="28" w:name="page29"/>
    <w:bookmarkEnd w:id="28"/>
    <w:p>
      <w:pPr>
        <w:jc w:val="both"/>
        <w:ind w:firstLine="490"/>
        <w:spacing w:after="0" w:line="251" w:lineRule="auto"/>
        <w:rPr>
          <w:sz w:val="20"/>
          <w:szCs w:val="20"/>
          <w:color w:val="auto"/>
        </w:rPr>
      </w:pPr>
      <w:r>
        <w:rPr>
          <w:rFonts w:ascii="Calibri" w:cs="Calibri" w:eastAsia="Calibri" w:hAnsi="Calibri"/>
          <w:sz w:val="20"/>
          <w:szCs w:val="20"/>
          <w:color w:val="auto"/>
        </w:rPr>
        <w:t>If our product or any of our future product candidates, are not covered or adequately reimbursed by third-party payers, including Medicare, then the cost of the relevant product may be absorbed by healthcare providers or charged to patients. If this is the case, our expectations of the pricing we expect to achieve for such product and the related potential revenue may be significantly diminished.</w:t>
      </w:r>
    </w:p>
    <w:p>
      <w:pPr>
        <w:spacing w:after="0" w:line="206" w:lineRule="exact"/>
        <w:rPr>
          <w:sz w:val="20"/>
          <w:szCs w:val="20"/>
          <w:color w:val="auto"/>
        </w:rPr>
      </w:pPr>
    </w:p>
    <w:p>
      <w:pPr>
        <w:jc w:val="both"/>
        <w:ind w:firstLine="490"/>
        <w:spacing w:after="0" w:line="244" w:lineRule="auto"/>
        <w:rPr>
          <w:sz w:val="20"/>
          <w:szCs w:val="20"/>
          <w:color w:val="auto"/>
        </w:rPr>
      </w:pPr>
      <w:r>
        <w:rPr>
          <w:rFonts w:ascii="Calibri" w:cs="Calibri" w:eastAsia="Calibri" w:hAnsi="Calibri"/>
          <w:sz w:val="20"/>
          <w:szCs w:val="20"/>
          <w:color w:val="auto"/>
        </w:rPr>
        <w:t>Outside of the United States, pharmaceutical businesses are generally subject to extensive governmental price controls and other market regulations.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may be reduced compared with the United States and may be insufficient to generate commercially reasonable revenue and profits.</w:t>
      </w:r>
    </w:p>
    <w:p>
      <w:pPr>
        <w:spacing w:after="0" w:line="216" w:lineRule="exact"/>
        <w:rPr>
          <w:sz w:val="20"/>
          <w:szCs w:val="20"/>
          <w:color w:val="auto"/>
        </w:rPr>
      </w:pPr>
    </w:p>
    <w:p>
      <w:pPr>
        <w:jc w:val="both"/>
        <w:ind w:firstLine="490"/>
        <w:spacing w:after="0" w:line="259" w:lineRule="auto"/>
        <w:rPr>
          <w:sz w:val="20"/>
          <w:szCs w:val="20"/>
          <w:color w:val="auto"/>
        </w:rPr>
      </w:pPr>
      <w:r>
        <w:rPr>
          <w:rFonts w:ascii="Calibri" w:cs="Calibri" w:eastAsia="Calibri" w:hAnsi="Calibri"/>
          <w:sz w:val="19"/>
          <w:szCs w:val="19"/>
          <w:color w:val="auto"/>
        </w:rPr>
        <w:t>Increasing efforts by governmental and third-party payers in the United States and abroad to control healthcare costs may cause such organizations to limit both coverage and the level of reimbursement for new products approved and, as a result, they may not cover or provide adequate payment for our product or any of our product candidates. Severe cost containment practices may adversely affect our product sales. Furthermore, the impact of the IRA on our business and the pharmaceutical industry generally is currently unknown. We expect to experience pricing pressures in connection with the sale of our product and any of our product candidates due to the trend toward managed healthcare, the increasing influence of health maintenance organizations and additional legislative changes.</w:t>
      </w:r>
    </w:p>
    <w:p>
      <w:pPr>
        <w:spacing w:after="0" w:line="20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Our product and our product candidates, even if approved, will remain subject to regulatory scrutiny.</w:t>
      </w:r>
    </w:p>
    <w:p>
      <w:pPr>
        <w:spacing w:after="0" w:line="240"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Our product and our product candidates, even if approved,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212" w:lineRule="exact"/>
        <w:rPr>
          <w:sz w:val="20"/>
          <w:szCs w:val="20"/>
          <w:color w:val="auto"/>
        </w:rPr>
      </w:pPr>
    </w:p>
    <w:p>
      <w:pPr>
        <w:jc w:val="both"/>
        <w:ind w:firstLine="490"/>
        <w:spacing w:after="0" w:line="244" w:lineRule="auto"/>
        <w:rPr>
          <w:sz w:val="20"/>
          <w:szCs w:val="20"/>
          <w:color w:val="auto"/>
        </w:rPr>
      </w:pPr>
      <w:r>
        <w:rPr>
          <w:rFonts w:ascii="Calibri" w:cs="Calibri" w:eastAsia="Calibri" w:hAnsi="Calibri"/>
          <w:sz w:val="20"/>
          <w:szCs w:val="20"/>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BLA submitted under Section 351(a) of the Public Health Service Act, or marketing authorization application (“MAA”). Accordingly, we and others with whom we work must continue to spend time, money and effort in all areas of regulatory compliance, including manufacturing, production and quality control.</w:t>
      </w:r>
    </w:p>
    <w:p>
      <w:pPr>
        <w:spacing w:after="0" w:line="216"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Any regulatory approvals that we or our collaboration partners receive for our product candidates may be subject to limitations on the approved indicated uses for which the product may be marketed or to the conditions of approval or may contain requirements for potentially costly additional clinical trials and surveillance to monitor the safety and efficacy of the product candidate. We will be required to report certain adverse events and production problems, if any, to the FDA and comparable foreign regulatory authorities. Any new legislation addressing drug safety issues could result in delays in product development or commercialization or increased costs to ensure compliance. We will have to comply with requirements concerning advertising and promotion for our product. Promotional communications with respect to prescription drugs are subject to a variety of legal and regulatory restrictions and must be consistent with the information in the product’s approved label. As such, we may not promote our product for indications or uses for which it does not have approval. If our product candidates are approved, we must submit new or supplemental applications and obtain approval for certain changes to the approved products, product labeling or manufacturing process. We or our collaboration partners could also be asked to conduct post-marketing clinical studies to verify the safety and efficacy of any product in general or in specific patient subsets.</w:t>
      </w:r>
    </w:p>
    <w:p>
      <w:pPr>
        <w:spacing w:after="0" w:line="218" w:lineRule="exact"/>
        <w:rPr>
          <w:sz w:val="20"/>
          <w:szCs w:val="20"/>
          <w:color w:val="auto"/>
        </w:rPr>
      </w:pPr>
    </w:p>
    <w:p>
      <w:pPr>
        <w:jc w:val="both"/>
        <w:ind w:firstLine="490"/>
        <w:spacing w:after="0" w:line="245" w:lineRule="auto"/>
        <w:rPr>
          <w:sz w:val="20"/>
          <w:szCs w:val="20"/>
          <w:color w:val="auto"/>
        </w:rPr>
      </w:pPr>
      <w:r>
        <w:rPr>
          <w:rFonts w:ascii="Calibri" w:cs="Calibri" w:eastAsia="Calibri" w:hAnsi="Calibri"/>
          <w:sz w:val="20"/>
          <w:szCs w:val="20"/>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possibilities:</w:t>
      </w:r>
    </w:p>
    <w:p>
      <w:pPr>
        <w:spacing w:after="0" w:line="106" w:lineRule="exact"/>
        <w:rPr>
          <w:sz w:val="20"/>
          <w:szCs w:val="20"/>
          <w:color w:val="auto"/>
        </w:rPr>
      </w:pPr>
    </w:p>
    <w:p>
      <w:pPr>
        <w:ind w:left="980" w:hanging="483"/>
        <w:spacing w:after="0"/>
        <w:tabs>
          <w:tab w:leader="none" w:pos="980" w:val="left"/>
        </w:tabs>
        <w:numPr>
          <w:ilvl w:val="0"/>
          <w:numId w:val="19"/>
        </w:numPr>
        <w:rPr>
          <w:rFonts w:ascii="Symbol" w:cs="Symbol" w:eastAsia="Symbol" w:hAnsi="Symbol"/>
          <w:sz w:val="20"/>
          <w:szCs w:val="20"/>
          <w:color w:val="auto"/>
        </w:rPr>
      </w:pPr>
      <w:r>
        <w:rPr>
          <w:rFonts w:ascii="Calibri" w:cs="Calibri" w:eastAsia="Calibri" w:hAnsi="Calibri"/>
          <w:sz w:val="20"/>
          <w:szCs w:val="20"/>
          <w:color w:val="auto"/>
        </w:rPr>
        <w:t>issue warning letters;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9"/>
        </w:numPr>
        <w:rPr>
          <w:rFonts w:ascii="Symbol" w:cs="Symbol" w:eastAsia="Symbol" w:hAnsi="Symbol"/>
          <w:sz w:val="20"/>
          <w:szCs w:val="20"/>
          <w:color w:val="auto"/>
        </w:rPr>
      </w:pPr>
      <w:r>
        <w:rPr>
          <w:rFonts w:ascii="Calibri" w:cs="Calibri" w:eastAsia="Calibri" w:hAnsi="Calibri"/>
          <w:sz w:val="20"/>
          <w:szCs w:val="20"/>
          <w:color w:val="auto"/>
        </w:rPr>
        <w:t>impose civil or criminal penalties;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9"/>
        </w:numPr>
        <w:rPr>
          <w:rFonts w:ascii="Symbol" w:cs="Symbol" w:eastAsia="Symbol" w:hAnsi="Symbol"/>
          <w:sz w:val="20"/>
          <w:szCs w:val="20"/>
          <w:color w:val="auto"/>
        </w:rPr>
      </w:pPr>
      <w:r>
        <w:rPr>
          <w:rFonts w:ascii="Calibri" w:cs="Calibri" w:eastAsia="Calibri" w:hAnsi="Calibri"/>
          <w:sz w:val="20"/>
          <w:szCs w:val="20"/>
          <w:color w:val="auto"/>
        </w:rPr>
        <w:t>suspend or withdraw regulatory approval;</w:t>
      </w:r>
    </w:p>
    <w:p>
      <w:pPr>
        <w:spacing w:after="0" w:line="120" w:lineRule="exact"/>
        <w:rPr>
          <w:rFonts w:ascii="Symbol" w:cs="Symbol" w:eastAsia="Symbol" w:hAnsi="Symbol"/>
          <w:sz w:val="20"/>
          <w:szCs w:val="20"/>
          <w:color w:val="auto"/>
        </w:rPr>
      </w:pPr>
    </w:p>
    <w:p>
      <w:pPr>
        <w:ind w:left="980" w:hanging="483"/>
        <w:spacing w:after="0"/>
        <w:tabs>
          <w:tab w:leader="none" w:pos="980" w:val="left"/>
        </w:tabs>
        <w:numPr>
          <w:ilvl w:val="0"/>
          <w:numId w:val="19"/>
        </w:numPr>
        <w:rPr>
          <w:rFonts w:ascii="Symbol" w:cs="Symbol" w:eastAsia="Symbol" w:hAnsi="Symbol"/>
          <w:sz w:val="20"/>
          <w:szCs w:val="20"/>
          <w:color w:val="auto"/>
        </w:rPr>
      </w:pPr>
      <w:r>
        <w:rPr>
          <w:rFonts w:ascii="Calibri" w:cs="Calibri" w:eastAsia="Calibri" w:hAnsi="Calibri"/>
          <w:sz w:val="20"/>
          <w:szCs w:val="20"/>
          <w:color w:val="auto"/>
        </w:rPr>
        <w:t>suspend any of our ongoing clinical studies;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19"/>
        </w:numPr>
        <w:rPr>
          <w:rFonts w:ascii="Symbol" w:cs="Symbol" w:eastAsia="Symbol" w:hAnsi="Symbol"/>
          <w:sz w:val="20"/>
          <w:szCs w:val="20"/>
          <w:color w:val="auto"/>
        </w:rPr>
      </w:pPr>
      <w:r>
        <w:rPr>
          <w:rFonts w:ascii="Calibri" w:cs="Calibri" w:eastAsia="Calibri" w:hAnsi="Calibri"/>
          <w:sz w:val="20"/>
          <w:szCs w:val="20"/>
          <w:color w:val="auto"/>
        </w:rPr>
        <w:t>refuse to approve pending applications or supplements to approved applications submitted by us;</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27</w:t>
      </w:r>
    </w:p>
    <w:p>
      <w:pPr>
        <w:sectPr>
          <w:pgSz w:w="12240" w:h="15840" w:orient="portrait"/>
          <w:cols w:equalWidth="0" w:num="1">
            <w:col w:w="11160"/>
          </w:cols>
          <w:pgMar w:left="540" w:top="532" w:right="540" w:bottom="9" w:gutter="0" w:footer="0" w:header="0"/>
          <w:type w:val="continuous"/>
        </w:sectPr>
      </w:pPr>
    </w:p>
    <w:bookmarkStart w:id="29" w:name="page30"/>
    <w:bookmarkEnd w:id="29"/>
    <w:p>
      <w:pPr>
        <w:ind w:left="980" w:hanging="483"/>
        <w:spacing w:after="0"/>
        <w:tabs>
          <w:tab w:leader="none" w:pos="980" w:val="left"/>
        </w:tabs>
        <w:numPr>
          <w:ilvl w:val="0"/>
          <w:numId w:val="20"/>
        </w:numPr>
        <w:rPr>
          <w:rFonts w:ascii="Symbol" w:cs="Symbol" w:eastAsia="Symbol" w:hAnsi="Symbol"/>
          <w:sz w:val="20"/>
          <w:szCs w:val="20"/>
          <w:color w:val="auto"/>
        </w:rPr>
      </w:pPr>
      <w:r>
        <w:rPr>
          <w:rFonts w:ascii="Calibri" w:cs="Calibri" w:eastAsia="Calibri" w:hAnsi="Calibri"/>
          <w:sz w:val="20"/>
          <w:szCs w:val="20"/>
          <w:color w:val="auto"/>
        </w:rPr>
        <w:t>impose restrictions on our operations, including closing our contract manufacturers’ facilities; or</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20"/>
        </w:numPr>
        <w:rPr>
          <w:rFonts w:ascii="Symbol" w:cs="Symbol" w:eastAsia="Symbol" w:hAnsi="Symbol"/>
          <w:sz w:val="20"/>
          <w:szCs w:val="20"/>
          <w:color w:val="auto"/>
        </w:rPr>
      </w:pPr>
      <w:r>
        <w:rPr>
          <w:rFonts w:ascii="Calibri" w:cs="Calibri" w:eastAsia="Calibri" w:hAnsi="Calibri"/>
          <w:sz w:val="20"/>
          <w:szCs w:val="20"/>
          <w:color w:val="auto"/>
        </w:rPr>
        <w:t>seize or detain products or require a product recall.</w:t>
      </w:r>
    </w:p>
    <w:p>
      <w:pPr>
        <w:spacing w:after="0" w:line="228"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If regulatory sanctions are applied or if regulatory approval is withdrawn, the value of our company and our operating results will be adversely affected.</w:t>
      </w:r>
    </w:p>
    <w:p>
      <w:pPr>
        <w:spacing w:after="0" w:line="212" w:lineRule="exact"/>
        <w:rPr>
          <w:sz w:val="20"/>
          <w:szCs w:val="20"/>
          <w:color w:val="auto"/>
        </w:rPr>
      </w:pPr>
    </w:p>
    <w:p>
      <w:pPr>
        <w:jc w:val="both"/>
        <w:ind w:firstLine="490"/>
        <w:spacing w:after="0" w:line="245" w:lineRule="auto"/>
        <w:rPr>
          <w:sz w:val="20"/>
          <w:szCs w:val="20"/>
          <w:color w:val="auto"/>
        </w:rPr>
      </w:pPr>
      <w:r>
        <w:rPr>
          <w:rFonts w:ascii="Calibri" w:cs="Calibri" w:eastAsia="Calibri" w:hAnsi="Calibri"/>
          <w:sz w:val="20"/>
          <w:szCs w:val="20"/>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the marketing approval that we have obtained and we may not sustain profitability, which would adversely affect our business, prospects, financial condition and results of operations.</w:t>
      </w:r>
    </w:p>
    <w:p>
      <w:pPr>
        <w:spacing w:after="0" w:line="216" w:lineRule="exact"/>
        <w:rPr>
          <w:sz w:val="20"/>
          <w:szCs w:val="20"/>
          <w:color w:val="auto"/>
        </w:rPr>
      </w:pPr>
    </w:p>
    <w:p>
      <w:pPr>
        <w:jc w:val="both"/>
        <w:ind w:firstLine="490"/>
        <w:spacing w:after="0" w:line="262" w:lineRule="auto"/>
        <w:rPr>
          <w:sz w:val="20"/>
          <w:szCs w:val="20"/>
          <w:color w:val="auto"/>
        </w:rPr>
      </w:pPr>
      <w:r>
        <w:rPr>
          <w:rFonts w:ascii="Calibri" w:cs="Calibri" w:eastAsia="Calibri" w:hAnsi="Calibri"/>
          <w:sz w:val="20"/>
          <w:szCs w:val="20"/>
          <w:color w:val="auto"/>
        </w:rPr>
        <w:t>We also cannot predict the likelihood, nature or extent of government regulation that may arise from future legislation or administrative or executive action, either in the United States, China or other foreign countries.</w:t>
      </w:r>
    </w:p>
    <w:p>
      <w:pPr>
        <w:spacing w:after="0" w:line="192" w:lineRule="exact"/>
        <w:rPr>
          <w:sz w:val="20"/>
          <w:szCs w:val="20"/>
          <w:color w:val="auto"/>
        </w:rPr>
      </w:pPr>
    </w:p>
    <w:p>
      <w:pPr>
        <w:jc w:val="both"/>
        <w:spacing w:after="0" w:line="247" w:lineRule="auto"/>
        <w:rPr>
          <w:sz w:val="20"/>
          <w:szCs w:val="20"/>
          <w:color w:val="auto"/>
        </w:rPr>
      </w:pPr>
      <w:r>
        <w:rPr>
          <w:rFonts w:ascii="Calibri" w:cs="Calibri" w:eastAsia="Calibri" w:hAnsi="Calibri"/>
          <w:sz w:val="20"/>
          <w:szCs w:val="20"/>
          <w:b w:val="1"/>
          <w:bCs w:val="1"/>
          <w:i w:val="1"/>
          <w:iCs w:val="1"/>
          <w:color w:val="auto"/>
        </w:rPr>
        <w:t>Disruptions at the FDA and other government agencies caused by funding shortages, staffing limitations, government shut-downs or global health concerns could hinder their ability to hire, retain or deploy key leadership and other personnel, and conduct inspections of manufacturing facilities, or otherwise prevent new or modified products from being developed, or approved or commercialized in a timely manner or at all, which could negatively impact our business.</w:t>
      </w:r>
    </w:p>
    <w:p>
      <w:pPr>
        <w:spacing w:after="0" w:line="214" w:lineRule="exact"/>
        <w:rPr>
          <w:sz w:val="20"/>
          <w:szCs w:val="20"/>
          <w:color w:val="auto"/>
        </w:rPr>
      </w:pPr>
    </w:p>
    <w:p>
      <w:pPr>
        <w:jc w:val="both"/>
        <w:ind w:firstLine="490"/>
        <w:spacing w:after="0" w:line="256" w:lineRule="auto"/>
        <w:rPr>
          <w:sz w:val="20"/>
          <w:szCs w:val="20"/>
          <w:color w:val="auto"/>
        </w:rPr>
      </w:pPr>
      <w:r>
        <w:rPr>
          <w:rFonts w:ascii="Calibri" w:cs="Calibri" w:eastAsia="Calibri" w:hAnsi="Calibri"/>
          <w:sz w:val="19"/>
          <w:szCs w:val="19"/>
          <w:color w:val="auto"/>
        </w:rPr>
        <w:t>The ability of the FDA to review and approve new products can be affected by a variety of factors, including government budget and funding levels, government shut-downs,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or approved by necessary government agencies, which would adversely affect our business. For example, in recent years, the U.S. government has shut down several times and 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spacing w:after="0" w:line="204"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If a prolonged government shutdown occurs, or if funding shortages, staffing limitations or policy changes hinder or prevent the FDA or other regulatory authorities from conducting their regular inspections, reviews, or other regulatory activities, such events could significantly impact the ability of the FDA or other such regulatory authorities to timely review and process our regulatory submissions, which could have a material adverse effect on our business.</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Risks Related to Competitive Activity</w:t>
      </w:r>
    </w:p>
    <w:p>
      <w:pPr>
        <w:spacing w:after="0" w:line="238" w:lineRule="exact"/>
        <w:rPr>
          <w:sz w:val="20"/>
          <w:szCs w:val="20"/>
          <w:color w:val="auto"/>
        </w:rPr>
      </w:pPr>
    </w:p>
    <w:p>
      <w:pPr>
        <w:jc w:val="both"/>
        <w:spacing w:after="0" w:line="263" w:lineRule="auto"/>
        <w:rPr>
          <w:sz w:val="20"/>
          <w:szCs w:val="20"/>
          <w:color w:val="auto"/>
        </w:rPr>
      </w:pPr>
      <w:r>
        <w:rPr>
          <w:rFonts w:ascii="Calibri" w:cs="Calibri" w:eastAsia="Calibri" w:hAnsi="Calibri"/>
          <w:sz w:val="20"/>
          <w:szCs w:val="20"/>
          <w:b w:val="1"/>
          <w:bCs w:val="1"/>
          <w:i w:val="1"/>
          <w:iCs w:val="1"/>
          <w:color w:val="auto"/>
        </w:rPr>
        <w:t>Our product LOQTORZI and product candidates tagmokitug and casdozokitug, if approved, will face significant competition from other immuno-oncology biologics. If we fail to compete effectively, we may not achieve significant market penetration and expansion.</w:t>
      </w:r>
    </w:p>
    <w:p>
      <w:pPr>
        <w:spacing w:after="0" w:line="195"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We operate in highly competitive pharmaceutical markets. Successful competitors in the pharmaceutical market have demonstrated the ability to effectively discover molecules, obtain patents, develop, test and obtain regulatory approvals for products, as well as an ability to effectively commercialize, market and promote approved products. Numerous companies, universities and other research institutions are engaged in developing, patenting, manufacturing and marketing of products competitive with those that we are developing. Many of these potential competitors are large, experienced multinational pharmaceutical and biotechnology companies that enjoy significant competitive advantages, such as substantially greater financial, research and development, legal, governmental affairs, manufacturing, personnel, and marketing resources, with additional benefits of mergers and acquisitions.</w:t>
      </w:r>
    </w:p>
    <w:p>
      <w:pPr>
        <w:spacing w:after="0" w:line="219" w:lineRule="exact"/>
        <w:rPr>
          <w:sz w:val="20"/>
          <w:szCs w:val="20"/>
          <w:color w:val="auto"/>
        </w:rPr>
      </w:pPr>
    </w:p>
    <w:p>
      <w:pPr>
        <w:jc w:val="both"/>
        <w:ind w:firstLine="490"/>
        <w:spacing w:after="0" w:line="245" w:lineRule="auto"/>
        <w:rPr>
          <w:sz w:val="20"/>
          <w:szCs w:val="20"/>
          <w:color w:val="auto"/>
        </w:rPr>
      </w:pPr>
      <w:r>
        <w:rPr>
          <w:rFonts w:ascii="Calibri" w:cs="Calibri" w:eastAsia="Calibri" w:hAnsi="Calibri"/>
          <w:sz w:val="20"/>
          <w:szCs w:val="20"/>
          <w:color w:val="auto"/>
        </w:rPr>
        <w:t>LOQTORZI entered a competitive market in the United States where a number of anti-PD-1 or PD-L1 antibody drugs have been approved by the FDA, including the following marketed products from several competitors: Keytruda® (pembrolizumab) from Merck &amp; Company, Inc., Opdivo® (nivolumab) from Bristol-Myers Squibb Company (“BMS”), Tecentriq® (atezolizumab) from Genentech, Inc. (“Genentech”), Imfinzi® (durvalumab) from AstraZeneca plc (“AstraZeneca”), Bavencio® (avelumab) from EMD Serono Inc. and Pfizer Inc. (“Pfizer”), Libtayo® (cemiplimab-rwlc) from Regeneron Pharmaceuticals, Inc. (“Regeneron”), Jemperli (dostarlimab-gxly) from</w:t>
      </w:r>
    </w:p>
    <w:p>
      <w:pPr>
        <w:sectPr>
          <w:pgSz w:w="12240" w:h="15840" w:orient="portrait"/>
          <w:cols w:equalWidth="0" w:num="1">
            <w:col w:w="11160"/>
          </w:cols>
          <w:pgMar w:left="540" w:top="544" w:right="540" w:bottom="9"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28</w:t>
      </w:r>
    </w:p>
    <w:p>
      <w:pPr>
        <w:sectPr>
          <w:pgSz w:w="12240" w:h="15840" w:orient="portrait"/>
          <w:cols w:equalWidth="0" w:num="1">
            <w:col w:w="11160"/>
          </w:cols>
          <w:pgMar w:left="540" w:top="544" w:right="540" w:bottom="9" w:gutter="0" w:footer="0" w:header="0"/>
          <w:type w:val="continuous"/>
        </w:sectPr>
      </w:pPr>
    </w:p>
    <w:bookmarkStart w:id="30" w:name="page31"/>
    <w:bookmarkEnd w:id="30"/>
    <w:p>
      <w:pPr>
        <w:jc w:val="both"/>
        <w:spacing w:after="0" w:line="247" w:lineRule="auto"/>
        <w:rPr>
          <w:sz w:val="20"/>
          <w:szCs w:val="20"/>
          <w:color w:val="auto"/>
        </w:rPr>
      </w:pPr>
      <w:r>
        <w:rPr>
          <w:rFonts w:ascii="Calibri" w:cs="Calibri" w:eastAsia="Calibri" w:hAnsi="Calibri"/>
          <w:sz w:val="20"/>
          <w:szCs w:val="20"/>
          <w:color w:val="auto"/>
        </w:rPr>
        <w:t>GlaxoSmithKline plc (“GlaxoSmithKline”) and TEVIMBRA® (tislelizumab-jsgr) from BeiGene, Ltd. Penpulimab-kcqx from Akeso Biopharma Co., Ltd. received approval from the FDA in April 2025 for the treatment of NPC. In addition to LOQTORZI, multiple other competitors are seeking to develop and approve novel anti-PD-1 or PD-L1 antibody drugs in the United States in the coming years, including but not limited to camrelizumab from Elevar Therapeutics, Inc. (in collaboration with Jiangsu Hengrui Pharmaceuticals Co., Ltd.).</w:t>
      </w:r>
    </w:p>
    <w:p>
      <w:pPr>
        <w:spacing w:after="0" w:line="212"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Casdozokitug is in development and, although it is the only antagonist antibody in development known to us that is targeting the immune regulatory cytokine IL-27, if approved it faces competition from other immuno-oncology products that are currently approved and that may be approved in the future.</w:t>
      </w:r>
    </w:p>
    <w:p>
      <w:pPr>
        <w:spacing w:after="0" w:line="206"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Tagmokitug is in development and, if approved, faces competition from programs in development specifically targeting CCR8, including those by Bristol-Myers Squibb Company, Gilead Sciences, Inc. / Jounce, Shionogi, AbbVie Inc., Bayer AG, F. Hoffmann-La Roche Ltd, Amgen Inc. (“Amgen”), LaNova Medicines and Nanjing Immunophage Biotech Co., Ltd. in addition to competition from other immuno-oncology products that are currently approved and that may be approved in the future.</w:t>
      </w:r>
    </w:p>
    <w:p>
      <w:pPr>
        <w:spacing w:after="0" w:line="212"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These companies may also have greater brand recognition and more experience in conducting preclinical testing and clinical trials of product candidates, obtaining FDA and other regulatory approvals of products and marketing and commercializing products once approved.</w:t>
      </w:r>
    </w:p>
    <w:p>
      <w:pPr>
        <w:spacing w:after="0" w:line="204" w:lineRule="exact"/>
        <w:rPr>
          <w:sz w:val="20"/>
          <w:szCs w:val="20"/>
          <w:color w:val="auto"/>
        </w:rPr>
      </w:pPr>
    </w:p>
    <w:p>
      <w:pPr>
        <w:jc w:val="both"/>
        <w:spacing w:after="0" w:line="251" w:lineRule="auto"/>
        <w:rPr>
          <w:sz w:val="20"/>
          <w:szCs w:val="20"/>
          <w:color w:val="auto"/>
        </w:rPr>
      </w:pPr>
      <w:r>
        <w:rPr>
          <w:rFonts w:ascii="Calibri" w:cs="Calibri" w:eastAsia="Calibri" w:hAnsi="Calibri"/>
          <w:sz w:val="20"/>
          <w:szCs w:val="20"/>
          <w:b w:val="1"/>
          <w:bCs w:val="1"/>
          <w:i w:val="1"/>
          <w:iCs w:val="1"/>
          <w:color w:val="auto"/>
        </w:rPr>
        <w:t>We face intense competition and rapid technological change and the possibility that our competitors may develop therapies that are similar, more advanced, less costly, easier to administer or more effective than ours, which may adversely affect our financial condition and our ability to successfully commercialize our product candidates.</w:t>
      </w:r>
    </w:p>
    <w:p>
      <w:pPr>
        <w:spacing w:after="0" w:line="208"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Many of our competitors have substantially greater financial, technical and other resources, including larger research and development, marketing and manufacturing organizations. Additionally, mergers and acquisitions in the pharmaceutical industry may result in even more resources being concentrated in our competitors. As a result, these companies may obtain regulatory approval more rapidly than we are able to and may be more effective in selling and marketing their products. Smaller or early-stage companies may also prove to be significant competitors, particularly through collaborative arrangements with large, established companies. Our competitors may succeed in developing, acquiring or licensing on an exclusive basis, products that are more effective or less costly than any product candidate that we may develop; they may also obtain patent protection that could block our product; and they may obtain regulatory approval, product commercialization and market penetration earlier than we do. Our competitors may have products that are easier to administer than our product, which could adversely affect our results. Biosimilar or immuno-oncology product candidates developed by our competitors may render our potential product candidates uneconomical, less desirable or obsolete, and we may not be successful in marketing our product candidates against competitors.</w:t>
      </w:r>
    </w:p>
    <w:p>
      <w:pPr>
        <w:spacing w:after="0" w:line="216" w:lineRule="exact"/>
        <w:rPr>
          <w:sz w:val="20"/>
          <w:szCs w:val="20"/>
          <w:color w:val="auto"/>
        </w:rPr>
      </w:pPr>
    </w:p>
    <w:p>
      <w:pPr>
        <w:jc w:val="both"/>
        <w:spacing w:after="0" w:line="255" w:lineRule="auto"/>
        <w:rPr>
          <w:sz w:val="20"/>
          <w:szCs w:val="20"/>
          <w:color w:val="auto"/>
        </w:rPr>
      </w:pPr>
      <w:r>
        <w:rPr>
          <w:rFonts w:ascii="Calibri" w:cs="Calibri" w:eastAsia="Calibri" w:hAnsi="Calibri"/>
          <w:sz w:val="20"/>
          <w:szCs w:val="20"/>
          <w:b w:val="1"/>
          <w:bCs w:val="1"/>
          <w:i w:val="1"/>
          <w:iCs w:val="1"/>
          <w:color w:val="auto"/>
        </w:rPr>
        <w:t xml:space="preserve">If other competitors to toripalimab (in indications besides those approved for LOQTORZI), casdozokitug and </w:t>
      </w:r>
      <w:r>
        <w:rPr>
          <w:rFonts w:ascii="Calibri" w:cs="Calibri" w:eastAsia="Calibri" w:hAnsi="Calibri"/>
          <w:sz w:val="20"/>
          <w:szCs w:val="20"/>
          <w:b w:val="1"/>
          <w:bCs w:val="1"/>
          <w:color w:val="auto"/>
        </w:rPr>
        <w:t>tagmokitug</w:t>
      </w:r>
      <w:r>
        <w:rPr>
          <w:rFonts w:ascii="Calibri" w:cs="Calibri" w:eastAsia="Calibri" w:hAnsi="Calibri"/>
          <w:sz w:val="20"/>
          <w:szCs w:val="20"/>
          <w:b w:val="1"/>
          <w:bCs w:val="1"/>
          <w:i w:val="1"/>
          <w:iCs w:val="1"/>
          <w:color w:val="auto"/>
        </w:rPr>
        <w:t xml:space="preserve"> are approved and successfully commercialized before toripalimab (in indications besides those approved for LOQTORZI), casdozokitug and </w:t>
      </w:r>
      <w:r>
        <w:rPr>
          <w:rFonts w:ascii="Calibri" w:cs="Calibri" w:eastAsia="Calibri" w:hAnsi="Calibri"/>
          <w:sz w:val="20"/>
          <w:szCs w:val="20"/>
          <w:b w:val="1"/>
          <w:bCs w:val="1"/>
          <w:color w:val="auto"/>
        </w:rPr>
        <w:t>tagmokitug</w:t>
      </w:r>
      <w:r>
        <w:rPr>
          <w:rFonts w:ascii="Calibri" w:cs="Calibri" w:eastAsia="Calibri" w:hAnsi="Calibri"/>
          <w:sz w:val="20"/>
          <w:szCs w:val="20"/>
          <w:b w:val="1"/>
          <w:bCs w:val="1"/>
          <w:i w:val="1"/>
          <w:iCs w:val="1"/>
          <w:color w:val="auto"/>
        </w:rPr>
        <w:t>, our business would suffer.</w:t>
      </w:r>
    </w:p>
    <w:p>
      <w:pPr>
        <w:spacing w:after="0" w:line="197" w:lineRule="exact"/>
        <w:rPr>
          <w:sz w:val="20"/>
          <w:szCs w:val="20"/>
          <w:color w:val="auto"/>
        </w:rPr>
      </w:pPr>
    </w:p>
    <w:p>
      <w:pPr>
        <w:jc w:val="both"/>
        <w:ind w:firstLine="490"/>
        <w:spacing w:after="0" w:line="245" w:lineRule="auto"/>
        <w:rPr>
          <w:sz w:val="20"/>
          <w:szCs w:val="20"/>
          <w:color w:val="auto"/>
        </w:rPr>
      </w:pPr>
      <w:r>
        <w:rPr>
          <w:rFonts w:ascii="Calibri" w:cs="Calibri" w:eastAsia="Calibri" w:hAnsi="Calibri"/>
          <w:sz w:val="20"/>
          <w:szCs w:val="20"/>
          <w:color w:val="auto"/>
        </w:rPr>
        <w:t>There are a number of companies that currently commercialize PD-1/PD-L1 blocking antibodies or are developing such compounds for commercialization in the United States. If other competitors to toripalimab (in indications besides those approved for LOQTORZI), casdozokitug and tagmokitug are successfully commercialized before toripalimab (in indications besides those approved for LOQTORZI), casdozokitug and tagmokitug, we may never achieve meaningful market share for these products, our revenue would be reduced and, as a result, our business, prospects and financial condition could suffer.</w:t>
      </w:r>
    </w:p>
    <w:p>
      <w:pPr>
        <w:spacing w:after="0" w:line="212" w:lineRule="exact"/>
        <w:rPr>
          <w:sz w:val="20"/>
          <w:szCs w:val="20"/>
          <w:color w:val="auto"/>
        </w:rPr>
      </w:pPr>
    </w:p>
    <w:p>
      <w:pPr>
        <w:jc w:val="both"/>
        <w:spacing w:after="0" w:line="263" w:lineRule="auto"/>
        <w:rPr>
          <w:sz w:val="20"/>
          <w:szCs w:val="20"/>
          <w:color w:val="auto"/>
        </w:rPr>
      </w:pPr>
      <w:r>
        <w:rPr>
          <w:rFonts w:ascii="Calibri" w:cs="Calibri" w:eastAsia="Calibri" w:hAnsi="Calibri"/>
          <w:sz w:val="20"/>
          <w:szCs w:val="20"/>
          <w:b w:val="1"/>
          <w:bCs w:val="1"/>
          <w:i w:val="1"/>
          <w:iCs w:val="1"/>
          <w:color w:val="auto"/>
        </w:rPr>
        <w:t>Any product candidates for which we intend to seek approval as original biologic products may face competition sooner than anticipated.</w:t>
      </w:r>
    </w:p>
    <w:p>
      <w:pPr>
        <w:spacing w:after="0" w:line="195"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Our development of novel biologic product candidates, such as casdozokitug and tagmokitug, subjects us to additional risks relating to biosimilar competition. In particular, under the Biologics Price Competition and Innovation Act of 2009,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spacing w:after="0" w:line="219" w:lineRule="exact"/>
        <w:rPr>
          <w:sz w:val="20"/>
          <w:szCs w:val="20"/>
          <w:color w:val="auto"/>
        </w:rPr>
      </w:pPr>
    </w:p>
    <w:p>
      <w:pPr>
        <w:jc w:val="both"/>
        <w:ind w:firstLine="490"/>
        <w:spacing w:after="0" w:line="262" w:lineRule="auto"/>
        <w:rPr>
          <w:sz w:val="20"/>
          <w:szCs w:val="20"/>
          <w:color w:val="auto"/>
        </w:rPr>
      </w:pPr>
      <w:r>
        <w:rPr>
          <w:rFonts w:ascii="Calibri" w:cs="Calibri" w:eastAsia="Calibri" w:hAnsi="Calibri"/>
          <w:sz w:val="20"/>
          <w:szCs w:val="20"/>
          <w:color w:val="auto"/>
        </w:rPr>
        <w:t>We believe that LOQTORZI does, and any of our product candidates approved under a BLA should, qualify for the 12-year period of exclusivity. However, there is a risk that this exclusivity could be shortened due to congressional action or otherwise, or that the FDA will</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29</w:t>
      </w:r>
    </w:p>
    <w:p>
      <w:pPr>
        <w:sectPr>
          <w:pgSz w:w="12240" w:h="15840" w:orient="portrait"/>
          <w:cols w:equalWidth="0" w:num="1">
            <w:col w:w="11160"/>
          </w:cols>
          <w:pgMar w:left="540" w:top="532" w:right="540" w:bottom="9" w:gutter="0" w:footer="0" w:header="0"/>
          <w:type w:val="continuous"/>
        </w:sectPr>
      </w:pPr>
    </w:p>
    <w:bookmarkStart w:id="31" w:name="page32"/>
    <w:bookmarkEnd w:id="31"/>
    <w:p>
      <w:pPr>
        <w:jc w:val="both"/>
        <w:spacing w:after="0" w:line="247" w:lineRule="auto"/>
        <w:rPr>
          <w:sz w:val="20"/>
          <w:szCs w:val="20"/>
          <w:color w:val="auto"/>
        </w:rPr>
      </w:pPr>
      <w:r>
        <w:rPr>
          <w:rFonts w:ascii="Calibri" w:cs="Calibri" w:eastAsia="Calibri" w:hAnsi="Calibri"/>
          <w:sz w:val="20"/>
          <w:szCs w:val="20"/>
          <w:color w:val="auto"/>
        </w:rPr>
        <w:t>not consider our product candidates to be reference products for competing products, potentially creating the opportunity for generic competition sooner than anticipated. Moreover, the extent to which a biosimilar, once approved, could be substituted for any one of our reference products in a way that is similar to traditional generic substitution for non-biological products will depend on a number of marketplace and regulatory factors.</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Risks Related to Our Ability to Hire and Retain Highly Qualified Personnel</w:t>
      </w:r>
    </w:p>
    <w:p>
      <w:pPr>
        <w:spacing w:after="0" w:line="238" w:lineRule="exact"/>
        <w:rPr>
          <w:sz w:val="20"/>
          <w:szCs w:val="20"/>
          <w:color w:val="auto"/>
        </w:rPr>
      </w:pPr>
    </w:p>
    <w:p>
      <w:pPr>
        <w:jc w:val="both"/>
        <w:spacing w:after="0" w:line="251" w:lineRule="auto"/>
        <w:rPr>
          <w:sz w:val="20"/>
          <w:szCs w:val="20"/>
          <w:color w:val="auto"/>
        </w:rPr>
      </w:pPr>
      <w:r>
        <w:rPr>
          <w:rFonts w:ascii="Calibri" w:cs="Calibri" w:eastAsia="Calibri" w:hAnsi="Calibri"/>
          <w:sz w:val="20"/>
          <w:szCs w:val="20"/>
          <w:b w:val="1"/>
          <w:bCs w:val="1"/>
          <w:i w:val="1"/>
          <w:iCs w:val="1"/>
          <w:color w:val="auto"/>
        </w:rPr>
        <w:t>We are highly dependent on the services of our key executives and personnel, including our President and Chief Executive Officer, Dennis M. Lanfear, and if we are not able to retain these members of our management or recruit additional management, product development and scientific personnel, our business will suffer.</w:t>
      </w:r>
    </w:p>
    <w:p>
      <w:pPr>
        <w:spacing w:after="0" w:line="208" w:lineRule="exact"/>
        <w:rPr>
          <w:sz w:val="20"/>
          <w:szCs w:val="20"/>
          <w:color w:val="auto"/>
        </w:rPr>
      </w:pPr>
    </w:p>
    <w:p>
      <w:pPr>
        <w:jc w:val="both"/>
        <w:ind w:firstLine="490"/>
        <w:spacing w:after="0" w:line="244" w:lineRule="auto"/>
        <w:rPr>
          <w:sz w:val="20"/>
          <w:szCs w:val="20"/>
          <w:color w:val="auto"/>
        </w:rPr>
      </w:pPr>
      <w:r>
        <w:rPr>
          <w:rFonts w:ascii="Calibri" w:cs="Calibri" w:eastAsia="Calibri" w:hAnsi="Calibri"/>
          <w:sz w:val="20"/>
          <w:szCs w:val="20"/>
          <w:color w:val="auto"/>
        </w:rPr>
        <w:t>We are highly dependent on the principal members of our management and scientific and technical staff. The loss of service of any of our management or key scientific and technical staff could harm our business. In addition, we are dependent on our continued ability to attract, retain and motivate highly qualified additional management, product development and scientific personnel. If we are not able to retain our management, particularly our President and Chief Executive Officer, Mr. Lanfear, and to attract, on acceptable terms, additional qualified personnel necessary for the continued development of our business, we may not be able to sustain our operations or grow.</w:t>
      </w:r>
    </w:p>
    <w:p>
      <w:pPr>
        <w:spacing w:after="0" w:line="216" w:lineRule="exact"/>
        <w:rPr>
          <w:sz w:val="20"/>
          <w:szCs w:val="20"/>
          <w:color w:val="auto"/>
        </w:rPr>
      </w:pPr>
    </w:p>
    <w:p>
      <w:pPr>
        <w:jc w:val="both"/>
        <w:ind w:firstLine="490"/>
        <w:spacing w:after="0" w:line="244" w:lineRule="auto"/>
        <w:rPr>
          <w:sz w:val="20"/>
          <w:szCs w:val="20"/>
          <w:color w:val="auto"/>
        </w:rPr>
      </w:pPr>
      <w:r>
        <w:rPr>
          <w:rFonts w:ascii="Calibri" w:cs="Calibri" w:eastAsia="Calibri" w:hAnsi="Calibri"/>
          <w:sz w:val="20"/>
          <w:szCs w:val="20"/>
          <w:color w:val="auto"/>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and product candidates, harming future regulatory approvals, sales of our product and product candidates and our results of operations. Additionally, we do not currently maintain “key person” life insurance on the lives of our executives or any of our employees.</w:t>
      </w:r>
    </w:p>
    <w:p>
      <w:pPr>
        <w:spacing w:after="0" w:line="216"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We will need to expand and effectively manage our managerial, scientific, operational, financial, commercial and other resources in order to successfully pursue our product development and commercialization efforts. Our success also depends on our continued ability to attract, retain and motivate highly qualified management and technical personnel. We may not be able to attract or retain qualified management and scientific and product development personnel in the future due to the intense competition for qualified personnel among biotechnology, pharmaceutical and other businesses, particularly those located in the San Francisco Bay Area. We also use equity compensation as a part of a comprehensive compensation package for our personnel. The majority of our outstanding options have exercise prices that are above our current stock price. See the tables in Note 12. Stock-Based Compensation and Employee Benefits in the footnotes to our financial statements included in our Annual Report for the Fiscal Year ended December 31, 2025, describing our outstanding stock options as of December 31, 2025. 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16" w:lineRule="exact"/>
        <w:rPr>
          <w:sz w:val="20"/>
          <w:szCs w:val="20"/>
          <w:color w:val="auto"/>
        </w:rPr>
      </w:pPr>
    </w:p>
    <w:p>
      <w:pPr>
        <w:jc w:val="both"/>
        <w:spacing w:after="0" w:line="262" w:lineRule="auto"/>
        <w:rPr>
          <w:sz w:val="20"/>
          <w:szCs w:val="20"/>
          <w:color w:val="auto"/>
        </w:rPr>
      </w:pPr>
      <w:r>
        <w:rPr>
          <w:rFonts w:ascii="Calibri" w:cs="Calibri" w:eastAsia="Calibri" w:hAnsi="Calibri"/>
          <w:sz w:val="20"/>
          <w:szCs w:val="20"/>
          <w:b w:val="1"/>
          <w:bCs w:val="1"/>
          <w:i w:val="1"/>
          <w:iCs w:val="1"/>
          <w:color w:val="auto"/>
        </w:rPr>
        <w:t>We may experience difficulties in managing changes in our number of employees, particularly due to employees departing due to divestitures, reductions in force and turnover, which could disrupt our operations.</w:t>
      </w:r>
    </w:p>
    <w:p>
      <w:pPr>
        <w:spacing w:after="0" w:line="197"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As of December 31, 2025, we had 147 full-time and part-time employees, which represented a decrease of 81 full-time and part-time employees since December 31, 2024. As our development and commercialization plans and strategies develop and evolve from time to time we face difficulty managing these changes as we experience changes in our number of employees, including due to divestitures, like the employee transfers to Accord in the UDENYCA Sale effective on the UDENYCA Closing Date, reductions in force and turnover. We may not be able to effectively manage during a period of significant change in our number of employees, which may result in weaknesses in our infrastructure, operational mistakes, loss of business opportunities and reduced productivity and morale among remaining employees. If our management is unable to effectively manage the changes in our number of employees, our expenses may increase more than expected and our ability to generate or grow revenue could be reduced. Our future financial performance and our ability to commercialize product candidates and compete effectively will depend, in part, on our ability to effectively manage changes in our number of employees.</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30</w:t>
      </w:r>
    </w:p>
    <w:p>
      <w:pPr>
        <w:sectPr>
          <w:pgSz w:w="12240" w:h="15840" w:orient="portrait"/>
          <w:cols w:equalWidth="0" w:num="1">
            <w:col w:w="11160"/>
          </w:cols>
          <w:pgMar w:left="540" w:top="532" w:right="540" w:bottom="9" w:gutter="0" w:footer="0" w:header="0"/>
          <w:type w:val="continuous"/>
        </w:sectPr>
      </w:pPr>
    </w:p>
    <w:bookmarkStart w:id="32" w:name="page33"/>
    <w:bookmarkEnd w:id="32"/>
    <w:p>
      <w:pPr>
        <w:spacing w:after="0"/>
        <w:rPr>
          <w:sz w:val="20"/>
          <w:szCs w:val="20"/>
          <w:color w:val="auto"/>
        </w:rPr>
      </w:pPr>
      <w:r>
        <w:rPr>
          <w:rFonts w:ascii="Calibri" w:cs="Calibri" w:eastAsia="Calibri" w:hAnsi="Calibri"/>
          <w:sz w:val="20"/>
          <w:szCs w:val="20"/>
          <w:b w:val="1"/>
          <w:bCs w:val="1"/>
          <w:color w:val="auto"/>
        </w:rPr>
        <w:t>Risks Related to Reliance on Third Parties</w:t>
      </w:r>
    </w:p>
    <w:p>
      <w:pPr>
        <w:spacing w:after="0" w:line="238" w:lineRule="exact"/>
        <w:rPr>
          <w:sz w:val="20"/>
          <w:szCs w:val="20"/>
          <w:color w:val="auto"/>
        </w:rPr>
      </w:pPr>
    </w:p>
    <w:p>
      <w:pPr>
        <w:jc w:val="both"/>
        <w:spacing w:after="0" w:line="247" w:lineRule="auto"/>
        <w:rPr>
          <w:sz w:val="20"/>
          <w:szCs w:val="20"/>
          <w:color w:val="auto"/>
        </w:rPr>
      </w:pPr>
      <w:r>
        <w:rPr>
          <w:rFonts w:ascii="Calibri" w:cs="Calibri" w:eastAsia="Calibri" w:hAnsi="Calibri"/>
          <w:sz w:val="20"/>
          <w:szCs w:val="20"/>
          <w:b w:val="1"/>
          <w:bCs w:val="1"/>
          <w:i w:val="1"/>
          <w:iCs w:val="1"/>
          <w:color w:val="auto"/>
        </w:rPr>
        <w:t>We rely on third parties, and in some cases a single third party, to manufacture nonclinical, clinical and commercial drug supplies of our product and product candidates and to store critical components of our product and product candidates for us. Our business could be harmed if those third parties fail to provide us with sufficient quantities of our product and product candidates or fail to do so at acceptable quality levels or prices.</w:t>
      </w:r>
    </w:p>
    <w:p>
      <w:pPr>
        <w:spacing w:after="0" w:line="214" w:lineRule="exact"/>
        <w:rPr>
          <w:sz w:val="20"/>
          <w:szCs w:val="20"/>
          <w:color w:val="auto"/>
        </w:rPr>
      </w:pPr>
    </w:p>
    <w:p>
      <w:pPr>
        <w:jc w:val="both"/>
        <w:ind w:firstLine="490"/>
        <w:spacing w:after="0" w:line="241" w:lineRule="auto"/>
        <w:rPr>
          <w:sz w:val="20"/>
          <w:szCs w:val="20"/>
          <w:color w:val="auto"/>
        </w:rPr>
      </w:pPr>
      <w:r>
        <w:rPr>
          <w:rFonts w:ascii="Calibri" w:cs="Calibri" w:eastAsia="Calibri" w:hAnsi="Calibri"/>
          <w:sz w:val="20"/>
          <w:szCs w:val="20"/>
          <w:color w:val="auto"/>
        </w:rPr>
        <w:t>We do not currently have the infrastructure or capability internally to manufacture supplies of our product and product candidates for use in our nonclinical and clinical studies, and we lack the resources and the capability to manufacture any of our product and product candidates on a clinical or commercial scale. We rely on third-party manufacturers to manufacture and supply us with our product and product candidates for our preclinical and clinical studies as well as to maintain commercial supplies of our product. Successfully transferring complicated manufacturing techniques to contract manufacturing organizations and scaling up these techniques for commercial quantities is time consuming and we may not be able to achieve such transfer or do so in a timely manner. Moreover, the availability of contract manufacturing services for protein-based therapeutics is highly variable and there are periods of relatively abundant capacity alternating with periods in which there is little available capacity. If our need for contract manufacturing services increases during a period of industry-wide production capacity shortage, we may not be able to produce our product candidates on a timely basis or on commercially viable terms. Although we will plan accordingly and generally do not begin a clinical study unless we believe we have a sufficient supply of a product candidate to complete such study, any significant delay or discontinuation in the supply of a product candidate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226" w:lineRule="exact"/>
        <w:rPr>
          <w:sz w:val="20"/>
          <w:szCs w:val="20"/>
          <w:color w:val="auto"/>
        </w:rPr>
      </w:pPr>
    </w:p>
    <w:p>
      <w:pPr>
        <w:jc w:val="both"/>
        <w:ind w:firstLine="490"/>
        <w:spacing w:after="0" w:line="241" w:lineRule="auto"/>
        <w:rPr>
          <w:sz w:val="20"/>
          <w:szCs w:val="20"/>
          <w:color w:val="auto"/>
        </w:rPr>
      </w:pPr>
      <w:r>
        <w:rPr>
          <w:rFonts w:ascii="Calibri" w:cs="Calibri" w:eastAsia="Calibri" w:hAnsi="Calibri"/>
          <w:sz w:val="20"/>
          <w:szCs w:val="20"/>
          <w:color w:val="auto"/>
        </w:rPr>
        <w:t>Reliance on third-party manufacturers entails additional risks, including reliance on the third party for regulatory compliance and quality assurance, the possible breach of the manufacturing agreement by the third party and the possible termination or nonrenewal of the agreement by the third party at a time that is costly or inconvenient for us. In addition, third-party manufacturers may not be able to comply with cGMP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 seizures or recalls of our product, operating restrictions and criminal prosecutions, any of which could significantly and adversely affect supplies of our product or any other product candidates or products that we may develop. Any failure or refusal to supply the components for product candidates that we may develop could delay, prevent or impair our clinical development or commercialization efforts. If our contract manufacturers were to breach or terminate their manufacturing arrangements with us, the development or commercialization of the affected product or product candidates could be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227"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If any of our product candidates are approved, in order to produce the quantities necessary to meet anticipated market demand, any contract manufacturer that we engage may need to increase manufacturing capacity. If we are unable to build and stock our product candidates in sufficient quantities to meet the requirements for the launch of these candidates or to meet future demand, our revenue and gross margins could be adversely affected. We cannot be certain that we will be able to obtain long-term supply arrangements for our product candidates or materials used to produce them on acceptable terms, if at all. If we are unable to arrange for third-party manufacturing, or to do so on commercially reasonable terms, we may not be able to complete development of our product candidates or market them.</w:t>
      </w:r>
    </w:p>
    <w:p>
      <w:pPr>
        <w:spacing w:after="0" w:line="216" w:lineRule="exact"/>
        <w:rPr>
          <w:sz w:val="20"/>
          <w:szCs w:val="20"/>
          <w:color w:val="auto"/>
        </w:rPr>
      </w:pPr>
    </w:p>
    <w:p>
      <w:pPr>
        <w:jc w:val="both"/>
        <w:spacing w:after="0" w:line="251" w:lineRule="auto"/>
        <w:rPr>
          <w:sz w:val="20"/>
          <w:szCs w:val="20"/>
          <w:color w:val="auto"/>
        </w:rPr>
      </w:pPr>
      <w:r>
        <w:rPr>
          <w:rFonts w:ascii="Calibri" w:cs="Calibri" w:eastAsia="Calibri" w:hAnsi="Calibri"/>
          <w:sz w:val="20"/>
          <w:szCs w:val="20"/>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209" w:lineRule="exact"/>
        <w:rPr>
          <w:sz w:val="20"/>
          <w:szCs w:val="20"/>
          <w:color w:val="auto"/>
        </w:rPr>
      </w:pPr>
    </w:p>
    <w:p>
      <w:pPr>
        <w:jc w:val="both"/>
        <w:ind w:firstLine="490"/>
        <w:spacing w:after="0" w:line="256" w:lineRule="auto"/>
        <w:rPr>
          <w:sz w:val="20"/>
          <w:szCs w:val="20"/>
          <w:color w:val="auto"/>
        </w:rPr>
      </w:pPr>
      <w:r>
        <w:rPr>
          <w:rFonts w:ascii="Calibri" w:cs="Calibri" w:eastAsia="Calibri" w:hAnsi="Calibri"/>
          <w:sz w:val="19"/>
          <w:szCs w:val="19"/>
          <w:color w:val="auto"/>
        </w:rPr>
        <w:t>We have relied upon and plan to continue to rely upon third-party clinical research organizations (“CROs”) to monitor and manage data for our ongoing nonclinical and clinical programs.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cGMP, GCP, and Good Laboratory Practices, which are regulations and guidelines enforced by the FDA, the Competent Authorities of the Member States of the European Economic Area (the “EEA”) and comparable foreign regulatory authorities for all of our product candidates in clinical development. Regulatory authorities enforce these regulations through periodic inspections or remote regulatory assessments (“RRAs”) of study sponsors, principal investigators, study sites and other contractors. If we, any of our CROs, service providers or investigators fail to comply with applicable</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31</w:t>
      </w:r>
    </w:p>
    <w:p>
      <w:pPr>
        <w:sectPr>
          <w:pgSz w:w="12240" w:h="15840" w:orient="portrait"/>
          <w:cols w:equalWidth="0" w:num="1">
            <w:col w:w="11160"/>
          </w:cols>
          <w:pgMar w:left="540" w:top="531" w:right="540" w:bottom="9" w:gutter="0" w:footer="0" w:header="0"/>
          <w:type w:val="continuous"/>
        </w:sectPr>
      </w:pPr>
    </w:p>
    <w:bookmarkStart w:id="33" w:name="page34"/>
    <w:bookmarkEnd w:id="33"/>
    <w:p>
      <w:pPr>
        <w:jc w:val="both"/>
        <w:spacing w:after="0" w:line="243" w:lineRule="auto"/>
        <w:rPr>
          <w:sz w:val="20"/>
          <w:szCs w:val="20"/>
          <w:color w:val="auto"/>
        </w:rPr>
      </w:pPr>
      <w:r>
        <w:rPr>
          <w:rFonts w:ascii="Calibri" w:cs="Calibri" w:eastAsia="Calibri" w:hAnsi="Calibri"/>
          <w:sz w:val="20"/>
          <w:szCs w:val="20"/>
          <w:color w:val="auto"/>
        </w:rPr>
        <w:t>regulations or GCPs, the data generated in our nonclinical and clinical studies may be deemed unreliable and the FDA, EMA or comparable foreign regulatory authorities may require us to perform additional nonclinical and clinical studies before approving our marketing applications. There can be no assurance that upon inspection or conclusion of an RRA by a given regulatory authority, such regulatory authority will determine that any of our clinical studies comply with GCP regulations. In addition, our clinical studies must be conducted with product generated under cGMP regulations. Failure to comply by any of the participating parties or ourselves with these regulations may require us to repeat clinical studies, which would delay the regulatory approval process. Moreover, our business may be implicated if our CROs or any other participating parties violate federal or state fraud and abuse or false claims laws and regulations or healthcare or data privacy and security laws.</w:t>
      </w:r>
    </w:p>
    <w:p>
      <w:pPr>
        <w:spacing w:after="0" w:line="215"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222" w:lineRule="exact"/>
        <w:rPr>
          <w:sz w:val="20"/>
          <w:szCs w:val="20"/>
          <w:color w:val="auto"/>
        </w:rPr>
      </w:pPr>
    </w:p>
    <w:p>
      <w:pPr>
        <w:jc w:val="both"/>
        <w:ind w:firstLine="490"/>
        <w:spacing w:after="0" w:line="245" w:lineRule="auto"/>
        <w:rPr>
          <w:sz w:val="20"/>
          <w:szCs w:val="20"/>
          <w:color w:val="auto"/>
        </w:rPr>
      </w:pPr>
      <w:r>
        <w:rPr>
          <w:rFonts w:ascii="Calibri" w:cs="Calibri" w:eastAsia="Calibri" w:hAnsi="Calibri"/>
          <w:sz w:val="20"/>
          <w:szCs w:val="20"/>
          <w:color w:val="auto"/>
        </w:rPr>
        <w:t>Switching or adding additional CROs involves additional cost and requires management time and focus. In addition, a transition period is necessary when a new CRO commences work, which can materially impact our ability to meet our desired clinical development timelines. Though we strive to carefully manage our relationships with our CROs, there can be no assurance that we will not encounter similar challenges or delays in the future or that these delays or challenges will not have a material adverse impact on our business, prospects and financial condition.</w:t>
      </w:r>
    </w:p>
    <w:p>
      <w:pPr>
        <w:spacing w:after="0" w:line="214" w:lineRule="exact"/>
        <w:rPr>
          <w:sz w:val="20"/>
          <w:szCs w:val="20"/>
          <w:color w:val="auto"/>
        </w:rPr>
      </w:pPr>
    </w:p>
    <w:p>
      <w:pPr>
        <w:jc w:val="both"/>
        <w:spacing w:after="0" w:line="262" w:lineRule="auto"/>
        <w:rPr>
          <w:sz w:val="20"/>
          <w:szCs w:val="20"/>
          <w:color w:val="auto"/>
        </w:rPr>
      </w:pPr>
      <w:r>
        <w:rPr>
          <w:rFonts w:ascii="Calibri" w:cs="Calibri" w:eastAsia="Calibri" w:hAnsi="Calibri"/>
          <w:sz w:val="20"/>
          <w:szCs w:val="20"/>
          <w:b w:val="1"/>
          <w:bCs w:val="1"/>
          <w:i w:val="1"/>
          <w:iCs w:val="1"/>
          <w:color w:val="auto"/>
        </w:rPr>
        <w:t>We are dependent on Junshi Biosciences for the commercialization of our product and the failure to commercialize could have a material adverse effect on our business and operating results.</w:t>
      </w:r>
    </w:p>
    <w:p>
      <w:pPr>
        <w:spacing w:after="0" w:line="197" w:lineRule="exact"/>
        <w:rPr>
          <w:sz w:val="20"/>
          <w:szCs w:val="20"/>
          <w:color w:val="auto"/>
        </w:rPr>
      </w:pPr>
    </w:p>
    <w:p>
      <w:pPr>
        <w:ind w:left="500"/>
        <w:spacing w:after="0"/>
        <w:rPr>
          <w:sz w:val="20"/>
          <w:szCs w:val="20"/>
          <w:color w:val="auto"/>
        </w:rPr>
      </w:pPr>
      <w:r>
        <w:rPr>
          <w:rFonts w:ascii="Calibri" w:cs="Calibri" w:eastAsia="Calibri" w:hAnsi="Calibri"/>
          <w:sz w:val="20"/>
          <w:szCs w:val="20"/>
          <w:color w:val="auto"/>
        </w:rPr>
        <w:t>We have an exclusive license from Junshi Biosciences to develop and commercialize LOQTORZI in the United States and Canada.</w:t>
      </w:r>
    </w:p>
    <w:p>
      <w:pPr>
        <w:spacing w:after="0" w:line="22" w:lineRule="exact"/>
        <w:rPr>
          <w:sz w:val="20"/>
          <w:szCs w:val="20"/>
          <w:color w:val="auto"/>
        </w:rPr>
      </w:pPr>
    </w:p>
    <w:p>
      <w:pPr>
        <w:spacing w:after="0"/>
        <w:rPr>
          <w:sz w:val="20"/>
          <w:szCs w:val="20"/>
          <w:color w:val="auto"/>
        </w:rPr>
      </w:pPr>
      <w:r>
        <w:rPr>
          <w:rFonts w:ascii="Calibri" w:cs="Calibri" w:eastAsia="Calibri" w:hAnsi="Calibri"/>
          <w:sz w:val="20"/>
          <w:szCs w:val="20"/>
          <w:color w:val="auto"/>
        </w:rPr>
        <w:t>Junshi Biosciences is responsible for supplying us with drug substance and final drug products.</w:t>
      </w:r>
    </w:p>
    <w:p>
      <w:pPr>
        <w:spacing w:after="0" w:line="218" w:lineRule="exact"/>
        <w:rPr>
          <w:sz w:val="20"/>
          <w:szCs w:val="20"/>
          <w:color w:val="auto"/>
        </w:rPr>
      </w:pPr>
    </w:p>
    <w:p>
      <w:pPr>
        <w:jc w:val="both"/>
        <w:ind w:firstLine="490"/>
        <w:spacing w:after="0" w:line="262" w:lineRule="auto"/>
        <w:rPr>
          <w:sz w:val="20"/>
          <w:szCs w:val="20"/>
          <w:color w:val="auto"/>
        </w:rPr>
      </w:pPr>
      <w:r>
        <w:rPr>
          <w:rFonts w:ascii="Calibri" w:cs="Calibri" w:eastAsia="Calibri" w:hAnsi="Calibri"/>
          <w:sz w:val="20"/>
          <w:szCs w:val="20"/>
          <w:color w:val="auto"/>
        </w:rPr>
        <w:t>Our license with Junshi Biosciences or other future license or collaboration agreements, may not result in positive outcomes. Factors that may affect the success of our licenses and collaborations include, but are not limited to, the following:</w:t>
      </w:r>
    </w:p>
    <w:p>
      <w:pPr>
        <w:spacing w:after="0" w:line="85" w:lineRule="exact"/>
        <w:rPr>
          <w:sz w:val="20"/>
          <w:szCs w:val="20"/>
          <w:color w:val="auto"/>
        </w:rPr>
      </w:pPr>
    </w:p>
    <w:p>
      <w:pPr>
        <w:ind w:left="980" w:hanging="483"/>
        <w:spacing w:after="0" w:line="253" w:lineRule="auto"/>
        <w:tabs>
          <w:tab w:leader="none" w:pos="980" w:val="left"/>
        </w:tabs>
        <w:numPr>
          <w:ilvl w:val="0"/>
          <w:numId w:val="21"/>
        </w:numPr>
        <w:rPr>
          <w:rFonts w:ascii="Symbol" w:cs="Symbol" w:eastAsia="Symbol" w:hAnsi="Symbol"/>
          <w:sz w:val="20"/>
          <w:szCs w:val="20"/>
          <w:color w:val="auto"/>
        </w:rPr>
      </w:pPr>
      <w:r>
        <w:rPr>
          <w:rFonts w:ascii="Calibri" w:cs="Calibri" w:eastAsia="Calibri" w:hAnsi="Calibri"/>
          <w:sz w:val="20"/>
          <w:szCs w:val="20"/>
          <w:color w:val="auto"/>
        </w:rPr>
        <w:t>our existing and potential collaboration partners may fail to provide sufficient amounts of commercial product, including because of import restrictions, or they may be ineffective in doing so;</w:t>
      </w:r>
    </w:p>
    <w:p>
      <w:pPr>
        <w:spacing w:after="0" w:line="93" w:lineRule="exact"/>
        <w:rPr>
          <w:rFonts w:ascii="Symbol" w:cs="Symbol" w:eastAsia="Symbol" w:hAnsi="Symbol"/>
          <w:sz w:val="20"/>
          <w:szCs w:val="20"/>
          <w:color w:val="auto"/>
        </w:rPr>
      </w:pPr>
    </w:p>
    <w:p>
      <w:pPr>
        <w:ind w:left="980" w:right="20" w:hanging="483"/>
        <w:spacing w:after="0" w:line="253" w:lineRule="auto"/>
        <w:tabs>
          <w:tab w:leader="none" w:pos="980" w:val="left"/>
        </w:tabs>
        <w:numPr>
          <w:ilvl w:val="0"/>
          <w:numId w:val="21"/>
        </w:numPr>
        <w:rPr>
          <w:rFonts w:ascii="Symbol" w:cs="Symbol" w:eastAsia="Symbol" w:hAnsi="Symbol"/>
          <w:sz w:val="20"/>
          <w:szCs w:val="20"/>
          <w:color w:val="auto"/>
        </w:rPr>
      </w:pPr>
      <w:r>
        <w:rPr>
          <w:rFonts w:ascii="Calibri" w:cs="Calibri" w:eastAsia="Calibri" w:hAnsi="Calibri"/>
          <w:sz w:val="20"/>
          <w:szCs w:val="20"/>
          <w:color w:val="auto"/>
        </w:rPr>
        <w:t>our existing and potential collaboration partners may fail regulatory inspections or RRAs which may preclude or delay the delivery of commercial product;</w:t>
      </w:r>
    </w:p>
    <w:p>
      <w:pPr>
        <w:spacing w:after="0" w:line="93"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21"/>
        </w:numPr>
        <w:rPr>
          <w:rFonts w:ascii="Symbol" w:cs="Symbol" w:eastAsia="Symbol" w:hAnsi="Symbol"/>
          <w:sz w:val="20"/>
          <w:szCs w:val="20"/>
          <w:color w:val="auto"/>
        </w:rPr>
      </w:pPr>
      <w:r>
        <w:rPr>
          <w:rFonts w:ascii="Calibri" w:cs="Calibri" w:eastAsia="Calibri" w:hAnsi="Calibri"/>
          <w:sz w:val="20"/>
          <w:szCs w:val="20"/>
          <w:color w:val="auto"/>
        </w:rPr>
        <w:t>our existing and potential licensees and collaboration partners may incur financial, legal or other difficulties that force them to limit or reduce their participation in our joint projects;</w:t>
      </w:r>
    </w:p>
    <w:p>
      <w:pPr>
        <w:spacing w:after="0" w:line="97" w:lineRule="exact"/>
        <w:rPr>
          <w:rFonts w:ascii="Symbol" w:cs="Symbol" w:eastAsia="Symbol" w:hAnsi="Symbol"/>
          <w:sz w:val="20"/>
          <w:szCs w:val="20"/>
          <w:color w:val="auto"/>
        </w:rPr>
      </w:pPr>
    </w:p>
    <w:p>
      <w:pPr>
        <w:jc w:val="both"/>
        <w:ind w:left="980" w:right="20" w:hanging="483"/>
        <w:spacing w:after="0" w:line="246" w:lineRule="auto"/>
        <w:tabs>
          <w:tab w:leader="none" w:pos="980" w:val="left"/>
        </w:tabs>
        <w:numPr>
          <w:ilvl w:val="0"/>
          <w:numId w:val="21"/>
        </w:numPr>
        <w:rPr>
          <w:rFonts w:ascii="Symbol" w:cs="Symbol" w:eastAsia="Symbol" w:hAnsi="Symbol"/>
          <w:sz w:val="20"/>
          <w:szCs w:val="20"/>
          <w:color w:val="auto"/>
        </w:rPr>
      </w:pPr>
      <w:r>
        <w:rPr>
          <w:rFonts w:ascii="Calibri" w:cs="Calibri" w:eastAsia="Calibri" w:hAnsi="Calibri"/>
          <w:sz w:val="20"/>
          <w:szCs w:val="20"/>
          <w:color w:val="auto"/>
        </w:rPr>
        <w:t>our existing and potential licensees and collaboration partners may terminate their licenses or collaborations with us, which could make it difficult for us to attract new partners or adversely affect perception of us in the business and financial communities; and</w:t>
      </w:r>
    </w:p>
    <w:p>
      <w:pPr>
        <w:spacing w:after="0" w:line="101" w:lineRule="exact"/>
        <w:rPr>
          <w:rFonts w:ascii="Symbol" w:cs="Symbol" w:eastAsia="Symbol" w:hAnsi="Symbol"/>
          <w:sz w:val="20"/>
          <w:szCs w:val="20"/>
          <w:color w:val="auto"/>
        </w:rPr>
      </w:pPr>
    </w:p>
    <w:p>
      <w:pPr>
        <w:ind w:left="980" w:hanging="483"/>
        <w:spacing w:after="0" w:line="252" w:lineRule="auto"/>
        <w:tabs>
          <w:tab w:leader="none" w:pos="980" w:val="left"/>
        </w:tabs>
        <w:numPr>
          <w:ilvl w:val="0"/>
          <w:numId w:val="21"/>
        </w:numPr>
        <w:rPr>
          <w:rFonts w:ascii="Symbol" w:cs="Symbol" w:eastAsia="Symbol" w:hAnsi="Symbol"/>
          <w:sz w:val="20"/>
          <w:szCs w:val="20"/>
          <w:color w:val="auto"/>
        </w:rPr>
      </w:pPr>
      <w:r>
        <w:rPr>
          <w:rFonts w:ascii="Calibri" w:cs="Calibri" w:eastAsia="Calibri" w:hAnsi="Calibri"/>
          <w:sz w:val="20"/>
          <w:szCs w:val="20"/>
          <w:color w:val="auto"/>
        </w:rPr>
        <w:t>our existing and potential licensees and collaboration partners may choose to pursue alternative, higher priority programs, which could affect their commitment to us.</w:t>
      </w:r>
    </w:p>
    <w:p>
      <w:pPr>
        <w:spacing w:after="0" w:line="205"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Moreover, any disputes with our existing and future licensees and collaboration partners could substantially divert the attention of our senior management from other business activities and may require us to incur substantial costs associated with litigation or arbitration proceedings. If we cannot maintain successful license and collaboration arrangements, our business, financial condition and operating results may be adversely affected.</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32</w:t>
      </w:r>
    </w:p>
    <w:p>
      <w:pPr>
        <w:sectPr>
          <w:pgSz w:w="12240" w:h="15840" w:orient="portrait"/>
          <w:cols w:equalWidth="0" w:num="1">
            <w:col w:w="11160"/>
          </w:cols>
          <w:pgMar w:left="540" w:top="532" w:right="540" w:bottom="9" w:gutter="0" w:footer="0" w:header="0"/>
          <w:type w:val="continuous"/>
        </w:sectPr>
      </w:pPr>
    </w:p>
    <w:bookmarkStart w:id="34" w:name="page35"/>
    <w:bookmarkEnd w:id="34"/>
    <w:p>
      <w:pPr>
        <w:spacing w:after="0"/>
        <w:rPr>
          <w:sz w:val="20"/>
          <w:szCs w:val="20"/>
          <w:color w:val="auto"/>
        </w:rPr>
      </w:pPr>
      <w:r>
        <w:rPr>
          <w:rFonts w:ascii="Calibri" w:cs="Calibri" w:eastAsia="Calibri" w:hAnsi="Calibri"/>
          <w:sz w:val="20"/>
          <w:szCs w:val="20"/>
          <w:b w:val="1"/>
          <w:bCs w:val="1"/>
          <w:color w:val="auto"/>
        </w:rPr>
        <w:t>Risks Related to Our Future Operations Following the UDENYCA Sale</w:t>
      </w:r>
    </w:p>
    <w:p>
      <w:pPr>
        <w:spacing w:after="0" w:line="23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There is no guarantee that we will receive either of the Earnout Payments under the UDENYCA Purchase Agreement.</w:t>
      </w:r>
    </w:p>
    <w:p>
      <w:pPr>
        <w:spacing w:after="0" w:line="241"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A portion of the aggregate consideration potentially payable to us under the UDENYCA Purchase Agreement is in the form of two “Earnout Payments” of $37.5 million each. The first such payment is payable by Intas to us if Net Sales of UDENYCA for four consecutive fiscal quarters from July 1, 2025 through September 30, 2026 are equal to or greater than $300 million, and the second such payment is payable by Intas to the Company if Net Sales of UDENYCA for four consecutive fiscal quarters from July 1, 2025 through March 31, 2027 are equal to or greater than $350 million. However, there is no guarantee that we will receive either of the Earnout Payments, and we may not receive more than the consideration that we received at closing of the UDENYCA Sale for selling the UDENYCA Business. If we do not receive the Earnout Payments the total consideration paid to us for the sale of UDENYCA will be significantly lower, which could be harmful to our future financial position.</w:t>
      </w:r>
    </w:p>
    <w:p>
      <w:pPr>
        <w:spacing w:after="0" w:line="213" w:lineRule="exact"/>
        <w:rPr>
          <w:sz w:val="20"/>
          <w:szCs w:val="20"/>
          <w:color w:val="auto"/>
        </w:rPr>
      </w:pPr>
    </w:p>
    <w:p>
      <w:pPr>
        <w:jc w:val="both"/>
        <w:spacing w:after="0" w:line="263" w:lineRule="auto"/>
        <w:rPr>
          <w:sz w:val="20"/>
          <w:szCs w:val="20"/>
          <w:color w:val="auto"/>
        </w:rPr>
      </w:pPr>
      <w:r>
        <w:rPr>
          <w:rFonts w:ascii="Calibri" w:cs="Calibri" w:eastAsia="Calibri" w:hAnsi="Calibri"/>
          <w:sz w:val="20"/>
          <w:szCs w:val="20"/>
          <w:b w:val="1"/>
          <w:bCs w:val="1"/>
          <w:i w:val="1"/>
          <w:iCs w:val="1"/>
          <w:color w:val="auto"/>
        </w:rPr>
        <w:t>There are risks and uncertainties associated with the UDENYCA TSA, one or more of which could have a material adverse effect on our business, financial condition, results of operations, cash flows or stock price.</w:t>
      </w:r>
    </w:p>
    <w:p>
      <w:pPr>
        <w:spacing w:after="0" w:line="195"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In connection with the UDENYCA Sale, we entered into the UDENYCA TSA pursuant to which we are required to provide certain business support services to Intas for a defined transition period of time. There are a number of risks and uncertainties associated with the UDENYCA TSA, which could have a material adverse effect on our business, financial condition, results of operations, cash flows or stock price, including, among other things:</w:t>
      </w:r>
    </w:p>
    <w:p>
      <w:pPr>
        <w:spacing w:after="0" w:line="103" w:lineRule="exact"/>
        <w:rPr>
          <w:sz w:val="20"/>
          <w:szCs w:val="20"/>
          <w:color w:val="auto"/>
        </w:rPr>
      </w:pPr>
    </w:p>
    <w:p>
      <w:pPr>
        <w:ind w:left="980" w:hanging="483"/>
        <w:spacing w:after="0" w:line="252" w:lineRule="auto"/>
        <w:tabs>
          <w:tab w:leader="none" w:pos="980" w:val="left"/>
        </w:tabs>
        <w:numPr>
          <w:ilvl w:val="0"/>
          <w:numId w:val="22"/>
        </w:numPr>
        <w:rPr>
          <w:rFonts w:ascii="Symbol" w:cs="Symbol" w:eastAsia="Symbol" w:hAnsi="Symbol"/>
          <w:sz w:val="20"/>
          <w:szCs w:val="20"/>
          <w:color w:val="auto"/>
        </w:rPr>
      </w:pPr>
      <w:r>
        <w:rPr>
          <w:rFonts w:ascii="Calibri" w:cs="Calibri" w:eastAsia="Calibri" w:hAnsi="Calibri"/>
          <w:sz w:val="20"/>
          <w:szCs w:val="20"/>
          <w:color w:val="auto"/>
        </w:rPr>
        <w:t>the need to expend our management and employee time and attention on the UDENYCA TSA that could be spent on other areas of our business;</w:t>
      </w:r>
    </w:p>
    <w:p>
      <w:pPr>
        <w:spacing w:after="0" w:line="95"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22"/>
        </w:numPr>
        <w:rPr>
          <w:rFonts w:ascii="Symbol" w:cs="Symbol" w:eastAsia="Symbol" w:hAnsi="Symbol"/>
          <w:sz w:val="20"/>
          <w:szCs w:val="20"/>
          <w:color w:val="auto"/>
        </w:rPr>
      </w:pPr>
      <w:r>
        <w:rPr>
          <w:rFonts w:ascii="Calibri" w:cs="Calibri" w:eastAsia="Calibri" w:hAnsi="Calibri"/>
          <w:sz w:val="20"/>
          <w:szCs w:val="20"/>
          <w:color w:val="auto"/>
        </w:rPr>
        <w:t>the need to provide significant support services under the UDENYCA TSA on behalf of Intas, such as logistics, payments, accounting, finance, commercial, regulatory and manufacturing support;</w:t>
      </w:r>
    </w:p>
    <w:p>
      <w:pPr>
        <w:spacing w:after="0" w:line="97"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22"/>
        </w:numPr>
        <w:rPr>
          <w:rFonts w:ascii="Symbol" w:cs="Symbol" w:eastAsia="Symbol" w:hAnsi="Symbol"/>
          <w:sz w:val="20"/>
          <w:szCs w:val="20"/>
          <w:color w:val="auto"/>
        </w:rPr>
      </w:pPr>
      <w:r>
        <w:rPr>
          <w:rFonts w:ascii="Calibri" w:cs="Calibri" w:eastAsia="Calibri" w:hAnsi="Calibri"/>
          <w:sz w:val="20"/>
          <w:szCs w:val="20"/>
          <w:color w:val="auto"/>
        </w:rPr>
        <w:t>the exposure to the financial status of Intas for any payments due to us under the UDENYCA TSA, which may be significant; and</w:t>
      </w:r>
    </w:p>
    <w:p>
      <w:pPr>
        <w:spacing w:after="0" w:line="97" w:lineRule="exact"/>
        <w:rPr>
          <w:rFonts w:ascii="Symbol" w:cs="Symbol" w:eastAsia="Symbol" w:hAnsi="Symbol"/>
          <w:sz w:val="20"/>
          <w:szCs w:val="20"/>
          <w:color w:val="auto"/>
        </w:rPr>
      </w:pPr>
    </w:p>
    <w:p>
      <w:pPr>
        <w:ind w:left="980" w:hanging="483"/>
        <w:spacing w:after="0"/>
        <w:tabs>
          <w:tab w:leader="none" w:pos="980" w:val="left"/>
        </w:tabs>
        <w:numPr>
          <w:ilvl w:val="0"/>
          <w:numId w:val="22"/>
        </w:numPr>
        <w:rPr>
          <w:rFonts w:ascii="Symbol" w:cs="Symbol" w:eastAsia="Symbol" w:hAnsi="Symbol"/>
          <w:sz w:val="20"/>
          <w:szCs w:val="20"/>
          <w:color w:val="auto"/>
        </w:rPr>
      </w:pPr>
      <w:r>
        <w:rPr>
          <w:rFonts w:ascii="Calibri" w:cs="Calibri" w:eastAsia="Calibri" w:hAnsi="Calibri"/>
          <w:sz w:val="20"/>
          <w:szCs w:val="20"/>
          <w:color w:val="auto"/>
        </w:rPr>
        <w:t>potential unanticipated costs to us under the UDENYCA TSA.</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Risks Related to Manufacturing and Supply Chain</w:t>
      </w:r>
    </w:p>
    <w:p>
      <w:pPr>
        <w:spacing w:after="0" w:line="238" w:lineRule="exact"/>
        <w:rPr>
          <w:sz w:val="20"/>
          <w:szCs w:val="20"/>
          <w:color w:val="auto"/>
        </w:rPr>
      </w:pPr>
    </w:p>
    <w:p>
      <w:pPr>
        <w:jc w:val="both"/>
        <w:spacing w:after="0" w:line="247" w:lineRule="auto"/>
        <w:rPr>
          <w:sz w:val="20"/>
          <w:szCs w:val="20"/>
          <w:color w:val="auto"/>
        </w:rPr>
      </w:pPr>
      <w:r>
        <w:rPr>
          <w:rFonts w:ascii="Calibri" w:cs="Calibri" w:eastAsia="Calibri" w:hAnsi="Calibri"/>
          <w:sz w:val="20"/>
          <w:szCs w:val="20"/>
          <w:b w:val="1"/>
          <w:bCs w:val="1"/>
          <w:i w:val="1"/>
          <w:iCs w:val="1"/>
          <w:color w:val="auto"/>
        </w:rPr>
        <w:t>We are subject to a multitude of manufacturing risks and the risks of inaccurately forecasting sales of our product. Any adverse developments affecting the manufacturing operations of our product and product candidates,including the risks associated with transitioning our biomanufacturing processes from an offshoring business model to an onshoring business model, could substantially increase our costs and limit supply for our product and product candidates.</w:t>
      </w:r>
    </w:p>
    <w:p>
      <w:pPr>
        <w:spacing w:after="0" w:line="214" w:lineRule="exact"/>
        <w:rPr>
          <w:sz w:val="20"/>
          <w:szCs w:val="20"/>
          <w:color w:val="auto"/>
        </w:rPr>
      </w:pPr>
    </w:p>
    <w:p>
      <w:pPr>
        <w:jc w:val="both"/>
        <w:ind w:firstLine="490"/>
        <w:spacing w:after="0" w:line="262" w:lineRule="auto"/>
        <w:rPr>
          <w:sz w:val="20"/>
          <w:szCs w:val="20"/>
          <w:color w:val="auto"/>
        </w:rPr>
      </w:pPr>
      <w:r>
        <w:rPr>
          <w:rFonts w:ascii="Calibri" w:cs="Calibri" w:eastAsia="Calibri" w:hAnsi="Calibri"/>
          <w:sz w:val="20"/>
          <w:szCs w:val="20"/>
          <w:color w:val="auto"/>
        </w:rPr>
        <w:t>The process of manufacturing our product and product candidates is complex, highly regulated and subject to several risks, including but not limited to:</w:t>
      </w:r>
    </w:p>
    <w:p>
      <w:pPr>
        <w:spacing w:after="0" w:line="86" w:lineRule="exact"/>
        <w:rPr>
          <w:sz w:val="20"/>
          <w:szCs w:val="20"/>
          <w:color w:val="auto"/>
        </w:rPr>
      </w:pPr>
    </w:p>
    <w:p>
      <w:pPr>
        <w:ind w:left="980" w:hanging="483"/>
        <w:spacing w:after="0" w:line="252" w:lineRule="auto"/>
        <w:tabs>
          <w:tab w:leader="none" w:pos="980" w:val="left"/>
        </w:tabs>
        <w:numPr>
          <w:ilvl w:val="0"/>
          <w:numId w:val="23"/>
        </w:numPr>
        <w:rPr>
          <w:rFonts w:ascii="Symbol" w:cs="Symbol" w:eastAsia="Symbol" w:hAnsi="Symbol"/>
          <w:sz w:val="20"/>
          <w:szCs w:val="20"/>
          <w:color w:val="auto"/>
        </w:rPr>
      </w:pPr>
      <w:r>
        <w:rPr>
          <w:rFonts w:ascii="Calibri" w:cs="Calibri" w:eastAsia="Calibri" w:hAnsi="Calibri"/>
          <w:sz w:val="20"/>
          <w:szCs w:val="20"/>
          <w:color w:val="auto"/>
        </w:rPr>
        <w:t>product loss due to contamination, equipment failure or improper installation or operation of equipment or vendor or operator error;</w:t>
      </w:r>
    </w:p>
    <w:p>
      <w:pPr>
        <w:spacing w:after="0" w:line="95" w:lineRule="exact"/>
        <w:rPr>
          <w:rFonts w:ascii="Symbol" w:cs="Symbol" w:eastAsia="Symbol" w:hAnsi="Symbol"/>
          <w:sz w:val="20"/>
          <w:szCs w:val="20"/>
          <w:color w:val="auto"/>
        </w:rPr>
      </w:pPr>
    </w:p>
    <w:p>
      <w:pPr>
        <w:ind w:left="980" w:hanging="483"/>
        <w:spacing w:after="0" w:line="252" w:lineRule="auto"/>
        <w:tabs>
          <w:tab w:leader="none" w:pos="980" w:val="left"/>
        </w:tabs>
        <w:numPr>
          <w:ilvl w:val="0"/>
          <w:numId w:val="23"/>
        </w:numPr>
        <w:rPr>
          <w:rFonts w:ascii="Symbol" w:cs="Symbol" w:eastAsia="Symbol" w:hAnsi="Symbol"/>
          <w:sz w:val="20"/>
          <w:szCs w:val="20"/>
          <w:color w:val="auto"/>
        </w:rPr>
      </w:pPr>
      <w:r>
        <w:rPr>
          <w:rFonts w:ascii="Calibri" w:cs="Calibri" w:eastAsia="Calibri" w:hAnsi="Calibri"/>
          <w:sz w:val="20"/>
          <w:szCs w:val="20"/>
          <w:color w:val="auto"/>
        </w:rPr>
        <w:t>equipment failures, labor shortages, natural disasters, power failures and numerous other factors associated with the manufacturing facilities in which our product candidates are produced, and potentially exacerbated by climate change; and</w:t>
      </w:r>
    </w:p>
    <w:p>
      <w:pPr>
        <w:spacing w:after="0" w:line="94" w:lineRule="exact"/>
        <w:rPr>
          <w:rFonts w:ascii="Symbol" w:cs="Symbol" w:eastAsia="Symbol" w:hAnsi="Symbol"/>
          <w:sz w:val="20"/>
          <w:szCs w:val="20"/>
          <w:color w:val="auto"/>
        </w:rPr>
      </w:pPr>
    </w:p>
    <w:p>
      <w:pPr>
        <w:jc w:val="both"/>
        <w:ind w:left="980" w:hanging="483"/>
        <w:spacing w:after="0" w:line="246" w:lineRule="auto"/>
        <w:tabs>
          <w:tab w:leader="none" w:pos="980" w:val="left"/>
        </w:tabs>
        <w:numPr>
          <w:ilvl w:val="0"/>
          <w:numId w:val="23"/>
        </w:numPr>
        <w:rPr>
          <w:rFonts w:ascii="Symbol" w:cs="Symbol" w:eastAsia="Symbol" w:hAnsi="Symbol"/>
          <w:sz w:val="20"/>
          <w:szCs w:val="20"/>
          <w:color w:val="auto"/>
        </w:rPr>
      </w:pPr>
      <w:r>
        <w:rPr>
          <w:rFonts w:ascii="Calibri" w:cs="Calibri" w:eastAsia="Calibri" w:hAnsi="Calibri"/>
          <w:sz w:val="20"/>
          <w:szCs w:val="20"/>
          <w:color w:val="auto"/>
        </w:rPr>
        <w:t>disruption of supply chains for critical and specialized raw materials, delays in regulatory inspections of manufacturing and testing facilities, and reduced manufacturing capacities created by global events such as the ongoing conflicts in Ukraine and the Middle East.</w:t>
      </w:r>
    </w:p>
    <w:p>
      <w:pPr>
        <w:spacing w:after="0" w:line="212" w:lineRule="exact"/>
        <w:rPr>
          <w:sz w:val="20"/>
          <w:szCs w:val="20"/>
          <w:color w:val="auto"/>
        </w:rPr>
      </w:pPr>
    </w:p>
    <w:p>
      <w:pPr>
        <w:jc w:val="both"/>
        <w:ind w:firstLine="490"/>
        <w:spacing w:after="0" w:line="245" w:lineRule="auto"/>
        <w:rPr>
          <w:sz w:val="20"/>
          <w:szCs w:val="20"/>
          <w:color w:val="auto"/>
        </w:rPr>
      </w:pPr>
      <w:r>
        <w:rPr>
          <w:rFonts w:ascii="Calibri" w:cs="Calibri" w:eastAsia="Calibri" w:hAnsi="Calibri"/>
          <w:sz w:val="20"/>
          <w:szCs w:val="20"/>
          <w:color w:val="auto"/>
        </w:rPr>
        <w:t>We have experienced reduced production yields, product defects and other supply disruptions. For example, we have experienced failures with respect to the manufacturing of certain lots of each of our product and product candidates resulting in delays prior to our taking corrective action. Additionally, if microbial, viral or other contaminations are discovered in our product or product candidates or in the manufacturing facilities in which our product or product candidates are made, such manufacturing facilities may need to be closed for an extended period of time to investigate and remedy the contamination.</w:t>
      </w:r>
    </w:p>
    <w:p>
      <w:pPr>
        <w:spacing w:after="0" w:line="214" w:lineRule="exact"/>
        <w:rPr>
          <w:sz w:val="20"/>
          <w:szCs w:val="20"/>
          <w:color w:val="auto"/>
        </w:rPr>
      </w:pPr>
    </w:p>
    <w:p>
      <w:pPr>
        <w:jc w:val="both"/>
        <w:ind w:firstLine="490"/>
        <w:spacing w:after="0" w:line="261" w:lineRule="auto"/>
        <w:rPr>
          <w:sz w:val="20"/>
          <w:szCs w:val="20"/>
          <w:color w:val="auto"/>
        </w:rPr>
      </w:pPr>
      <w:r>
        <w:rPr>
          <w:rFonts w:ascii="Calibri" w:cs="Calibri" w:eastAsia="Calibri" w:hAnsi="Calibri"/>
          <w:sz w:val="20"/>
          <w:szCs w:val="20"/>
          <w:color w:val="auto"/>
        </w:rPr>
        <w:t>We are executing a coordinated initiative to onshore the biomanufacturing process for LOQTORZI, casdozokitug and tagmokitug to the United States. We may not be able to achieve the full strategic and financial benefits expected to result from the onshoring initiative,</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33</w:t>
      </w:r>
    </w:p>
    <w:p>
      <w:pPr>
        <w:sectPr>
          <w:pgSz w:w="12240" w:h="15840" w:orient="portrait"/>
          <w:cols w:equalWidth="0" w:num="1">
            <w:col w:w="11160"/>
          </w:cols>
          <w:pgMar w:left="540" w:top="531" w:right="540" w:bottom="9" w:gutter="0" w:footer="0" w:header="0"/>
          <w:type w:val="continuous"/>
        </w:sectPr>
      </w:pPr>
    </w:p>
    <w:bookmarkStart w:id="35" w:name="page36"/>
    <w:bookmarkEnd w:id="35"/>
    <w:p>
      <w:pPr>
        <w:jc w:val="both"/>
        <w:spacing w:after="0" w:line="262" w:lineRule="auto"/>
        <w:rPr>
          <w:sz w:val="20"/>
          <w:szCs w:val="20"/>
          <w:color w:val="auto"/>
        </w:rPr>
      </w:pPr>
      <w:r>
        <w:rPr>
          <w:rFonts w:ascii="Calibri" w:cs="Calibri" w:eastAsia="Calibri" w:hAnsi="Calibri"/>
          <w:sz w:val="20"/>
          <w:szCs w:val="20"/>
          <w:color w:val="auto"/>
        </w:rPr>
        <w:t>or such benefits may be delayed or not occur at all. If we do not realize some or all of the benefits expected to result from the onshoring initiative, or if such benefits are delayed, our business and expected future financial and operating results could be adversely affected.</w:t>
      </w:r>
    </w:p>
    <w:p>
      <w:pPr>
        <w:spacing w:after="0" w:line="195"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Any adverse developments affecting manufacturing operations for our product and product candidates, including due to sudden or long-term changes in weather patterns or conflicts in particular geographic areas, may result in shipment delays, inventory shortages, lot failures, withdrawals or recalls or other interruptions in the supply of our product and product candidates. We also need to make a determination of excess or obsolete inventory that requires judgment and includes consideration of many factors, such as estimates of future product demand, current and future market conditions, product expiration information and potential product obsolescence, among others. Although we believe that the assumptions we use in estimating potential inventory write-downs are reasonable, if actual market conditions are less favorable than projected by us, write-downs of inventory, charges related to firm purchase commitments, or both may be required which would be recorded as cost of goods sold in our consolidated statements of operations. Adverse developments affecting our assumptions of the level and timing of demand for our product include those that are outside of our control such as the actions taken by competitors and customers and other factors.</w:t>
      </w:r>
    </w:p>
    <w:p>
      <w:pPr>
        <w:spacing w:after="0" w:line="219"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We may have to take inventory write-downs and incur other charges and expenses, such as charges related to firm purchase commitments, for any product that is manufactured in reliance on a forecast that proves to be inaccurate because we do not sell as many units as forecasted. Although we believe that the assumptions that we use in estimating inventory write-downs are reasonable, additional write-downs of inventory may be required in the future if actual market conditions are less favorable than our projections, which could materially and adversely impact our financial results. In addition to such write-downs, we may also have to incur charges and expenses related to firm purchase commitments or for product candidates that fail to meet specifications, undertake costly remediation efforts or seek costlier manufacturing alternatives.</w:t>
      </w:r>
    </w:p>
    <w:p>
      <w:pPr>
        <w:spacing w:after="0" w:line="217" w:lineRule="exact"/>
        <w:rPr>
          <w:sz w:val="20"/>
          <w:szCs w:val="20"/>
          <w:color w:val="auto"/>
        </w:rPr>
      </w:pPr>
    </w:p>
    <w:p>
      <w:pPr>
        <w:jc w:val="both"/>
        <w:spacing w:after="0" w:line="263" w:lineRule="auto"/>
        <w:rPr>
          <w:sz w:val="20"/>
          <w:szCs w:val="20"/>
          <w:color w:val="auto"/>
        </w:rPr>
      </w:pPr>
      <w:r>
        <w:rPr>
          <w:rFonts w:ascii="Calibri" w:cs="Calibri" w:eastAsia="Calibri" w:hAnsi="Calibri"/>
          <w:sz w:val="20"/>
          <w:szCs w:val="20"/>
          <w:b w:val="1"/>
          <w:bCs w:val="1"/>
          <w:i w:val="1"/>
          <w:iCs w:val="1"/>
          <w:color w:val="auto"/>
        </w:rPr>
        <w:t>We currently engage single suppliers for manufacture, clinical trial services, formulation development and product testing of our product and product candidates. The loss of any of these suppliers or vendors could materially and adversely affect our business.</w:t>
      </w:r>
    </w:p>
    <w:p>
      <w:pPr>
        <w:spacing w:after="0" w:line="195" w:lineRule="exact"/>
        <w:rPr>
          <w:sz w:val="20"/>
          <w:szCs w:val="20"/>
          <w:color w:val="auto"/>
        </w:rPr>
      </w:pPr>
    </w:p>
    <w:p>
      <w:pPr>
        <w:jc w:val="both"/>
        <w:ind w:firstLine="490"/>
        <w:spacing w:after="0" w:line="256" w:lineRule="auto"/>
        <w:rPr>
          <w:sz w:val="20"/>
          <w:szCs w:val="20"/>
          <w:color w:val="auto"/>
        </w:rPr>
      </w:pPr>
      <w:r>
        <w:rPr>
          <w:rFonts w:ascii="Calibri" w:cs="Calibri" w:eastAsia="Calibri" w:hAnsi="Calibri"/>
          <w:sz w:val="19"/>
          <w:szCs w:val="19"/>
          <w:color w:val="auto"/>
        </w:rPr>
        <w:t>For our product and our product candidates, we currently engage a distinct vendor or service provider for each of the principal activities supporting our manufacture and development of this product, such as manufacture of the biological substance present in the product, manufacture of the final filled and finished presentation of this product, as well as laboratory testing, formulation development and clinical testing of this product. Because we currently have engaged a limited number of back-up suppliers or vendors for these single-sourced services, and although we believe that there are alternate sources that could fulfill these activities, we cannot make any assurances that identifying and establishing relationships with alternate suppliers and vendors would not result in significant delay in the development of our product candidates. Additional delays or cost increases could occur due to the direct or indirect effects of the ongoing conflict in Ukraine. Additionally, we may not be able to enter into arrangements with alternative service providers on commercially reasonable terms or at all. A delay in the development of our product and product candidates, or having to enter into a new agreement with a different third party on less favorable terms than we have with our current suppliers, could have a material adverse impact on our business.</w:t>
      </w:r>
    </w:p>
    <w:p>
      <w:pPr>
        <w:spacing w:after="0" w:line="206" w:lineRule="exact"/>
        <w:rPr>
          <w:sz w:val="20"/>
          <w:szCs w:val="20"/>
          <w:color w:val="auto"/>
        </w:rPr>
      </w:pPr>
    </w:p>
    <w:p>
      <w:pPr>
        <w:jc w:val="both"/>
        <w:spacing w:after="0" w:line="251" w:lineRule="auto"/>
        <w:rPr>
          <w:sz w:val="20"/>
          <w:szCs w:val="20"/>
          <w:color w:val="auto"/>
        </w:rPr>
      </w:pPr>
      <w:r>
        <w:rPr>
          <w:rFonts w:ascii="Calibri" w:cs="Calibri" w:eastAsia="Calibri" w:hAnsi="Calibri"/>
          <w:sz w:val="20"/>
          <w:szCs w:val="20"/>
          <w:b w:val="1"/>
          <w:bCs w:val="1"/>
          <w:i w:val="1"/>
          <w:iCs w:val="1"/>
          <w:color w:val="auto"/>
        </w:rPr>
        <w:t>We and our collaboration partners and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208" w:lineRule="exact"/>
        <w:rPr>
          <w:sz w:val="20"/>
          <w:szCs w:val="20"/>
          <w:color w:val="auto"/>
        </w:rPr>
      </w:pPr>
    </w:p>
    <w:p>
      <w:pPr>
        <w:jc w:val="both"/>
        <w:ind w:firstLine="490"/>
        <w:spacing w:after="0" w:line="255" w:lineRule="auto"/>
        <w:rPr>
          <w:sz w:val="20"/>
          <w:szCs w:val="20"/>
          <w:color w:val="auto"/>
        </w:rPr>
      </w:pPr>
      <w:r>
        <w:rPr>
          <w:rFonts w:ascii="Calibri" w:cs="Calibri" w:eastAsia="Calibri" w:hAnsi="Calibri"/>
          <w:sz w:val="19"/>
          <w:szCs w:val="19"/>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our collaboration partners, or our contract manufacturers must supply all necessary documentation in support of a BLA, NDA or MAA on a timely basis and must adhere to cGMP regulations enforced by the FDA and other regulatory agencies through their facilities inspection program. Some of our contract manufacturers may have never produced a commercially approved pharmaceutical product and therefore have not obtained the requisite regulatory authority approvals to do so. The facilities and quality systems of some or all of our collaboration partners and third-party contractors must successfully complete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successfully</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34</w:t>
      </w:r>
    </w:p>
    <w:p>
      <w:pPr>
        <w:sectPr>
          <w:pgSz w:w="12240" w:h="15840" w:orient="portrait"/>
          <w:cols w:equalWidth="0" w:num="1">
            <w:col w:w="11160"/>
          </w:cols>
          <w:pgMar w:left="540" w:top="532" w:right="540" w:bottom="9" w:gutter="0" w:footer="0" w:header="0"/>
          <w:type w:val="continuous"/>
        </w:sectPr>
      </w:pPr>
    </w:p>
    <w:bookmarkStart w:id="36" w:name="page37"/>
    <w:bookmarkEnd w:id="36"/>
    <w:p>
      <w:pPr>
        <w:jc w:val="both"/>
        <w:spacing w:after="0" w:line="262" w:lineRule="auto"/>
        <w:rPr>
          <w:sz w:val="20"/>
          <w:szCs w:val="20"/>
          <w:color w:val="auto"/>
        </w:rPr>
      </w:pPr>
      <w:r>
        <w:rPr>
          <w:rFonts w:ascii="Calibri" w:cs="Calibri" w:eastAsia="Calibri" w:hAnsi="Calibri"/>
          <w:sz w:val="20"/>
          <w:szCs w:val="20"/>
          <w:color w:val="auto"/>
        </w:rPr>
        <w:t>complete a pre-approval plant inspection, regulatory approval of the products may not be granted or may be substantially delayed until any violations are corrected to the satisfaction of the regulatory authority, if ever.</w:t>
      </w:r>
    </w:p>
    <w:p>
      <w:pPr>
        <w:spacing w:after="0" w:line="195"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The regulatory authorities also may, at any time following approval of a product for sale, inspect, audit or initiate an RRA of the manufacturing facilities of our collaboration partners and third-party contractors. If any such inspection, audit or RRA identifies a failure to comply with applicable regulations or if a violation of our product specifications or applicable regulations occurs independent of such an inspection, audit or RRA, we or the relevant regulatory authority may require remedial measures that may be costly or time 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219"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If we, our collaboration partners or any of our third-party manufacturers fail to maintain regulatory compliance, the FDA or other applicable regulatory authority can impose regulatory sanctions including, among other things, refusal to approve a pending application for a new product candidate, withdrawal of an approval or suspension of production. As a result, our business, financial condition and results of operations may be materially harmed.</w:t>
      </w:r>
    </w:p>
    <w:p>
      <w:pPr>
        <w:spacing w:after="0" w:line="212"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Additionally, if a manufacturer cannot meet the supply demand, supply from an alternative manufacturer would require the submission of a BLA/NDA supplement or MAA Variation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211"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These factors could cause us to incur additional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Risks Related to Adverse Events</w:t>
      </w:r>
    </w:p>
    <w:p>
      <w:pPr>
        <w:spacing w:after="0" w:line="239"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b w:val="1"/>
          <w:bCs w:val="1"/>
          <w:i w:val="1"/>
          <w:iCs w:val="1"/>
          <w:color w:val="auto"/>
        </w:rPr>
        <w:t>Our product or our product candidates may cause undesirable side effects or have other properties that could, as applicable, delay or prevent their regulatory approval, limit the commercial profile of an approved label or result in significant negative consequences following marketing approval, if granted.</w:t>
      </w:r>
    </w:p>
    <w:p>
      <w:pPr>
        <w:spacing w:after="0" w:line="208" w:lineRule="exact"/>
        <w:rPr>
          <w:sz w:val="20"/>
          <w:szCs w:val="20"/>
          <w:color w:val="auto"/>
        </w:rPr>
      </w:pPr>
    </w:p>
    <w:p>
      <w:pPr>
        <w:jc w:val="both"/>
        <w:ind w:firstLine="490"/>
        <w:spacing w:after="0" w:line="255" w:lineRule="auto"/>
        <w:rPr>
          <w:sz w:val="20"/>
          <w:szCs w:val="20"/>
          <w:color w:val="auto"/>
        </w:rPr>
      </w:pPr>
      <w:r>
        <w:rPr>
          <w:rFonts w:ascii="Calibri" w:cs="Calibri" w:eastAsia="Calibri" w:hAnsi="Calibri"/>
          <w:sz w:val="19"/>
          <w:szCs w:val="19"/>
          <w:color w:val="auto"/>
        </w:rPr>
        <w:t>As with most pharmaceutical products, use of our product or our product candidates could be associated with side effects or adverse events, which can vary in severity (from minor reactions to death) and frequency (infrequent or prevalent). Side effects or adverse events associated with the use of our product candidates may be observed at any time, including in clinical trials or when a product is commercialized. Undesirable side effects caused by our product candidates could cause us or regulatory authorities to interrupt, delay or halt clinical studies and could result in a more restrictive label or the delay or denial of regulatory approval by the FDA or other comparable foreign authorities. Results of our studies could reveal a high and unacceptable severity and prevalence of side effects such as toxicity or other safety issues and could require us or our collaboration partners to perform additional studies or halt development or sale of these product candidates or expose us to product liability lawsuits, which will harm our business. In such an event, we may be required by regulatory agencies to conduct additional animal or human studies regarding the safety and efficacy of our product candidates, which we have not planned or anticipated or our studies could be suspended or terminated, and the FDA or comparable foreign regulatory authorities could order us to cease further development of or deny or withdraw approval of our product candidates for any or all targeted indications. There can be no assurance that we will resolve any issues related to any product-related adverse events to the satisfaction of the FDA or any other regulatory agency in a timely manner, if ever, which could harm our business, prospects and financial condition.</w:t>
      </w:r>
    </w:p>
    <w:p>
      <w:pPr>
        <w:spacing w:after="0" w:line="210"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Additionally, product quality characteristics have been shown to be sensitive to changes in process conditions, manufacturing techniques, equipment or sites and other such related considerations, hence any manufacturing process changes we implement prior to or after regulatory approval could impact product safety and efficacy.</w:t>
      </w:r>
    </w:p>
    <w:p>
      <w:pPr>
        <w:spacing w:after="0" w:line="206" w:lineRule="exact"/>
        <w:rPr>
          <w:sz w:val="20"/>
          <w:szCs w:val="20"/>
          <w:color w:val="auto"/>
        </w:rPr>
      </w:pPr>
    </w:p>
    <w:p>
      <w:pPr>
        <w:jc w:val="both"/>
        <w:ind w:firstLine="490"/>
        <w:spacing w:after="0" w:line="258" w:lineRule="auto"/>
        <w:rPr>
          <w:sz w:val="20"/>
          <w:szCs w:val="20"/>
          <w:color w:val="auto"/>
        </w:rPr>
      </w:pPr>
      <w:r>
        <w:rPr>
          <w:rFonts w:ascii="Calibri" w:cs="Calibri" w:eastAsia="Calibri" w:hAnsi="Calibri"/>
          <w:sz w:val="19"/>
          <w:szCs w:val="19"/>
          <w:color w:val="auto"/>
        </w:rPr>
        <w:t>Drug-related side effects could affect patient recruitment for clinical trials, the ability of enrolled patients to complete our studies or result in potential product liability claims. We currently carry product liability insurance and we are required to maintain product liability insurance pursuant to certain of our license agreements. We cannot assure that out product liability coverage will cover in full claims to which we are exposed. We may not be able to maintain insurance coverage at a reasonable cost or in sufficient amounts to protect us against losses due to liability. A successful product liability claim or series of claims brought against us could adversely affect our results of operations and business. In addition, regardless of merit or eventual outcome, product liability claims may result in impairment of our business reputation, withdrawal of clinical study participants, costs due to related litigation, distraction of management’s attention from</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35</w:t>
      </w:r>
    </w:p>
    <w:p>
      <w:pPr>
        <w:sectPr>
          <w:pgSz w:w="12240" w:h="15840" w:orient="portrait"/>
          <w:cols w:equalWidth="0" w:num="1">
            <w:col w:w="11160"/>
          </w:cols>
          <w:pgMar w:left="540" w:top="532" w:right="540" w:bottom="9" w:gutter="0" w:footer="0" w:header="0"/>
          <w:type w:val="continuous"/>
        </w:sectPr>
      </w:pPr>
    </w:p>
    <w:bookmarkStart w:id="37" w:name="page38"/>
    <w:bookmarkEnd w:id="37"/>
    <w:p>
      <w:pPr>
        <w:jc w:val="both"/>
        <w:spacing w:after="0" w:line="262" w:lineRule="auto"/>
        <w:rPr>
          <w:sz w:val="20"/>
          <w:szCs w:val="20"/>
          <w:color w:val="auto"/>
        </w:rPr>
      </w:pPr>
      <w:r>
        <w:rPr>
          <w:rFonts w:ascii="Calibri" w:cs="Calibri" w:eastAsia="Calibri" w:hAnsi="Calibri"/>
          <w:sz w:val="20"/>
          <w:szCs w:val="20"/>
          <w:color w:val="auto"/>
        </w:rPr>
        <w:t>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195"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Additionally, for our product and for any of our product candidates that may receive marketing approval, if we or others later identify undesirable side effects caused by the product, a number of potentially significant negative consequences could result, including but not limited to:</w:t>
      </w:r>
    </w:p>
    <w:p>
      <w:pPr>
        <w:spacing w:after="0" w:line="98" w:lineRule="exact"/>
        <w:rPr>
          <w:sz w:val="20"/>
          <w:szCs w:val="20"/>
          <w:color w:val="auto"/>
        </w:rPr>
      </w:pPr>
    </w:p>
    <w:p>
      <w:pPr>
        <w:ind w:left="980" w:hanging="483"/>
        <w:spacing w:after="0"/>
        <w:tabs>
          <w:tab w:leader="none" w:pos="980" w:val="left"/>
        </w:tabs>
        <w:numPr>
          <w:ilvl w:val="0"/>
          <w:numId w:val="24"/>
        </w:numPr>
        <w:rPr>
          <w:rFonts w:ascii="Symbol" w:cs="Symbol" w:eastAsia="Symbol" w:hAnsi="Symbol"/>
          <w:sz w:val="20"/>
          <w:szCs w:val="20"/>
          <w:color w:val="auto"/>
        </w:rPr>
      </w:pPr>
      <w:r>
        <w:rPr>
          <w:rFonts w:ascii="Calibri" w:cs="Calibri" w:eastAsia="Calibri" w:hAnsi="Calibri"/>
          <w:sz w:val="20"/>
          <w:szCs w:val="20"/>
          <w:color w:val="auto"/>
        </w:rPr>
        <w:t>regulatory authorities may withdraw approvals of such product;</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24"/>
        </w:numPr>
        <w:rPr>
          <w:rFonts w:ascii="Symbol" w:cs="Symbol" w:eastAsia="Symbol" w:hAnsi="Symbol"/>
          <w:sz w:val="20"/>
          <w:szCs w:val="20"/>
          <w:color w:val="auto"/>
        </w:rPr>
      </w:pPr>
      <w:r>
        <w:rPr>
          <w:rFonts w:ascii="Calibri" w:cs="Calibri" w:eastAsia="Calibri" w:hAnsi="Calibri"/>
          <w:sz w:val="20"/>
          <w:szCs w:val="20"/>
          <w:color w:val="auto"/>
        </w:rPr>
        <w:t>regulatory authorities may require additional warnings on the label;</w:t>
      </w:r>
    </w:p>
    <w:p>
      <w:pPr>
        <w:spacing w:after="0" w:line="119" w:lineRule="exact"/>
        <w:rPr>
          <w:rFonts w:ascii="Symbol" w:cs="Symbol" w:eastAsia="Symbol" w:hAnsi="Symbol"/>
          <w:sz w:val="20"/>
          <w:szCs w:val="20"/>
          <w:color w:val="auto"/>
        </w:rPr>
      </w:pPr>
    </w:p>
    <w:p>
      <w:pPr>
        <w:jc w:val="both"/>
        <w:ind w:left="980" w:hanging="483"/>
        <w:spacing w:after="0" w:line="246" w:lineRule="auto"/>
        <w:tabs>
          <w:tab w:leader="none" w:pos="980" w:val="left"/>
        </w:tabs>
        <w:numPr>
          <w:ilvl w:val="0"/>
          <w:numId w:val="24"/>
        </w:numPr>
        <w:rPr>
          <w:rFonts w:ascii="Symbol" w:cs="Symbol" w:eastAsia="Symbol" w:hAnsi="Symbol"/>
          <w:sz w:val="20"/>
          <w:szCs w:val="20"/>
          <w:color w:val="auto"/>
        </w:rPr>
      </w:pPr>
      <w:r>
        <w:rPr>
          <w:rFonts w:ascii="Calibri" w:cs="Calibri" w:eastAsia="Calibri" w:hAnsi="Calibri"/>
          <w:sz w:val="20"/>
          <w:szCs w:val="20"/>
          <w:color w:val="auto"/>
        </w:rPr>
        <w:t>we may be required to create a risk evaluation and mitigation strategy plan, which could include a medication guide outlining the risks of such side effects for distribution to patients, a communication plan for healthcare providers and/or other elements to assure safe use;</w:t>
      </w:r>
    </w:p>
    <w:p>
      <w:pPr>
        <w:spacing w:after="0" w:line="102" w:lineRule="exact"/>
        <w:rPr>
          <w:rFonts w:ascii="Symbol" w:cs="Symbol" w:eastAsia="Symbol" w:hAnsi="Symbol"/>
          <w:sz w:val="20"/>
          <w:szCs w:val="20"/>
          <w:color w:val="auto"/>
        </w:rPr>
      </w:pPr>
    </w:p>
    <w:p>
      <w:pPr>
        <w:ind w:left="980" w:hanging="483"/>
        <w:spacing w:after="0"/>
        <w:tabs>
          <w:tab w:leader="none" w:pos="980" w:val="left"/>
        </w:tabs>
        <w:numPr>
          <w:ilvl w:val="0"/>
          <w:numId w:val="24"/>
        </w:numPr>
        <w:rPr>
          <w:rFonts w:ascii="Symbol" w:cs="Symbol" w:eastAsia="Symbol" w:hAnsi="Symbol"/>
          <w:sz w:val="20"/>
          <w:szCs w:val="20"/>
          <w:color w:val="auto"/>
        </w:rPr>
      </w:pPr>
      <w:r>
        <w:rPr>
          <w:rFonts w:ascii="Calibri" w:cs="Calibri" w:eastAsia="Calibri" w:hAnsi="Calibri"/>
          <w:sz w:val="20"/>
          <w:szCs w:val="20"/>
          <w:color w:val="auto"/>
        </w:rPr>
        <w:t>we could be sued and held liable for harm caused to patients; and</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24"/>
        </w:numPr>
        <w:rPr>
          <w:rFonts w:ascii="Symbol" w:cs="Symbol" w:eastAsia="Symbol" w:hAnsi="Symbol"/>
          <w:sz w:val="20"/>
          <w:szCs w:val="20"/>
          <w:color w:val="auto"/>
        </w:rPr>
      </w:pPr>
      <w:r>
        <w:rPr>
          <w:rFonts w:ascii="Calibri" w:cs="Calibri" w:eastAsia="Calibri" w:hAnsi="Calibri"/>
          <w:sz w:val="20"/>
          <w:szCs w:val="20"/>
          <w:color w:val="auto"/>
        </w:rPr>
        <w:t>our reputation may suffer.</w:t>
      </w:r>
    </w:p>
    <w:p>
      <w:pPr>
        <w:spacing w:after="0" w:line="229" w:lineRule="exact"/>
        <w:rPr>
          <w:sz w:val="20"/>
          <w:szCs w:val="20"/>
          <w:color w:val="auto"/>
        </w:rPr>
      </w:pPr>
    </w:p>
    <w:p>
      <w:pPr>
        <w:jc w:val="both"/>
        <w:ind w:firstLine="490"/>
        <w:spacing w:after="0" w:line="262" w:lineRule="auto"/>
        <w:rPr>
          <w:sz w:val="20"/>
          <w:szCs w:val="20"/>
          <w:color w:val="auto"/>
        </w:rPr>
      </w:pPr>
      <w:r>
        <w:rPr>
          <w:rFonts w:ascii="Calibri" w:cs="Calibri" w:eastAsia="Calibri" w:hAnsi="Calibri"/>
          <w:sz w:val="20"/>
          <w:szCs w:val="20"/>
          <w:color w:val="auto"/>
        </w:rPr>
        <w:t>Any of these events could prevent us from achieving or maintaining market acceptance of the particular product or product candidate, if approved, and could significantly harm our business, results of operations and prospects.</w:t>
      </w:r>
    </w:p>
    <w:p>
      <w:pPr>
        <w:spacing w:after="0" w:line="194"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For our product and if we receive approval for our product candidates, regulatory agencies, including the FDA and foreign regulatory agencies, require that we report certain information about adverse medical events if any product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 If we fail to comply with our reporting obligations, the FDA or foreign regulatory agencies could take action including criminal prosecution, the imposition of civil monetary penalties, seizure of our product or extended delay in approval or clearance of future products.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Adverse events involving another anti-PD-1 or PD-L1 antibody product may negatively affect our business.</w:t>
      </w:r>
    </w:p>
    <w:p>
      <w:pPr>
        <w:spacing w:after="0" w:line="241" w:lineRule="exact"/>
        <w:rPr>
          <w:sz w:val="20"/>
          <w:szCs w:val="20"/>
          <w:color w:val="auto"/>
        </w:rPr>
      </w:pPr>
    </w:p>
    <w:p>
      <w:pPr>
        <w:jc w:val="both"/>
        <w:ind w:firstLine="490"/>
        <w:spacing w:after="0" w:line="244" w:lineRule="auto"/>
        <w:rPr>
          <w:sz w:val="20"/>
          <w:szCs w:val="20"/>
          <w:color w:val="auto"/>
        </w:rPr>
      </w:pPr>
      <w:r>
        <w:rPr>
          <w:rFonts w:ascii="Calibri" w:cs="Calibri" w:eastAsia="Calibri" w:hAnsi="Calibri"/>
          <w:sz w:val="20"/>
          <w:szCs w:val="20"/>
          <w:color w:val="auto"/>
        </w:rPr>
        <w:t>In the event that use of another anti-PD-1 or PD-L1 antibody product results in unanticipated side effects or other adverse events, it is likely that our product will be viewed comparably and may become subject to the same scrutiny and regulatory sanctions as the other anti-PD-1 or PD-L1 antibody product, as applicable. Accordingly, we may become subject to regulatory supervisions, clinical holds, product recalls or other regulatory actions for matters outside of our control that affect the other anti-PD-1 or PD-L1 antibody product, as applicable, if and until we are able to demonstrate to the satisfaction of our regulators that our product is not subject to the same issues leading to the regulatory action as the other anti-PD-1 or PD-L1 antibody product, as applicable.</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Risks Related to Intellectual Property</w:t>
      </w:r>
    </w:p>
    <w:p>
      <w:pPr>
        <w:spacing w:after="0" w:line="239" w:lineRule="exact"/>
        <w:rPr>
          <w:sz w:val="20"/>
          <w:szCs w:val="20"/>
          <w:color w:val="auto"/>
        </w:rPr>
      </w:pPr>
    </w:p>
    <w:p>
      <w:pPr>
        <w:jc w:val="both"/>
        <w:spacing w:after="0" w:line="262" w:lineRule="auto"/>
        <w:rPr>
          <w:sz w:val="20"/>
          <w:szCs w:val="20"/>
          <w:color w:val="auto"/>
        </w:rPr>
      </w:pPr>
      <w:r>
        <w:rPr>
          <w:rFonts w:ascii="Calibri" w:cs="Calibri" w:eastAsia="Calibri" w:hAnsi="Calibri"/>
          <w:sz w:val="20"/>
          <w:szCs w:val="20"/>
          <w:b w:val="1"/>
          <w:bCs w:val="1"/>
          <w:i w:val="1"/>
          <w:iCs w:val="1"/>
          <w:color w:val="auto"/>
        </w:rPr>
        <w:t>If we infringe or are alleged to infringe intellectual property rights of third parties, our business could be harmed. Third-party claims of intellectual property infringement may prevent or delay our development and commercialization efforts.</w:t>
      </w:r>
    </w:p>
    <w:p>
      <w:pPr>
        <w:spacing w:after="0" w:line="197" w:lineRule="exact"/>
        <w:rPr>
          <w:sz w:val="20"/>
          <w:szCs w:val="20"/>
          <w:color w:val="auto"/>
        </w:rPr>
      </w:pPr>
    </w:p>
    <w:p>
      <w:pPr>
        <w:jc w:val="both"/>
        <w:ind w:firstLine="490"/>
        <w:spacing w:after="0" w:line="244" w:lineRule="auto"/>
        <w:rPr>
          <w:sz w:val="20"/>
          <w:szCs w:val="20"/>
          <w:color w:val="auto"/>
        </w:rPr>
      </w:pPr>
      <w:r>
        <w:rPr>
          <w:rFonts w:ascii="Calibri" w:cs="Calibri" w:eastAsia="Calibri" w:hAnsi="Calibri"/>
          <w:sz w:val="20"/>
          <w:szCs w:val="20"/>
          <w:color w:val="auto"/>
        </w:rPr>
        <w:t>Our commercial success depends in large part on avoiding infringement of the patents and proprietary rights of third parties. There have been many lawsuits and other proceedings involving patent and other intellectual property rights in the pharmaceutical industry, including patent infringement lawsuits, interferences, oppositions and reexamination proceedings before the USPTO and corresponding foreign patent offices. Numerous United States and foreign issued patents and pending patent applications, which are owned by third parties, exist in the fields in which we are developing product candidates. As the pharmaceutical industry expands and more patents are issued, the risk increases that our product candidates may be subject to claims of infringement of the patent rights of third parties.</w:t>
      </w:r>
    </w:p>
    <w:p>
      <w:pPr>
        <w:spacing w:after="0" w:line="215"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Our research, development and commercialization activities may infringe or otherwise violate or be claimed to infringe or otherwise violate patents owned or controlled by other parties. Competitors have developed, and are continuing to develop, worldwide patent portfolios of varying sizes and breadth, many of which are in fields relating to our business, and it may not always be clear to industry participants, including us, which patents cover various types of products or methods of use.</w:t>
      </w:r>
    </w:p>
    <w:p>
      <w:pPr>
        <w:spacing w:after="0" w:line="212" w:lineRule="exact"/>
        <w:rPr>
          <w:sz w:val="20"/>
          <w:szCs w:val="20"/>
          <w:color w:val="auto"/>
        </w:rPr>
      </w:pPr>
    </w:p>
    <w:p>
      <w:pPr>
        <w:jc w:val="both"/>
        <w:ind w:firstLine="490"/>
        <w:spacing w:after="0" w:line="270" w:lineRule="auto"/>
        <w:rPr>
          <w:sz w:val="20"/>
          <w:szCs w:val="20"/>
          <w:color w:val="auto"/>
        </w:rPr>
      </w:pPr>
      <w:r>
        <w:rPr>
          <w:rFonts w:ascii="Calibri" w:cs="Calibri" w:eastAsia="Calibri" w:hAnsi="Calibri"/>
          <w:sz w:val="19"/>
          <w:szCs w:val="19"/>
          <w:color w:val="auto"/>
        </w:rPr>
        <w:t>Third parties may assert that we are employing their proprietary technology without authorization. We are aware of third-party patents or patent applications with claims, for example, to compositions, formulations, methods of manufacture or methods for treatment related to the use or manufacture of our product candidates. While we have conducted freedom to operate analyses with respect to our</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36</w:t>
      </w:r>
    </w:p>
    <w:p>
      <w:pPr>
        <w:sectPr>
          <w:pgSz w:w="12240" w:h="15840" w:orient="portrait"/>
          <w:cols w:equalWidth="0" w:num="1">
            <w:col w:w="11160"/>
          </w:cols>
          <w:pgMar w:left="540" w:top="532" w:right="540" w:bottom="9" w:gutter="0" w:footer="0" w:header="0"/>
          <w:type w:val="continuous"/>
        </w:sectPr>
      </w:pPr>
    </w:p>
    <w:bookmarkStart w:id="38" w:name="page39"/>
    <w:bookmarkEnd w:id="38"/>
    <w:p>
      <w:pPr>
        <w:jc w:val="both"/>
        <w:spacing w:after="0" w:line="244" w:lineRule="auto"/>
        <w:rPr>
          <w:sz w:val="20"/>
          <w:szCs w:val="20"/>
          <w:color w:val="auto"/>
        </w:rPr>
      </w:pPr>
      <w:r>
        <w:rPr>
          <w:rFonts w:ascii="Calibri" w:cs="Calibri" w:eastAsia="Calibri" w:hAnsi="Calibri"/>
          <w:sz w:val="20"/>
          <w:szCs w:val="20"/>
          <w:color w:val="auto"/>
        </w:rPr>
        <w:t>product and our product candidates we cannot guarantee that any of our analyses are complete and thorough, nor can we be sure that we have identified each patent and pending application in the United States and abroad that is relevant or necessary to the commercialization of our product candidates. Moreover, because patent applications can take many years to issue, there may be currently pending patent applications that may later result in issued patents covering our product candidates. With respect to products we are evaluating for inclusion in our future product pipeline, our freedom to operate analyses, including our research on the timing of potentially relevant patent expirations, are ongoing.</w:t>
      </w:r>
    </w:p>
    <w:p>
      <w:pPr>
        <w:spacing w:after="0" w:line="216" w:lineRule="exact"/>
        <w:rPr>
          <w:sz w:val="20"/>
          <w:szCs w:val="20"/>
          <w:color w:val="auto"/>
        </w:rPr>
      </w:pPr>
    </w:p>
    <w:p>
      <w:pPr>
        <w:jc w:val="both"/>
        <w:ind w:firstLine="490"/>
        <w:spacing w:after="0" w:line="241" w:lineRule="auto"/>
        <w:rPr>
          <w:sz w:val="20"/>
          <w:szCs w:val="20"/>
          <w:color w:val="auto"/>
        </w:rPr>
      </w:pPr>
      <w:r>
        <w:rPr>
          <w:rFonts w:ascii="Calibri" w:cs="Calibri" w:eastAsia="Calibri" w:hAnsi="Calibri"/>
          <w:sz w:val="20"/>
          <w:szCs w:val="20"/>
          <w:color w:val="auto"/>
        </w:rPr>
        <w:t>There may also be patent applications that have been filed but not published and if such applications issue as patents, they could be asserted against us. For example, in most cases, a patent filed today would not become known to industry participants for at least 18 months given patent rules applicable in most jurisdictions, which do not require publication of patent applications until 18 months after filing. Moreover, some United States patents may issue without any prior publication in cases where the patent applicant does not also make a foreign filing. We may also face claims from non-practicing entities that have no relevant product revenue and against whom our own patent portfolio may have no deterrent effect. In addition,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or unenforceable, and we may not be able to do this. Proving that a patent is invalid or unenforceable is difficult. For example, in the United States, proving invalidity requires a showing of clear and convincing evidence to overcome the presumption of validity enjoyed by issued patents. Also, in proceedings before courts in Europe, the burden of proving invalidity of the patent usually rests on the party alleging invalidity.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226" w:lineRule="exact"/>
        <w:rPr>
          <w:sz w:val="20"/>
          <w:szCs w:val="20"/>
          <w:color w:val="auto"/>
        </w:rPr>
      </w:pPr>
    </w:p>
    <w:p>
      <w:pPr>
        <w:jc w:val="both"/>
        <w:ind w:firstLine="490"/>
        <w:spacing w:after="0" w:line="255" w:lineRule="auto"/>
        <w:rPr>
          <w:sz w:val="20"/>
          <w:szCs w:val="20"/>
          <w:color w:val="auto"/>
        </w:rPr>
      </w:pPr>
      <w:r>
        <w:rPr>
          <w:rFonts w:ascii="Calibri" w:cs="Calibri" w:eastAsia="Calibri" w:hAnsi="Calibri"/>
          <w:sz w:val="19"/>
          <w:szCs w:val="19"/>
          <w:color w:val="auto"/>
        </w:rPr>
        <w:t>Third parties could bring claims against us that would cause us to incur substantial expenses and, if successful against us, could cause us to pay substantial monetary damages. Further, if a patent infringement suit were brought against us, we could be forced to stop or delay research, development, manufacturing or sales of the product or product candidate that is the subject of the suit. Ultimately, we could be prevented from commercializing a product or be forced to cease some aspect of our business operations, if, as a result of actual or threatened patent infringement claims, we are unable to enter into licenses on commercially acceptable terms or at all. If, as a result of patent infringement claims or to avoid potential claims, we choose or are required to seek licenses from third parties, these licenses may not be available on acceptable terms or at all. Even if we are able to obtain a license, the license may obligate us to pay substantial license fees or royalties or both, and the rights granted to us might be nonexclusive, which could result in our competitors gaining access to the same intellectual property. Parties making claims against us may obtain injunctive or other equitable relief, which could effectively block our ability to further develop and commercialize one or more of our product candidates. Defense of these claims, regardless of their merit, would likely involve substantial litigation expense and would likely be a substantial diversion of employee resources from our business. In the event of a successful claim of infringement against us, we may, in addition to being blocked from the market, have to pay substantial monetary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08"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In addition to infringement claims against us, we may become a party to other patent litigation and other proceedings, including interference, IPR, derivation or post-grant proceedings declared or granted by the USPTO and similar proceedings in foreign countries, regarding intellectual property rights with respect to our current or future products. An unfavorable outcome in any such proceeding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220"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Third parties may submit applications for patent term extensions in the United States or other jurisdictions where similar extensions are available or Supplementary Protection Certificates in the E.U. states and Switzerland seeking to extend certain patent protection, which, if approved, may interfere with or delay the launch of one or more of our product or product candidates.</w:t>
      </w:r>
    </w:p>
    <w:p>
      <w:pPr>
        <w:spacing w:after="0" w:line="206" w:lineRule="exact"/>
        <w:rPr>
          <w:sz w:val="20"/>
          <w:szCs w:val="20"/>
          <w:color w:val="auto"/>
        </w:rPr>
      </w:pPr>
    </w:p>
    <w:p>
      <w:pPr>
        <w:jc w:val="both"/>
        <w:ind w:firstLine="490"/>
        <w:spacing w:after="0" w:line="245" w:lineRule="auto"/>
        <w:rPr>
          <w:sz w:val="20"/>
          <w:szCs w:val="20"/>
          <w:color w:val="auto"/>
        </w:rPr>
      </w:pPr>
      <w:r>
        <w:rPr>
          <w:rFonts w:ascii="Calibri" w:cs="Calibri" w:eastAsia="Calibri" w:hAnsi="Calibri"/>
          <w:sz w:val="20"/>
          <w:szCs w:val="20"/>
          <w:color w:val="auto"/>
        </w:rPr>
        <w:t>The cost to us of any patent litigation or other proceeding, even if resolved in our favor, could be substantial. Patent litigation and other proceedings may fail, and even if successful, may result in substantial costs and distract our management and other employees. Competitors may be able to sustain the costs of such litigation or proceedings more effectively than we can because of their substantially greater financial resources. Uncertainties resulting from the initiation and continuation of patent litigation or other proceedings could impair our ability to compete in the marketplace.</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37</w:t>
      </w:r>
    </w:p>
    <w:p>
      <w:pPr>
        <w:sectPr>
          <w:pgSz w:w="12240" w:h="15840" w:orient="portrait"/>
          <w:cols w:equalWidth="0" w:num="1">
            <w:col w:w="11160"/>
          </w:cols>
          <w:pgMar w:left="540" w:top="532" w:right="540" w:bottom="9" w:gutter="0" w:footer="0" w:header="0"/>
          <w:type w:val="continuous"/>
        </w:sectPr>
      </w:pPr>
    </w:p>
    <w:bookmarkStart w:id="39" w:name="page40"/>
    <w:bookmarkEnd w:id="39"/>
    <w:p>
      <w:pPr>
        <w:jc w:val="both"/>
        <w:ind w:firstLine="490"/>
        <w:spacing w:after="0" w:line="245" w:lineRule="auto"/>
        <w:rPr>
          <w:sz w:val="20"/>
          <w:szCs w:val="20"/>
          <w:color w:val="auto"/>
        </w:rPr>
      </w:pPr>
      <w:r>
        <w:rPr>
          <w:rFonts w:ascii="Calibri" w:cs="Calibri" w:eastAsia="Calibri" w:hAnsi="Calibri"/>
          <w:sz w:val="20"/>
          <w:szCs w:val="20"/>
          <w:color w:val="auto"/>
        </w:rPr>
        <w:t>We do not know whether any of our pending patent applications will result in the issuance of any patents or whether the rights granted under any patents issuing from these applications will prevent any of our competitors from marketing similar products that may be competitive with our own. Moreover, even if we do obtain issued patents, they will not guarantee us the right to use our patented technology for commercialization of our product candidates. Third parties may have blocking patents that could prevent us from commercializing our own products, even if our products use or embody our own, patented inventions.</w:t>
      </w:r>
    </w:p>
    <w:p>
      <w:pPr>
        <w:spacing w:after="0" w:line="214"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The validity and enforceability of patents are generally uncertain and involve complex legal and factual questions. Any patents that may be issued on our pending applications may be challenged, invalidated or circumvented, which could limit our ability to stop competitors from marketing products similar to ours. Furthermore, our competitors may develop similar or alternative technologies not covered by any patents that may issue to us.</w:t>
      </w:r>
    </w:p>
    <w:p>
      <w:pPr>
        <w:spacing w:after="0" w:line="212"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For technologies for which we do not seek patent protection, we may rely on trade secrets to protect our proprietary position. However, trade secrets are difficult to protect. We seek to protect our technology and product candidates, in part, by entering into confidentiality agreements with those who have access to our confidential information, including our employees, consultants, advisors, contractors or collaborators. We also seek to preserve the integrity and confidentiality of our proprietary technology and processes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advisors, contractors and collaborators use intellectual property owned by others in their work for us, disputes may arise as to the rights in related or resulting know-how and inventions.</w:t>
      </w:r>
    </w:p>
    <w:p>
      <w:pPr>
        <w:spacing w:after="0" w:line="220" w:lineRule="exact"/>
        <w:rPr>
          <w:sz w:val="20"/>
          <w:szCs w:val="20"/>
          <w:color w:val="auto"/>
        </w:rPr>
      </w:pPr>
    </w:p>
    <w:p>
      <w:pPr>
        <w:jc w:val="both"/>
        <w:spacing w:after="0" w:line="262" w:lineRule="auto"/>
        <w:rPr>
          <w:sz w:val="20"/>
          <w:szCs w:val="20"/>
          <w:color w:val="auto"/>
        </w:rPr>
      </w:pPr>
      <w:r>
        <w:rPr>
          <w:rFonts w:ascii="Calibri" w:cs="Calibri" w:eastAsia="Calibri" w:hAnsi="Calibri"/>
          <w:sz w:val="20"/>
          <w:szCs w:val="20"/>
          <w:b w:val="1"/>
          <w:bCs w:val="1"/>
          <w:i w:val="1"/>
          <w:iCs w:val="1"/>
          <w:color w:val="auto"/>
        </w:rPr>
        <w:t>We may be involved in lawsuits or IPR proceedings to protect or enforce our patents, which could be expensive, time consuming and unsuccessful.</w:t>
      </w:r>
    </w:p>
    <w:p>
      <w:pPr>
        <w:spacing w:after="0" w:line="197"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We may discover that competitors are infringing our issued patents. Expensive and time-consuming litigation may be required to abate such infringement. We may not prevail in any lawsuits that we initiate and the damages or other remedies awarded, if any, may not be commercially meaningful. If we or one of our collaboration partners were to initiate legal proceedings against a third party to enforce a patent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but not limited to lack of novelty, obviousness or non-enablement. Grounds for an unenforceability assertion could include an allegation that someone involved in the prosecution of the patent withheld relevant or material information related to the patentability of the invention from the USPTO or made a misleading statement during prosecution. The outcome following legal assertions of invalidity and unenforceability is unpredictable.</w:t>
      </w:r>
    </w:p>
    <w:p>
      <w:pPr>
        <w:spacing w:after="0" w:line="219"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we cannot obtain a license from the prevailing party on commercially reasonable terms. Third parties may request an IPR of our patents in the USPTO. An unfavorable decision may result in the revocation of our patent or a limitation to the scope of the claims of our patents. Our defense of litigation, interference or IPR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222" w:lineRule="exact"/>
        <w:rPr>
          <w:sz w:val="20"/>
          <w:szCs w:val="20"/>
          <w:color w:val="auto"/>
        </w:rPr>
      </w:pPr>
    </w:p>
    <w:p>
      <w:pPr>
        <w:jc w:val="both"/>
        <w:ind w:firstLine="490"/>
        <w:spacing w:after="0" w:line="265" w:lineRule="auto"/>
        <w:rPr>
          <w:sz w:val="20"/>
          <w:szCs w:val="20"/>
          <w:color w:val="auto"/>
        </w:rPr>
      </w:pPr>
      <w:r>
        <w:rPr>
          <w:rFonts w:ascii="Calibri" w:cs="Calibri" w:eastAsia="Calibri" w:hAnsi="Calibri"/>
          <w:sz w:val="19"/>
          <w:szCs w:val="19"/>
          <w:color w:val="auto"/>
        </w:rPr>
        <w:t>Furthermore, because of the substantial amount of discovery required in connection with intellectual property litigation, there is a risk that some of our confidential information could be compromised by disclosure during any litigation we initiate to enforce our patents.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0" w:lineRule="exact"/>
        <w:rPr>
          <w:sz w:val="20"/>
          <w:szCs w:val="20"/>
          <w:color w:val="auto"/>
        </w:rPr>
      </w:pPr>
    </w:p>
    <w:p>
      <w:pPr>
        <w:jc w:val="both"/>
        <w:spacing w:after="0" w:line="290" w:lineRule="auto"/>
        <w:rPr>
          <w:sz w:val="20"/>
          <w:szCs w:val="20"/>
          <w:color w:val="auto"/>
        </w:rPr>
      </w:pPr>
      <w:r>
        <w:rPr>
          <w:rFonts w:ascii="Calibri" w:cs="Calibri" w:eastAsia="Calibri" w:hAnsi="Calibri"/>
          <w:sz w:val="19"/>
          <w:szCs w:val="19"/>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70"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We employ individuals, retain independent contractors and consultants and members on our board of directors or scientific advisory board who were previously employed at universities or other pharmaceutical companies, including our competitors or potential competitors. Although we have procedures in place to try to ensure that our employees, consultants and independent contractors do not use the proprietary information or know-how of others in their work for us, we may be subject to claims that we or our employees or</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38</w:t>
      </w:r>
    </w:p>
    <w:p>
      <w:pPr>
        <w:sectPr>
          <w:pgSz w:w="12240" w:h="15840" w:orient="portrait"/>
          <w:cols w:equalWidth="0" w:num="1">
            <w:col w:w="11160"/>
          </w:cols>
          <w:pgMar w:left="540" w:top="532" w:right="540" w:bottom="9" w:gutter="0" w:footer="0" w:header="0"/>
          <w:type w:val="continuous"/>
        </w:sectPr>
      </w:pPr>
    </w:p>
    <w:bookmarkStart w:id="40" w:name="page41"/>
    <w:bookmarkEnd w:id="40"/>
    <w:p>
      <w:pPr>
        <w:jc w:val="both"/>
        <w:spacing w:after="0" w:line="245" w:lineRule="auto"/>
        <w:rPr>
          <w:sz w:val="20"/>
          <w:szCs w:val="20"/>
          <w:color w:val="auto"/>
        </w:rPr>
      </w:pPr>
      <w:r>
        <w:rPr>
          <w:rFonts w:ascii="Calibri" w:cs="Calibri" w:eastAsia="Calibri" w:hAnsi="Calibri"/>
          <w:sz w:val="20"/>
          <w:szCs w:val="20"/>
          <w:color w:val="auto"/>
        </w:rPr>
        <w:t>consultants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212" w:lineRule="exact"/>
        <w:rPr>
          <w:sz w:val="20"/>
          <w:szCs w:val="20"/>
          <w:color w:val="auto"/>
        </w:rPr>
      </w:pPr>
    </w:p>
    <w:p>
      <w:pPr>
        <w:jc w:val="both"/>
        <w:spacing w:after="0" w:line="251" w:lineRule="auto"/>
        <w:rPr>
          <w:sz w:val="20"/>
          <w:szCs w:val="20"/>
          <w:color w:val="auto"/>
        </w:rPr>
      </w:pPr>
      <w:r>
        <w:rPr>
          <w:rFonts w:ascii="Calibri" w:cs="Calibri" w:eastAsia="Calibri" w:hAnsi="Calibri"/>
          <w:sz w:val="20"/>
          <w:szCs w:val="20"/>
          <w:b w:val="1"/>
          <w:bCs w:val="1"/>
          <w:i w:val="1"/>
          <w:iCs w:val="1"/>
          <w:color w:val="auto"/>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208"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We are a party to certain non-exclusive intellectual property license agreements with certain vendors that are important to our business, and we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we may be required to make certain payments to the licensor, we may lose the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product candidates.</w:t>
      </w:r>
    </w:p>
    <w:p>
      <w:pPr>
        <w:spacing w:after="0" w:line="220" w:lineRule="exact"/>
        <w:rPr>
          <w:sz w:val="20"/>
          <w:szCs w:val="20"/>
          <w:color w:val="auto"/>
        </w:rPr>
      </w:pPr>
    </w:p>
    <w:p>
      <w:pPr>
        <w:ind w:left="500"/>
        <w:spacing w:after="0"/>
        <w:rPr>
          <w:sz w:val="20"/>
          <w:szCs w:val="20"/>
          <w:color w:val="auto"/>
        </w:rPr>
      </w:pPr>
      <w:r>
        <w:rPr>
          <w:rFonts w:ascii="Calibri" w:cs="Calibri" w:eastAsia="Calibri" w:hAnsi="Calibri"/>
          <w:sz w:val="19"/>
          <w:szCs w:val="19"/>
          <w:color w:val="auto"/>
        </w:rPr>
        <w:t>In the event we breach any of our obligations related to such agreements, we may incur significant liability to our licensing partners.</w:t>
      </w:r>
    </w:p>
    <w:p>
      <w:pPr>
        <w:spacing w:after="0" w:line="34" w:lineRule="exact"/>
        <w:rPr>
          <w:sz w:val="20"/>
          <w:szCs w:val="20"/>
          <w:color w:val="auto"/>
        </w:rPr>
      </w:pPr>
    </w:p>
    <w:p>
      <w:pPr>
        <w:spacing w:after="0"/>
        <w:rPr>
          <w:sz w:val="20"/>
          <w:szCs w:val="20"/>
          <w:color w:val="auto"/>
        </w:rPr>
      </w:pPr>
      <w:r>
        <w:rPr>
          <w:rFonts w:ascii="Calibri" w:cs="Calibri" w:eastAsia="Calibri" w:hAnsi="Calibri"/>
          <w:sz w:val="20"/>
          <w:szCs w:val="20"/>
          <w:color w:val="auto"/>
        </w:rPr>
        <w:t>Disputes may arise regarding intellectual property subject to a licensing agreement, including but not limited to:</w:t>
      </w:r>
    </w:p>
    <w:p>
      <w:pPr>
        <w:spacing w:after="0" w:line="109" w:lineRule="exact"/>
        <w:rPr>
          <w:sz w:val="20"/>
          <w:szCs w:val="20"/>
          <w:color w:val="auto"/>
        </w:rPr>
      </w:pPr>
    </w:p>
    <w:p>
      <w:pPr>
        <w:ind w:left="980" w:hanging="483"/>
        <w:spacing w:after="0"/>
        <w:tabs>
          <w:tab w:leader="none" w:pos="980" w:val="left"/>
        </w:tabs>
        <w:numPr>
          <w:ilvl w:val="0"/>
          <w:numId w:val="25"/>
        </w:numPr>
        <w:rPr>
          <w:rFonts w:ascii="Symbol" w:cs="Symbol" w:eastAsia="Symbol" w:hAnsi="Symbol"/>
          <w:sz w:val="20"/>
          <w:szCs w:val="20"/>
          <w:color w:val="auto"/>
        </w:rPr>
      </w:pPr>
      <w:r>
        <w:rPr>
          <w:rFonts w:ascii="Calibri" w:cs="Calibri" w:eastAsia="Calibri" w:hAnsi="Calibri"/>
          <w:sz w:val="20"/>
          <w:szCs w:val="20"/>
          <w:color w:val="auto"/>
        </w:rPr>
        <w:t>the scope of rights granted under the license agreement and other interpretation-related issues;</w:t>
      </w:r>
    </w:p>
    <w:p>
      <w:pPr>
        <w:spacing w:after="0" w:line="119"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25"/>
        </w:numPr>
        <w:rPr>
          <w:rFonts w:ascii="Symbol" w:cs="Symbol" w:eastAsia="Symbol" w:hAnsi="Symbol"/>
          <w:sz w:val="20"/>
          <w:szCs w:val="20"/>
          <w:color w:val="auto"/>
        </w:rPr>
      </w:pPr>
      <w:r>
        <w:rPr>
          <w:rFonts w:ascii="Calibri" w:cs="Calibri" w:eastAsia="Calibri" w:hAnsi="Calibri"/>
          <w:sz w:val="20"/>
          <w:szCs w:val="20"/>
          <w:color w:val="auto"/>
        </w:rPr>
        <w:t>the extent to which our technology and processes infringe on intellectual property of the licensor that is not subject to the licensing agreement;</w:t>
      </w:r>
    </w:p>
    <w:p>
      <w:pPr>
        <w:spacing w:after="0" w:line="98" w:lineRule="exact"/>
        <w:rPr>
          <w:rFonts w:ascii="Symbol" w:cs="Symbol" w:eastAsia="Symbol" w:hAnsi="Symbol"/>
          <w:sz w:val="20"/>
          <w:szCs w:val="20"/>
          <w:color w:val="auto"/>
        </w:rPr>
      </w:pPr>
    </w:p>
    <w:p>
      <w:pPr>
        <w:ind w:left="980" w:hanging="483"/>
        <w:spacing w:after="0"/>
        <w:tabs>
          <w:tab w:leader="none" w:pos="980" w:val="left"/>
        </w:tabs>
        <w:numPr>
          <w:ilvl w:val="0"/>
          <w:numId w:val="25"/>
        </w:numPr>
        <w:rPr>
          <w:rFonts w:ascii="Symbol" w:cs="Symbol" w:eastAsia="Symbol" w:hAnsi="Symbol"/>
          <w:sz w:val="20"/>
          <w:szCs w:val="20"/>
          <w:color w:val="auto"/>
        </w:rPr>
      </w:pPr>
      <w:r>
        <w:rPr>
          <w:rFonts w:ascii="Calibri" w:cs="Calibri" w:eastAsia="Calibri" w:hAnsi="Calibri"/>
          <w:sz w:val="20"/>
          <w:szCs w:val="20"/>
          <w:color w:val="auto"/>
        </w:rPr>
        <w:t>the sublicensing of patents and other rights;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25"/>
        </w:numPr>
        <w:rPr>
          <w:rFonts w:ascii="Symbol" w:cs="Symbol" w:eastAsia="Symbol" w:hAnsi="Symbol"/>
          <w:sz w:val="20"/>
          <w:szCs w:val="20"/>
          <w:color w:val="auto"/>
        </w:rPr>
      </w:pPr>
      <w:r>
        <w:rPr>
          <w:rFonts w:ascii="Calibri" w:cs="Calibri" w:eastAsia="Calibri" w:hAnsi="Calibri"/>
          <w:sz w:val="20"/>
          <w:szCs w:val="20"/>
          <w:color w:val="auto"/>
        </w:rPr>
        <w:t>our diligence obligations under the license agreement and what activities satisfy those diligence obligations;</w:t>
      </w:r>
    </w:p>
    <w:p>
      <w:pPr>
        <w:spacing w:after="0" w:line="118" w:lineRule="exact"/>
        <w:rPr>
          <w:rFonts w:ascii="Symbol" w:cs="Symbol" w:eastAsia="Symbol" w:hAnsi="Symbol"/>
          <w:sz w:val="20"/>
          <w:szCs w:val="20"/>
          <w:color w:val="auto"/>
        </w:rPr>
      </w:pPr>
    </w:p>
    <w:p>
      <w:pPr>
        <w:ind w:left="980" w:right="20" w:hanging="483"/>
        <w:spacing w:after="0" w:line="253" w:lineRule="auto"/>
        <w:tabs>
          <w:tab w:leader="none" w:pos="980" w:val="left"/>
        </w:tabs>
        <w:numPr>
          <w:ilvl w:val="0"/>
          <w:numId w:val="25"/>
        </w:numPr>
        <w:rPr>
          <w:rFonts w:ascii="Symbol" w:cs="Symbol" w:eastAsia="Symbol" w:hAnsi="Symbol"/>
          <w:sz w:val="20"/>
          <w:szCs w:val="20"/>
          <w:color w:val="auto"/>
        </w:rPr>
      </w:pPr>
      <w:r>
        <w:rPr>
          <w:rFonts w:ascii="Calibri" w:cs="Calibri" w:eastAsia="Calibri" w:hAnsi="Calibri"/>
          <w:sz w:val="20"/>
          <w:szCs w:val="20"/>
          <w:color w:val="auto"/>
        </w:rPr>
        <w:t>the ownership of inventions and know-how resulting from the joint creation or use of intellectual property by our licensors and us and our collaborators; and</w:t>
      </w:r>
    </w:p>
    <w:p>
      <w:pPr>
        <w:spacing w:after="0" w:line="94" w:lineRule="exact"/>
        <w:rPr>
          <w:rFonts w:ascii="Symbol" w:cs="Symbol" w:eastAsia="Symbol" w:hAnsi="Symbol"/>
          <w:sz w:val="20"/>
          <w:szCs w:val="20"/>
          <w:color w:val="auto"/>
        </w:rPr>
      </w:pPr>
    </w:p>
    <w:p>
      <w:pPr>
        <w:ind w:left="980" w:hanging="483"/>
        <w:spacing w:after="0"/>
        <w:tabs>
          <w:tab w:leader="none" w:pos="980" w:val="left"/>
        </w:tabs>
        <w:numPr>
          <w:ilvl w:val="0"/>
          <w:numId w:val="25"/>
        </w:numPr>
        <w:rPr>
          <w:rFonts w:ascii="Symbol" w:cs="Symbol" w:eastAsia="Symbol" w:hAnsi="Symbol"/>
          <w:sz w:val="20"/>
          <w:szCs w:val="20"/>
          <w:color w:val="auto"/>
        </w:rPr>
      </w:pPr>
      <w:r>
        <w:rPr>
          <w:rFonts w:ascii="Calibri" w:cs="Calibri" w:eastAsia="Calibri" w:hAnsi="Calibri"/>
          <w:sz w:val="20"/>
          <w:szCs w:val="20"/>
          <w:color w:val="auto"/>
        </w:rPr>
        <w:t>the priority of invention of patented technology.</w:t>
      </w:r>
    </w:p>
    <w:p>
      <w:pPr>
        <w:spacing w:after="0" w:line="228"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If disputes over intellectual property and other rights that we have licensed prevent or impair our ability to maintain our current licensing arrangements on acceptable terms, we may be unable to successfully develop and commercialize the affected product candidates and that could have a material adverse effect on our business.</w:t>
      </w:r>
    </w:p>
    <w:p>
      <w:pPr>
        <w:spacing w:after="0" w:line="205" w:lineRule="exact"/>
        <w:rPr>
          <w:sz w:val="20"/>
          <w:szCs w:val="20"/>
          <w:color w:val="auto"/>
        </w:rPr>
      </w:pPr>
    </w:p>
    <w:p>
      <w:pPr>
        <w:jc w:val="both"/>
        <w:spacing w:after="0" w:line="262" w:lineRule="auto"/>
        <w:rPr>
          <w:sz w:val="20"/>
          <w:szCs w:val="20"/>
          <w:color w:val="auto"/>
        </w:rPr>
      </w:pPr>
      <w:r>
        <w:rPr>
          <w:rFonts w:ascii="Calibri" w:cs="Calibri" w:eastAsia="Calibri" w:hAnsi="Calibri"/>
          <w:sz w:val="20"/>
          <w:szCs w:val="20"/>
          <w:b w:val="1"/>
          <w:bCs w:val="1"/>
          <w:i w:val="1"/>
          <w:iCs w:val="1"/>
          <w:color w:val="auto"/>
        </w:rPr>
        <w:t>We may not be successful in obtaining or maintaining necessary rights to our product and product candidates through acquisitions and in-licenses.</w:t>
      </w:r>
    </w:p>
    <w:p>
      <w:pPr>
        <w:spacing w:after="0" w:line="197" w:lineRule="exact"/>
        <w:rPr>
          <w:sz w:val="20"/>
          <w:szCs w:val="20"/>
          <w:color w:val="auto"/>
        </w:rPr>
      </w:pPr>
    </w:p>
    <w:p>
      <w:pPr>
        <w:jc w:val="both"/>
        <w:ind w:firstLine="490"/>
        <w:spacing w:after="0" w:line="256" w:lineRule="auto"/>
        <w:rPr>
          <w:sz w:val="20"/>
          <w:szCs w:val="20"/>
          <w:color w:val="auto"/>
        </w:rPr>
      </w:pPr>
      <w:r>
        <w:rPr>
          <w:rFonts w:ascii="Calibri" w:cs="Calibri" w:eastAsia="Calibri" w:hAnsi="Calibri"/>
          <w:sz w:val="19"/>
          <w:szCs w:val="19"/>
          <w:color w:val="auto"/>
        </w:rPr>
        <w:t>We currently have rights to certain intellectual property, through licenses from third parties and under patent applications that we own, to develop and commercialize our product and product candidates. Because we may find that our programs require the use of proprietary rights held by third parties,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We may also get into disputes or litigation with third parties from whom we license intellectual property rights necessary for the sale of our product.</w:t>
      </w:r>
    </w:p>
    <w:p>
      <w:pPr>
        <w:spacing w:after="0" w:line="204" w:lineRule="exact"/>
        <w:rPr>
          <w:sz w:val="20"/>
          <w:szCs w:val="20"/>
          <w:color w:val="auto"/>
        </w:rPr>
      </w:pPr>
    </w:p>
    <w:p>
      <w:pPr>
        <w:jc w:val="both"/>
        <w:ind w:firstLine="490"/>
        <w:spacing w:after="0" w:line="262" w:lineRule="auto"/>
        <w:rPr>
          <w:sz w:val="20"/>
          <w:szCs w:val="20"/>
          <w:color w:val="auto"/>
        </w:rPr>
      </w:pPr>
      <w:r>
        <w:rPr>
          <w:rFonts w:ascii="Calibri" w:cs="Calibri" w:eastAsia="Calibri" w:hAnsi="Calibri"/>
          <w:sz w:val="20"/>
          <w:szCs w:val="20"/>
          <w:color w:val="auto"/>
        </w:rPr>
        <w:t>If we are unable to successfully obtain required third-party intellectual property rights or maintain the existing intellectual property rights we have, we may have to abandon development of that program and our business and financial condition could suffer.</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39</w:t>
      </w:r>
    </w:p>
    <w:p>
      <w:pPr>
        <w:sectPr>
          <w:pgSz w:w="12240" w:h="15840" w:orient="portrait"/>
          <w:cols w:equalWidth="0" w:num="1">
            <w:col w:w="11160"/>
          </w:cols>
          <w:pgMar w:left="540" w:top="532" w:right="540" w:bottom="9" w:gutter="0" w:footer="0" w:header="0"/>
          <w:type w:val="continuous"/>
        </w:sectPr>
      </w:pPr>
    </w:p>
    <w:bookmarkStart w:id="41" w:name="page42"/>
    <w:bookmarkEnd w:id="41"/>
    <w:p>
      <w:pPr>
        <w:spacing w:after="0"/>
        <w:rPr>
          <w:sz w:val="20"/>
          <w:szCs w:val="20"/>
          <w:color w:val="auto"/>
        </w:rPr>
      </w:pPr>
      <w:r>
        <w:rPr>
          <w:rFonts w:ascii="Calibri" w:cs="Calibri" w:eastAsia="Calibri" w:hAnsi="Calibri"/>
          <w:sz w:val="20"/>
          <w:szCs w:val="20"/>
          <w:b w:val="1"/>
          <w:bCs w:val="1"/>
          <w:color w:val="auto"/>
        </w:rPr>
        <w:t>Risks Related to the Discovery and Development of Our Product Candidates</w:t>
      </w:r>
    </w:p>
    <w:p>
      <w:pPr>
        <w:spacing w:after="0" w:line="238" w:lineRule="exact"/>
        <w:rPr>
          <w:sz w:val="20"/>
          <w:szCs w:val="20"/>
          <w:color w:val="auto"/>
        </w:rPr>
      </w:pPr>
    </w:p>
    <w:p>
      <w:pPr>
        <w:jc w:val="both"/>
        <w:spacing w:after="0" w:line="251" w:lineRule="auto"/>
        <w:rPr>
          <w:sz w:val="20"/>
          <w:szCs w:val="20"/>
          <w:color w:val="auto"/>
        </w:rPr>
      </w:pPr>
      <w:r>
        <w:rPr>
          <w:rFonts w:ascii="Calibri" w:cs="Calibri" w:eastAsia="Calibri" w:hAnsi="Calibri"/>
          <w:sz w:val="20"/>
          <w:szCs w:val="20"/>
          <w:b w:val="1"/>
          <w:bCs w:val="1"/>
          <w:i w:val="1"/>
          <w:iCs w:val="1"/>
          <w:color w:val="auto"/>
        </w:rPr>
        <w:t>We are heavily dependent on the development, clinical success, regulatory approval and commercial success of our product candidates. We cannot give any assurance that any of our product candidates will receive regulatory approval, which is necessary before they can be commercialized.</w:t>
      </w:r>
    </w:p>
    <w:p>
      <w:pPr>
        <w:spacing w:after="0" w:line="209"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We invest substantial efforts and financial resources to identify, acquire and develop our product candidates. Our future success is dependent on our ability to develop, obtain regulatory approval for, and then commercialize and obtain adequate third-party coverage and reimbursement for one or more of our product candidates. We currently have one approved product: LOQTORZI.</w:t>
      </w:r>
    </w:p>
    <w:p>
      <w:pPr>
        <w:spacing w:after="0" w:line="206" w:lineRule="exact"/>
        <w:rPr>
          <w:sz w:val="20"/>
          <w:szCs w:val="20"/>
          <w:color w:val="auto"/>
        </w:rPr>
      </w:pPr>
    </w:p>
    <w:p>
      <w:pPr>
        <w:jc w:val="both"/>
        <w:ind w:firstLine="490"/>
        <w:spacing w:after="0" w:line="245" w:lineRule="auto"/>
        <w:rPr>
          <w:sz w:val="20"/>
          <w:szCs w:val="20"/>
          <w:color w:val="auto"/>
        </w:rPr>
      </w:pPr>
      <w:r>
        <w:rPr>
          <w:rFonts w:ascii="Calibri" w:cs="Calibri" w:eastAsia="Calibri" w:hAnsi="Calibri"/>
          <w:sz w:val="20"/>
          <w:szCs w:val="20"/>
          <w:color w:val="auto"/>
        </w:rPr>
        <w:t>Our product candidates are in varying stages of development and will require additional clinical development, management of nonclinical, clinical and manufacturing activities, regulatory approval, adequate manufacturing supplies, commercial organization and significant marketing efforts before we generate any revenue from product sales. We have not initiated Phase 3 clinical trials for any of the product candidates in our pipeline. It may be some time before we submit an application for market approval with the relevant regulatory agencies for these product candidates.</w:t>
      </w:r>
    </w:p>
    <w:p>
      <w:pPr>
        <w:spacing w:after="0" w:line="214"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We cannot be certain that any of our product candidates will be successful in clinical trials or receive regulatory approval. Further, our product candidates may not receive regulatory approval even if they are successful in clinical trials. If we and our existing or future collaboration partners do not receive regulatory approvals for our product candidates, we may not be able to continue our operations.</w:t>
      </w:r>
    </w:p>
    <w:p>
      <w:pPr>
        <w:spacing w:after="0" w:line="207"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We, together with our collaboration partners, generally plan to seek regulatory approval to commercialize our product candidates in the United States, the E.U., and additional foreign countries where we or our partners have commercial rights. To obtain regulatory approval, we and our collaboration partners must comply with numerous and varying regulatory requirements of such countries regarding safety, efficacy, chemistry, manufacturing and controls, clinical studies, commercial sales, and pricing and distribution of our product candidates. Even if we and our collaboration partners are successful in obtaining approval in one jurisdiction, we cannot ensure that we will obtain approval in any other jurisdictions. If we and our collaboration partners are unable to obtain approval for our product candidates in multiple jurisdictions, our revenue and results of operations could be negatively affected.</w:t>
      </w:r>
    </w:p>
    <w:p>
      <w:pPr>
        <w:spacing w:after="0" w:line="217" w:lineRule="exact"/>
        <w:rPr>
          <w:sz w:val="20"/>
          <w:szCs w:val="20"/>
          <w:color w:val="auto"/>
        </w:rPr>
      </w:pPr>
    </w:p>
    <w:p>
      <w:pPr>
        <w:jc w:val="both"/>
        <w:spacing w:after="0" w:line="251" w:lineRule="auto"/>
        <w:rPr>
          <w:sz w:val="20"/>
          <w:szCs w:val="20"/>
          <w:color w:val="auto"/>
        </w:rPr>
      </w:pPr>
      <w:r>
        <w:rPr>
          <w:rFonts w:ascii="Calibri" w:cs="Calibri" w:eastAsia="Calibri" w:hAnsi="Calibri"/>
          <w:sz w:val="20"/>
          <w:szCs w:val="20"/>
          <w:b w:val="1"/>
          <w:bCs w:val="1"/>
          <w:i w:val="1"/>
          <w:iCs w:val="1"/>
          <w:color w:val="auto"/>
        </w:rPr>
        <w:t xml:space="preserve">The </w:t>
      </w:r>
      <w:r>
        <w:rPr>
          <w:rFonts w:ascii="Calibri" w:cs="Calibri" w:eastAsia="Calibri" w:hAnsi="Calibri"/>
          <w:sz w:val="20"/>
          <w:szCs w:val="20"/>
          <w:i w:val="1"/>
          <w:iCs w:val="1"/>
          <w:color w:val="auto"/>
        </w:rPr>
        <w:t>r</w:t>
      </w:r>
      <w:r>
        <w:rPr>
          <w:rFonts w:ascii="Calibri" w:cs="Calibri" w:eastAsia="Calibri" w:hAnsi="Calibri"/>
          <w:sz w:val="20"/>
          <w:szCs w:val="20"/>
          <w:b w:val="1"/>
          <w:bCs w:val="1"/>
          <w:i w:val="1"/>
          <w:iCs w:val="1"/>
          <w:color w:val="auto"/>
        </w:rPr>
        <w:t>egulatory approval processes of the FDA, EMA and comparable foreign authorities are lengthy, time consuming and inherently unpredictable. If we and our collaboration partners are ultimately unable to obtain regulatory approval for our product candidates, our business will be substantially harmed.</w:t>
      </w:r>
    </w:p>
    <w:p>
      <w:pPr>
        <w:spacing w:after="0" w:line="208" w:lineRule="exact"/>
        <w:rPr>
          <w:sz w:val="20"/>
          <w:szCs w:val="20"/>
          <w:color w:val="auto"/>
        </w:rPr>
      </w:pPr>
    </w:p>
    <w:p>
      <w:pPr>
        <w:jc w:val="both"/>
        <w:ind w:firstLine="490"/>
        <w:spacing w:after="0" w:line="259" w:lineRule="auto"/>
        <w:rPr>
          <w:sz w:val="20"/>
          <w:szCs w:val="20"/>
          <w:color w:val="auto"/>
        </w:rPr>
      </w:pPr>
      <w:r>
        <w:rPr>
          <w:rFonts w:ascii="Calibri" w:cs="Calibri" w:eastAsia="Calibri" w:hAnsi="Calibri"/>
          <w:sz w:val="19"/>
          <w:szCs w:val="19"/>
          <w:color w:val="auto"/>
        </w:rPr>
        <w:t>The research, development, testing, manufacturing, labeling, packaging, approval, promotion, advertising, storage, marketing, distribution, post-approval monitoring and reporting and export and import of biologic products are subject to extensive regulation by the FDA and other regulatory authorities in the United States, by the EMA and EEA Competent Authorities in the EEA, and by other regulatory authorities in other countries, where regulations differ from country to country. Neither we nor any existing or future collaboration partners are permitted to market our product candidates in the United States until we and our collaboration partners receive approval from the FDA, or in the EEA until we and our collaboration partners receive European Commission or EEA Competent Authority approvals.</w:t>
      </w:r>
    </w:p>
    <w:p>
      <w:pPr>
        <w:spacing w:after="0" w:line="203"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The time required to develop new products or obtain approval for new products by the FDA and comparable foreign authorities is unpredictable, may take many years following the completion of clinical studies and depends upon numerous factors. Further, applications to the Human Genetic Resources Administration of China required for any activities, including development activities and data sharing with our partners in China, may result in product development delays.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Neither we nor any collaboration partner has obtained regulatory approval for any of our product and product candidates, other than LOQTORZI, which has received approval from the FDA and is also approved for use in China, and it is possible that none of our other current or future product candidates will ever obtain additional regulatory approvals.</w:t>
      </w:r>
    </w:p>
    <w:p>
      <w:pPr>
        <w:spacing w:after="0" w:line="222" w:lineRule="exact"/>
        <w:rPr>
          <w:sz w:val="20"/>
          <w:szCs w:val="20"/>
          <w:color w:val="auto"/>
        </w:rPr>
      </w:pPr>
    </w:p>
    <w:p>
      <w:pPr>
        <w:jc w:val="both"/>
        <w:ind w:firstLine="489"/>
        <w:spacing w:after="0" w:line="262" w:lineRule="auto"/>
        <w:rPr>
          <w:sz w:val="20"/>
          <w:szCs w:val="20"/>
          <w:color w:val="auto"/>
        </w:rPr>
      </w:pPr>
      <w:r>
        <w:rPr>
          <w:rFonts w:ascii="Calibri" w:cs="Calibri" w:eastAsia="Calibri" w:hAnsi="Calibri"/>
          <w:sz w:val="20"/>
          <w:szCs w:val="20"/>
          <w:color w:val="auto"/>
        </w:rPr>
        <w:t>Applications for our product candidates could fail to receive regulatory approval for many reasons, including but not limited to the following:</w:t>
      </w:r>
    </w:p>
    <w:p>
      <w:pPr>
        <w:spacing w:after="0" w:line="86" w:lineRule="exact"/>
        <w:rPr>
          <w:sz w:val="20"/>
          <w:szCs w:val="20"/>
          <w:color w:val="auto"/>
        </w:rPr>
      </w:pPr>
    </w:p>
    <w:p>
      <w:pPr>
        <w:ind w:left="980" w:right="20" w:hanging="483"/>
        <w:spacing w:after="0" w:line="252" w:lineRule="auto"/>
        <w:tabs>
          <w:tab w:leader="none" w:pos="980" w:val="left"/>
        </w:tabs>
        <w:numPr>
          <w:ilvl w:val="0"/>
          <w:numId w:val="26"/>
        </w:numPr>
        <w:rPr>
          <w:rFonts w:ascii="Symbol" w:cs="Symbol" w:eastAsia="Symbol" w:hAnsi="Symbol"/>
          <w:sz w:val="20"/>
          <w:szCs w:val="20"/>
          <w:color w:val="auto"/>
        </w:rPr>
      </w:pPr>
      <w:r>
        <w:rPr>
          <w:rFonts w:ascii="Calibri" w:cs="Calibri" w:eastAsia="Calibri" w:hAnsi="Calibri"/>
          <w:sz w:val="20"/>
          <w:szCs w:val="20"/>
          <w:color w:val="auto"/>
        </w:rPr>
        <w:t>the data collected from clinical studies of our product candidates may not be sufficient to support the submission of a BLA, an NDA or other submission or to obtain regulatory approval in the United States, the EEA or elsewhere;</w:t>
      </w:r>
    </w:p>
    <w:p>
      <w:pPr>
        <w:spacing w:after="0" w:line="96" w:lineRule="exact"/>
        <w:rPr>
          <w:rFonts w:ascii="Symbol" w:cs="Symbol" w:eastAsia="Symbol" w:hAnsi="Symbol"/>
          <w:sz w:val="20"/>
          <w:szCs w:val="20"/>
          <w:color w:val="auto"/>
        </w:rPr>
      </w:pPr>
    </w:p>
    <w:p>
      <w:pPr>
        <w:ind w:left="980" w:hanging="483"/>
        <w:spacing w:after="0"/>
        <w:tabs>
          <w:tab w:leader="none" w:pos="980" w:val="left"/>
        </w:tabs>
        <w:numPr>
          <w:ilvl w:val="0"/>
          <w:numId w:val="26"/>
        </w:numPr>
        <w:rPr>
          <w:rFonts w:ascii="Symbol" w:cs="Symbol" w:eastAsia="Symbol" w:hAnsi="Symbol"/>
          <w:sz w:val="20"/>
          <w:szCs w:val="20"/>
          <w:color w:val="auto"/>
        </w:rPr>
      </w:pPr>
      <w:r>
        <w:rPr>
          <w:rFonts w:ascii="Calibri" w:cs="Calibri" w:eastAsia="Calibri" w:hAnsi="Calibri"/>
          <w:sz w:val="20"/>
          <w:szCs w:val="20"/>
          <w:color w:val="auto"/>
        </w:rPr>
        <w:t>the FDA or comparable foreign regulatory authorities may disagree with the design or implementation of our clinical studies;</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40</w:t>
      </w:r>
    </w:p>
    <w:p>
      <w:pPr>
        <w:sectPr>
          <w:pgSz w:w="12240" w:h="15840" w:orient="portrait"/>
          <w:cols w:equalWidth="0" w:num="1">
            <w:col w:w="11160"/>
          </w:cols>
          <w:pgMar w:left="540" w:top="531" w:right="540" w:bottom="9" w:gutter="0" w:footer="0" w:header="0"/>
          <w:type w:val="continuous"/>
        </w:sectPr>
      </w:pPr>
    </w:p>
    <w:bookmarkStart w:id="42" w:name="page43"/>
    <w:bookmarkEnd w:id="42"/>
    <w:p>
      <w:pPr>
        <w:jc w:val="both"/>
        <w:ind w:left="980" w:hanging="483"/>
        <w:spacing w:after="0" w:line="246" w:lineRule="auto"/>
        <w:tabs>
          <w:tab w:leader="none" w:pos="980" w:val="left"/>
        </w:tabs>
        <w:numPr>
          <w:ilvl w:val="0"/>
          <w:numId w:val="27"/>
        </w:numPr>
        <w:rPr>
          <w:rFonts w:ascii="Symbol" w:cs="Symbol" w:eastAsia="Symbol" w:hAnsi="Symbol"/>
          <w:sz w:val="20"/>
          <w:szCs w:val="20"/>
          <w:color w:val="auto"/>
        </w:rPr>
      </w:pPr>
      <w:r>
        <w:rPr>
          <w:rFonts w:ascii="Calibri" w:cs="Calibri" w:eastAsia="Calibri" w:hAnsi="Calibri"/>
          <w:sz w:val="20"/>
          <w:szCs w:val="20"/>
          <w:color w:val="auto"/>
        </w:rPr>
        <w:t>the FDA may determine that the population studied in the clinical program may not be sufficiently broad or representative to assure safety and efficacy in the full population for which we seek approval, or that conclusions of clinical trials conducted in a single country or region outside the United States may not be generalizable to the patient population in the United States;</w:t>
      </w:r>
    </w:p>
    <w:p>
      <w:pPr>
        <w:spacing w:after="0" w:line="101"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27"/>
        </w:numPr>
        <w:rPr>
          <w:rFonts w:ascii="Symbol" w:cs="Symbol" w:eastAsia="Symbol" w:hAnsi="Symbol"/>
          <w:sz w:val="20"/>
          <w:szCs w:val="20"/>
          <w:color w:val="auto"/>
        </w:rPr>
      </w:pPr>
      <w:r>
        <w:rPr>
          <w:rFonts w:ascii="Calibri" w:cs="Calibri" w:eastAsia="Calibri" w:hAnsi="Calibri"/>
          <w:sz w:val="20"/>
          <w:szCs w:val="20"/>
          <w:color w:val="auto"/>
        </w:rPr>
        <w:t>the FDA or comparable foreign regulatory authorities may disagree with our interpretation of data from analytical and bioanalytical studies, nonclinical studies or clinical studies;</w:t>
      </w:r>
    </w:p>
    <w:p>
      <w:pPr>
        <w:spacing w:after="0" w:line="97"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27"/>
        </w:numPr>
        <w:rPr>
          <w:rFonts w:ascii="Symbol" w:cs="Symbol" w:eastAsia="Symbol" w:hAnsi="Symbol"/>
          <w:sz w:val="20"/>
          <w:szCs w:val="20"/>
          <w:color w:val="auto"/>
        </w:rPr>
      </w:pPr>
      <w:r>
        <w:rPr>
          <w:rFonts w:ascii="Calibri" w:cs="Calibri" w:eastAsia="Calibri" w:hAnsi="Calibri"/>
          <w:sz w:val="20"/>
          <w:szCs w:val="20"/>
          <w:color w:val="auto"/>
        </w:rPr>
        <w:t>we may be unable to demonstrate to the FDA or comparable foreign regulatory authorities that a product candidate’s risk-benefit ratio for its proposed indication is acceptable;</w:t>
      </w:r>
    </w:p>
    <w:p>
      <w:pPr>
        <w:spacing w:after="0" w:line="97" w:lineRule="exact"/>
        <w:rPr>
          <w:rFonts w:ascii="Symbol" w:cs="Symbol" w:eastAsia="Symbol" w:hAnsi="Symbol"/>
          <w:sz w:val="20"/>
          <w:szCs w:val="20"/>
          <w:color w:val="auto"/>
        </w:rPr>
      </w:pPr>
    </w:p>
    <w:p>
      <w:pPr>
        <w:jc w:val="both"/>
        <w:ind w:left="980" w:hanging="483"/>
        <w:spacing w:after="0" w:line="245" w:lineRule="auto"/>
        <w:tabs>
          <w:tab w:leader="none" w:pos="980" w:val="left"/>
        </w:tabs>
        <w:numPr>
          <w:ilvl w:val="0"/>
          <w:numId w:val="27"/>
        </w:numPr>
        <w:rPr>
          <w:rFonts w:ascii="Symbol" w:cs="Symbol" w:eastAsia="Symbol" w:hAnsi="Symbol"/>
          <w:sz w:val="20"/>
          <w:szCs w:val="20"/>
          <w:color w:val="auto"/>
        </w:rPr>
      </w:pPr>
      <w:r>
        <w:rPr>
          <w:rFonts w:ascii="Calibri" w:cs="Calibri" w:eastAsia="Calibri" w:hAnsi="Calibri"/>
          <w:sz w:val="20"/>
          <w:szCs w:val="20"/>
          <w:color w:val="auto"/>
        </w:rPr>
        <w:t>the FDA or comparable foreign regulatory authorities may fail to approve the manufacturing processes, test procedures and specifications or facilities of our collaborators or third-party manufacturers with which we contract for clinical and commercial supplies; and</w:t>
      </w:r>
    </w:p>
    <w:p>
      <w:pPr>
        <w:spacing w:after="0" w:line="104" w:lineRule="exact"/>
        <w:rPr>
          <w:rFonts w:ascii="Symbol" w:cs="Symbol" w:eastAsia="Symbol" w:hAnsi="Symbol"/>
          <w:sz w:val="20"/>
          <w:szCs w:val="20"/>
          <w:color w:val="auto"/>
        </w:rPr>
      </w:pPr>
    </w:p>
    <w:p>
      <w:pPr>
        <w:ind w:left="980" w:hanging="483"/>
        <w:spacing w:after="0" w:line="252" w:lineRule="auto"/>
        <w:tabs>
          <w:tab w:leader="none" w:pos="980" w:val="left"/>
        </w:tabs>
        <w:numPr>
          <w:ilvl w:val="0"/>
          <w:numId w:val="27"/>
        </w:numPr>
        <w:rPr>
          <w:rFonts w:ascii="Symbol" w:cs="Symbol" w:eastAsia="Symbol" w:hAnsi="Symbol"/>
          <w:sz w:val="20"/>
          <w:szCs w:val="20"/>
          <w:color w:val="auto"/>
        </w:rPr>
      </w:pPr>
      <w:r>
        <w:rPr>
          <w:rFonts w:ascii="Calibri" w:cs="Calibri" w:eastAsia="Calibri" w:hAnsi="Calibri"/>
          <w:sz w:val="20"/>
          <w:szCs w:val="20"/>
          <w:color w:val="auto"/>
        </w:rPr>
        <w:t>the approval policies or regulations of the FDA or comparable foreign regulatory authorities may significantly change in a manner rendering our clinical data insufficient for approval.</w:t>
      </w:r>
    </w:p>
    <w:p>
      <w:pPr>
        <w:spacing w:after="0" w:line="205" w:lineRule="exact"/>
        <w:rPr>
          <w:sz w:val="20"/>
          <w:szCs w:val="20"/>
          <w:color w:val="auto"/>
        </w:rPr>
      </w:pPr>
    </w:p>
    <w:p>
      <w:pPr>
        <w:jc w:val="both"/>
        <w:ind w:firstLine="489"/>
        <w:spacing w:after="0" w:line="247" w:lineRule="auto"/>
        <w:rPr>
          <w:sz w:val="20"/>
          <w:szCs w:val="20"/>
          <w:color w:val="auto"/>
        </w:rPr>
      </w:pPr>
      <w:r>
        <w:rPr>
          <w:rFonts w:ascii="Calibri" w:cs="Calibri" w:eastAsia="Calibri" w:hAnsi="Calibri"/>
          <w:sz w:val="20"/>
          <w:szCs w:val="20"/>
          <w:color w:val="auto"/>
        </w:rPr>
        <w:t>This approval process, as well as the unpredictability of the results of clinical studies, may result in our failure to obtain regulatory approval to market any of our product candidates, which would significantly harm our business. Any delays in the commencement or completion of clinical testing could significantly impact our product development costs and could result in the need for additional financing, which may be unavailable to us on acceptable terms or at all.</w:t>
      </w:r>
    </w:p>
    <w:p>
      <w:pPr>
        <w:spacing w:after="0" w:line="209" w:lineRule="exact"/>
        <w:rPr>
          <w:sz w:val="20"/>
          <w:szCs w:val="20"/>
          <w:color w:val="auto"/>
        </w:rPr>
      </w:pPr>
    </w:p>
    <w:p>
      <w:pPr>
        <w:jc w:val="both"/>
        <w:spacing w:after="0" w:line="263" w:lineRule="auto"/>
        <w:rPr>
          <w:sz w:val="20"/>
          <w:szCs w:val="20"/>
          <w:color w:val="auto"/>
        </w:rPr>
      </w:pPr>
      <w:r>
        <w:rPr>
          <w:rFonts w:ascii="Calibri" w:cs="Calibri" w:eastAsia="Calibri" w:hAnsi="Calibri"/>
          <w:sz w:val="20"/>
          <w:szCs w:val="20"/>
          <w:b w:val="1"/>
          <w:bCs w:val="1"/>
          <w:i w:val="1"/>
          <w:iCs w:val="1"/>
          <w:color w:val="auto"/>
        </w:rPr>
        <w:t>Clinical drug development involves a lengthy and expensive process and we may encounter substantial delays in our clinical studies or may fail to demonstrate safety and efficacy to the satisfaction of applicable regulatory authorities.</w:t>
      </w:r>
    </w:p>
    <w:p>
      <w:pPr>
        <w:spacing w:after="0" w:line="195"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Before obtaining marketing approval from regulatory authorities for the sale of our product candidates, we or our collaboration partners, or both, as the case may be, must conduct clinical studies to demonstrate the safety and efficacy of the product candidates in humans.</w:t>
      </w:r>
    </w:p>
    <w:p>
      <w:pPr>
        <w:spacing w:after="0" w:line="207"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Clinical testing is expensive and can take many years to complete, and its outcome is inherently uncertain. Failure can occur at any time during the clinical study process. The results of preclinical studies and early and mid-stage clinical studies of our product candidates may not be predictive of the results of later-stage clinical studies. Product candidates that have shown promising results in early or mid-stage clinical studies may still suffer significant setbacks in subsequent registration clinical studies. There is a high failure rate for product candidates proceeding through clinical studies, and product candidates in later stages of clinical studies may fail to show the desired safety and efficacy traits despite having progressed through preclinical studies and initial clinical studies. A number of companies in the oncology industry have suffered significant setbacks in advanced clinical studies due to lack of efficacy or adverse safety profiles, notwithstanding promising results in earlier studies. Nonclinical and clinical data are also often susceptible to varying interpretations and analyses. We do not know whether any clinical studies we may conduct for our product candidates will demonstrate consistent or adequate efficacy and safety to obtain regulatory approval.</w:t>
      </w:r>
    </w:p>
    <w:p>
      <w:pPr>
        <w:spacing w:after="0" w:line="219"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We cannot guarantee that any clinical studies will be conducted as planned or completed on schedule, if at all. A failure of one or more clinical studies can occur at any stage of testing, and our future clinical studies may not be successful. Events that may prevent successful or timely completion of clinical development include but are not limited to:</w:t>
      </w:r>
    </w:p>
    <w:p>
      <w:pPr>
        <w:spacing w:after="0" w:line="98" w:lineRule="exact"/>
        <w:rPr>
          <w:sz w:val="20"/>
          <w:szCs w:val="20"/>
          <w:color w:val="auto"/>
        </w:rPr>
      </w:pPr>
    </w:p>
    <w:p>
      <w:pPr>
        <w:ind w:left="980" w:hanging="483"/>
        <w:spacing w:after="0" w:line="251" w:lineRule="auto"/>
        <w:tabs>
          <w:tab w:leader="none" w:pos="980" w:val="left"/>
        </w:tabs>
        <w:numPr>
          <w:ilvl w:val="0"/>
          <w:numId w:val="28"/>
        </w:numPr>
        <w:rPr>
          <w:rFonts w:ascii="Symbol" w:cs="Symbol" w:eastAsia="Symbol" w:hAnsi="Symbol"/>
          <w:sz w:val="20"/>
          <w:szCs w:val="20"/>
          <w:color w:val="auto"/>
        </w:rPr>
      </w:pPr>
      <w:r>
        <w:rPr>
          <w:rFonts w:ascii="Calibri" w:cs="Calibri" w:eastAsia="Calibri" w:hAnsi="Calibri"/>
          <w:sz w:val="20"/>
          <w:szCs w:val="20"/>
          <w:color w:val="auto"/>
        </w:rPr>
        <w:t xml:space="preserve">inability to generate sufficient preclinical, toxicology or other </w:t>
      </w:r>
      <w:r>
        <w:rPr>
          <w:rFonts w:ascii="Calibri" w:cs="Calibri" w:eastAsia="Calibri" w:hAnsi="Calibri"/>
          <w:sz w:val="20"/>
          <w:szCs w:val="20"/>
          <w:i w:val="1"/>
          <w:iCs w:val="1"/>
          <w:color w:val="auto"/>
        </w:rPr>
        <w:t>in vivo</w:t>
      </w:r>
      <w:r>
        <w:rPr>
          <w:rFonts w:ascii="Calibri" w:cs="Calibri" w:eastAsia="Calibri" w:hAnsi="Calibri"/>
          <w:sz w:val="20"/>
          <w:szCs w:val="20"/>
          <w:color w:val="auto"/>
        </w:rPr>
        <w:t xml:space="preserve"> or </w:t>
      </w:r>
      <w:r>
        <w:rPr>
          <w:rFonts w:ascii="Calibri" w:cs="Calibri" w:eastAsia="Calibri" w:hAnsi="Calibri"/>
          <w:sz w:val="20"/>
          <w:szCs w:val="20"/>
          <w:i w:val="1"/>
          <w:iCs w:val="1"/>
          <w:color w:val="auto"/>
        </w:rPr>
        <w:t>in vitro</w:t>
      </w:r>
      <w:r>
        <w:rPr>
          <w:rFonts w:ascii="Calibri" w:cs="Calibri" w:eastAsia="Calibri" w:hAnsi="Calibri"/>
          <w:sz w:val="20"/>
          <w:szCs w:val="20"/>
          <w:color w:val="auto"/>
        </w:rPr>
        <w:t xml:space="preserve"> data to support the initiation of human clinical studies;</w:t>
      </w:r>
    </w:p>
    <w:p>
      <w:pPr>
        <w:spacing w:after="0" w:line="97" w:lineRule="exact"/>
        <w:rPr>
          <w:rFonts w:ascii="Symbol" w:cs="Symbol" w:eastAsia="Symbol" w:hAnsi="Symbol"/>
          <w:sz w:val="20"/>
          <w:szCs w:val="20"/>
          <w:color w:val="auto"/>
        </w:rPr>
      </w:pPr>
    </w:p>
    <w:p>
      <w:pPr>
        <w:ind w:left="980" w:hanging="483"/>
        <w:spacing w:after="0"/>
        <w:tabs>
          <w:tab w:leader="none" w:pos="980" w:val="left"/>
        </w:tabs>
        <w:numPr>
          <w:ilvl w:val="0"/>
          <w:numId w:val="28"/>
        </w:numPr>
        <w:rPr>
          <w:rFonts w:ascii="Symbol" w:cs="Symbol" w:eastAsia="Symbol" w:hAnsi="Symbol"/>
          <w:sz w:val="20"/>
          <w:szCs w:val="20"/>
          <w:color w:val="auto"/>
        </w:rPr>
      </w:pPr>
      <w:r>
        <w:rPr>
          <w:rFonts w:ascii="Calibri" w:cs="Calibri" w:eastAsia="Calibri" w:hAnsi="Calibri"/>
          <w:sz w:val="20"/>
          <w:szCs w:val="20"/>
          <w:color w:val="auto"/>
        </w:rPr>
        <w:t>delays in reaching a consensus with regulatory agencies on study design;</w:t>
      </w:r>
    </w:p>
    <w:p>
      <w:pPr>
        <w:spacing w:after="0" w:line="119"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28"/>
        </w:numPr>
        <w:rPr>
          <w:rFonts w:ascii="Symbol" w:cs="Symbol" w:eastAsia="Symbol" w:hAnsi="Symbol"/>
          <w:sz w:val="20"/>
          <w:szCs w:val="20"/>
          <w:color w:val="auto"/>
        </w:rPr>
      </w:pPr>
      <w:r>
        <w:rPr>
          <w:rFonts w:ascii="Calibri" w:cs="Calibri" w:eastAsia="Calibri" w:hAnsi="Calibri"/>
          <w:sz w:val="20"/>
          <w:szCs w:val="20"/>
          <w:color w:val="auto"/>
        </w:rPr>
        <w:t>delays in reaching agreement on acceptable terms with prospective CROs, and clinical study sites, the terms of which can be subject to extensive negotiation and may vary significantly among different CROs and clinical study sites;</w:t>
      </w:r>
    </w:p>
    <w:p>
      <w:pPr>
        <w:spacing w:after="0" w:line="97" w:lineRule="exact"/>
        <w:rPr>
          <w:rFonts w:ascii="Symbol" w:cs="Symbol" w:eastAsia="Symbol" w:hAnsi="Symbol"/>
          <w:sz w:val="20"/>
          <w:szCs w:val="20"/>
          <w:color w:val="auto"/>
        </w:rPr>
      </w:pPr>
    </w:p>
    <w:p>
      <w:pPr>
        <w:ind w:left="980" w:hanging="483"/>
        <w:spacing w:after="0"/>
        <w:tabs>
          <w:tab w:leader="none" w:pos="980" w:val="left"/>
        </w:tabs>
        <w:numPr>
          <w:ilvl w:val="0"/>
          <w:numId w:val="28"/>
        </w:numPr>
        <w:rPr>
          <w:rFonts w:ascii="Symbol" w:cs="Symbol" w:eastAsia="Symbol" w:hAnsi="Symbol"/>
          <w:sz w:val="20"/>
          <w:szCs w:val="20"/>
          <w:color w:val="auto"/>
        </w:rPr>
      </w:pPr>
      <w:r>
        <w:rPr>
          <w:rFonts w:ascii="Calibri" w:cs="Calibri" w:eastAsia="Calibri" w:hAnsi="Calibri"/>
          <w:sz w:val="20"/>
          <w:szCs w:val="20"/>
          <w:color w:val="auto"/>
        </w:rPr>
        <w:t>delays in obtaining required institutional review board approval at each clinical study site;</w:t>
      </w:r>
    </w:p>
    <w:p>
      <w:pPr>
        <w:spacing w:after="0" w:line="119" w:lineRule="exact"/>
        <w:rPr>
          <w:rFonts w:ascii="Symbol" w:cs="Symbol" w:eastAsia="Symbol" w:hAnsi="Symbol"/>
          <w:sz w:val="20"/>
          <w:szCs w:val="20"/>
          <w:color w:val="auto"/>
        </w:rPr>
      </w:pPr>
    </w:p>
    <w:p>
      <w:pPr>
        <w:jc w:val="both"/>
        <w:ind w:left="980" w:hanging="483"/>
        <w:spacing w:after="0" w:line="245" w:lineRule="auto"/>
        <w:tabs>
          <w:tab w:leader="none" w:pos="980" w:val="left"/>
        </w:tabs>
        <w:numPr>
          <w:ilvl w:val="0"/>
          <w:numId w:val="28"/>
        </w:numPr>
        <w:rPr>
          <w:rFonts w:ascii="Symbol" w:cs="Symbol" w:eastAsia="Symbol" w:hAnsi="Symbol"/>
          <w:sz w:val="20"/>
          <w:szCs w:val="20"/>
          <w:color w:val="auto"/>
        </w:rPr>
      </w:pPr>
      <w:r>
        <w:rPr>
          <w:rFonts w:ascii="Calibri" w:cs="Calibri" w:eastAsia="Calibri" w:hAnsi="Calibri"/>
          <w:sz w:val="20"/>
          <w:szCs w:val="20"/>
          <w:color w:val="auto"/>
        </w:rPr>
        <w:t>imposition of a clinical hold by regulatory agencies, after review of an investigational new drug application or amendment or equivalent application or amendment, or an inspection of our clinical study operations or study sites or as a result of adverse events reported during a clinical trial;</w:t>
      </w:r>
    </w:p>
    <w:p>
      <w:pPr>
        <w:spacing w:after="0" w:line="105" w:lineRule="exact"/>
        <w:rPr>
          <w:rFonts w:ascii="Symbol" w:cs="Symbol" w:eastAsia="Symbol" w:hAnsi="Symbol"/>
          <w:sz w:val="20"/>
          <w:szCs w:val="20"/>
          <w:color w:val="auto"/>
        </w:rPr>
      </w:pPr>
    </w:p>
    <w:p>
      <w:pPr>
        <w:ind w:left="980" w:hanging="483"/>
        <w:spacing w:after="0"/>
        <w:tabs>
          <w:tab w:leader="none" w:pos="980" w:val="left"/>
        </w:tabs>
        <w:numPr>
          <w:ilvl w:val="0"/>
          <w:numId w:val="28"/>
        </w:numPr>
        <w:rPr>
          <w:rFonts w:ascii="Symbol" w:cs="Symbol" w:eastAsia="Symbol" w:hAnsi="Symbol"/>
          <w:sz w:val="20"/>
          <w:szCs w:val="20"/>
          <w:color w:val="auto"/>
        </w:rPr>
      </w:pPr>
      <w:r>
        <w:rPr>
          <w:rFonts w:ascii="Calibri" w:cs="Calibri" w:eastAsia="Calibri" w:hAnsi="Calibri"/>
          <w:sz w:val="20"/>
          <w:szCs w:val="20"/>
          <w:color w:val="auto"/>
        </w:rPr>
        <w:t>delays in recruiting suitable patients to participate in our clinical studies sponsored by us or our partners;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28"/>
        </w:numPr>
        <w:rPr>
          <w:rFonts w:ascii="Symbol" w:cs="Symbol" w:eastAsia="Symbol" w:hAnsi="Symbol"/>
          <w:sz w:val="20"/>
          <w:szCs w:val="20"/>
          <w:color w:val="auto"/>
        </w:rPr>
      </w:pPr>
      <w:r>
        <w:rPr>
          <w:rFonts w:ascii="Calibri" w:cs="Calibri" w:eastAsia="Calibri" w:hAnsi="Calibri"/>
          <w:sz w:val="20"/>
          <w:szCs w:val="20"/>
          <w:color w:val="auto"/>
        </w:rPr>
        <w:t>difficulty collaborating with patient groups and investigators;</w:t>
      </w:r>
    </w:p>
    <w:p>
      <w:pPr>
        <w:spacing w:after="0" w:line="120" w:lineRule="exact"/>
        <w:rPr>
          <w:rFonts w:ascii="Symbol" w:cs="Symbol" w:eastAsia="Symbol" w:hAnsi="Symbol"/>
          <w:sz w:val="20"/>
          <w:szCs w:val="20"/>
          <w:color w:val="auto"/>
        </w:rPr>
      </w:pPr>
    </w:p>
    <w:p>
      <w:pPr>
        <w:ind w:left="980" w:hanging="483"/>
        <w:spacing w:after="0"/>
        <w:tabs>
          <w:tab w:leader="none" w:pos="980" w:val="left"/>
        </w:tabs>
        <w:numPr>
          <w:ilvl w:val="0"/>
          <w:numId w:val="28"/>
        </w:numPr>
        <w:rPr>
          <w:rFonts w:ascii="Symbol" w:cs="Symbol" w:eastAsia="Symbol" w:hAnsi="Symbol"/>
          <w:sz w:val="20"/>
          <w:szCs w:val="20"/>
          <w:color w:val="auto"/>
        </w:rPr>
      </w:pPr>
      <w:r>
        <w:rPr>
          <w:rFonts w:ascii="Calibri" w:cs="Calibri" w:eastAsia="Calibri" w:hAnsi="Calibri"/>
          <w:sz w:val="20"/>
          <w:szCs w:val="20"/>
          <w:color w:val="auto"/>
        </w:rPr>
        <w:t>failure by our CROs, other third parties or us to adhere to clinical study requirements;</w:t>
      </w:r>
    </w:p>
    <w:p>
      <w:pPr>
        <w:sectPr>
          <w:pgSz w:w="12240" w:h="15840" w:orient="portrait"/>
          <w:cols w:equalWidth="0" w:num="1">
            <w:col w:w="11160"/>
          </w:cols>
          <w:pgMar w:left="540" w:top="543" w:right="540" w:bottom="9"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41</w:t>
      </w:r>
    </w:p>
    <w:p>
      <w:pPr>
        <w:sectPr>
          <w:pgSz w:w="12240" w:h="15840" w:orient="portrait"/>
          <w:cols w:equalWidth="0" w:num="1">
            <w:col w:w="11160"/>
          </w:cols>
          <w:pgMar w:left="540" w:top="543" w:right="540" w:bottom="9" w:gutter="0" w:footer="0" w:header="0"/>
          <w:type w:val="continuous"/>
        </w:sectPr>
      </w:pPr>
    </w:p>
    <w:bookmarkStart w:id="43" w:name="page44"/>
    <w:bookmarkEnd w:id="43"/>
    <w:p>
      <w:pPr>
        <w:ind w:left="980" w:hanging="483"/>
        <w:spacing w:after="0"/>
        <w:tabs>
          <w:tab w:leader="none" w:pos="980" w:val="left"/>
        </w:tabs>
        <w:numPr>
          <w:ilvl w:val="0"/>
          <w:numId w:val="29"/>
        </w:numPr>
        <w:rPr>
          <w:rFonts w:ascii="Symbol" w:cs="Symbol" w:eastAsia="Symbol" w:hAnsi="Symbol"/>
          <w:sz w:val="20"/>
          <w:szCs w:val="20"/>
          <w:color w:val="auto"/>
        </w:rPr>
      </w:pPr>
      <w:r>
        <w:rPr>
          <w:rFonts w:ascii="Calibri" w:cs="Calibri" w:eastAsia="Calibri" w:hAnsi="Calibri"/>
          <w:sz w:val="20"/>
          <w:szCs w:val="20"/>
          <w:color w:val="auto"/>
        </w:rPr>
        <w:t>failure to perform in accordance with the FDA’s GCP requirements or applicable regulatory guidelines in other countries;</w:t>
      </w:r>
    </w:p>
    <w:p>
      <w:pPr>
        <w:spacing w:after="0" w:line="118"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29"/>
        </w:numPr>
        <w:rPr>
          <w:rFonts w:ascii="Symbol" w:cs="Symbol" w:eastAsia="Symbol" w:hAnsi="Symbol"/>
          <w:sz w:val="20"/>
          <w:szCs w:val="20"/>
          <w:color w:val="auto"/>
        </w:rPr>
      </w:pPr>
      <w:r>
        <w:rPr>
          <w:rFonts w:ascii="Calibri" w:cs="Calibri" w:eastAsia="Calibri" w:hAnsi="Calibri"/>
          <w:sz w:val="20"/>
          <w:szCs w:val="20"/>
          <w:color w:val="auto"/>
        </w:rPr>
        <w:t>delays in patients completing participation in a study or return for post-treatment follow-up, or patients dropping out of a study;</w:t>
      </w:r>
    </w:p>
    <w:p>
      <w:pPr>
        <w:spacing w:after="0" w:line="98" w:lineRule="exact"/>
        <w:rPr>
          <w:rFonts w:ascii="Symbol" w:cs="Symbol" w:eastAsia="Symbol" w:hAnsi="Symbol"/>
          <w:sz w:val="20"/>
          <w:szCs w:val="20"/>
          <w:color w:val="auto"/>
        </w:rPr>
      </w:pPr>
    </w:p>
    <w:p>
      <w:pPr>
        <w:ind w:left="980" w:hanging="483"/>
        <w:spacing w:after="0"/>
        <w:tabs>
          <w:tab w:leader="none" w:pos="980" w:val="left"/>
        </w:tabs>
        <w:numPr>
          <w:ilvl w:val="0"/>
          <w:numId w:val="29"/>
        </w:numPr>
        <w:rPr>
          <w:rFonts w:ascii="Symbol" w:cs="Symbol" w:eastAsia="Symbol" w:hAnsi="Symbol"/>
          <w:sz w:val="20"/>
          <w:szCs w:val="20"/>
          <w:color w:val="auto"/>
        </w:rPr>
      </w:pPr>
      <w:r>
        <w:rPr>
          <w:rFonts w:ascii="Calibri" w:cs="Calibri" w:eastAsia="Calibri" w:hAnsi="Calibri"/>
          <w:sz w:val="20"/>
          <w:szCs w:val="20"/>
          <w:color w:val="auto"/>
        </w:rPr>
        <w:t>occurrence of adverse events associated with the product candidate that are viewed to outweigh its potential benefits;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29"/>
        </w:numPr>
        <w:rPr>
          <w:rFonts w:ascii="Symbol" w:cs="Symbol" w:eastAsia="Symbol" w:hAnsi="Symbol"/>
          <w:sz w:val="20"/>
          <w:szCs w:val="20"/>
          <w:color w:val="auto"/>
        </w:rPr>
      </w:pPr>
      <w:r>
        <w:rPr>
          <w:rFonts w:ascii="Calibri" w:cs="Calibri" w:eastAsia="Calibri" w:hAnsi="Calibri"/>
          <w:sz w:val="20"/>
          <w:szCs w:val="20"/>
          <w:color w:val="auto"/>
        </w:rPr>
        <w:t>changes in regulatory requirements and guidance that require amending or submitting new clinical protocols;</w:t>
      </w:r>
    </w:p>
    <w:p>
      <w:pPr>
        <w:spacing w:after="0" w:line="120" w:lineRule="exact"/>
        <w:rPr>
          <w:rFonts w:ascii="Symbol" w:cs="Symbol" w:eastAsia="Symbol" w:hAnsi="Symbol"/>
          <w:sz w:val="20"/>
          <w:szCs w:val="20"/>
          <w:color w:val="auto"/>
        </w:rPr>
      </w:pPr>
    </w:p>
    <w:p>
      <w:pPr>
        <w:ind w:left="980" w:hanging="483"/>
        <w:spacing w:after="0"/>
        <w:tabs>
          <w:tab w:leader="none" w:pos="980" w:val="left"/>
        </w:tabs>
        <w:numPr>
          <w:ilvl w:val="0"/>
          <w:numId w:val="29"/>
        </w:numPr>
        <w:rPr>
          <w:rFonts w:ascii="Symbol" w:cs="Symbol" w:eastAsia="Symbol" w:hAnsi="Symbol"/>
          <w:sz w:val="20"/>
          <w:szCs w:val="20"/>
          <w:color w:val="auto"/>
        </w:rPr>
      </w:pPr>
      <w:r>
        <w:rPr>
          <w:rFonts w:ascii="Calibri" w:cs="Calibri" w:eastAsia="Calibri" w:hAnsi="Calibri"/>
          <w:sz w:val="20"/>
          <w:szCs w:val="20"/>
          <w:color w:val="auto"/>
        </w:rPr>
        <w:t>the cost of clinical studies of our product candidates being greater than we anticipate;</w:t>
      </w:r>
    </w:p>
    <w:p>
      <w:pPr>
        <w:spacing w:after="0" w:line="118"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29"/>
        </w:numPr>
        <w:rPr>
          <w:rFonts w:ascii="Symbol" w:cs="Symbol" w:eastAsia="Symbol" w:hAnsi="Symbol"/>
          <w:sz w:val="20"/>
          <w:szCs w:val="20"/>
          <w:color w:val="auto"/>
        </w:rPr>
      </w:pPr>
      <w:r>
        <w:rPr>
          <w:rFonts w:ascii="Calibri" w:cs="Calibri" w:eastAsia="Calibri" w:hAnsi="Calibri"/>
          <w:sz w:val="20"/>
          <w:szCs w:val="20"/>
          <w:color w:val="auto"/>
        </w:rPr>
        <w:t>clinical studies of our product candidates producing negative or inconclusive results, which may result in us deciding or regulators requiring us to conduct additional clinical studies or abandon product development programs; and</w:t>
      </w:r>
    </w:p>
    <w:p>
      <w:pPr>
        <w:spacing w:after="0" w:line="97"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29"/>
        </w:numPr>
        <w:rPr>
          <w:rFonts w:ascii="Symbol" w:cs="Symbol" w:eastAsia="Symbol" w:hAnsi="Symbol"/>
          <w:sz w:val="20"/>
          <w:szCs w:val="20"/>
          <w:color w:val="auto"/>
        </w:rPr>
      </w:pPr>
      <w:r>
        <w:rPr>
          <w:rFonts w:ascii="Calibri" w:cs="Calibri" w:eastAsia="Calibri" w:hAnsi="Calibri"/>
          <w:sz w:val="20"/>
          <w:szCs w:val="20"/>
          <w:color w:val="auto"/>
        </w:rPr>
        <w:t>delays in manufacturing, testing, releasing, validating or importing/exporting and/or distributing sufficient stable quantities of our product candidates for use in clinical studies or the inability to do any of the foregoing.</w:t>
      </w:r>
    </w:p>
    <w:p>
      <w:pPr>
        <w:spacing w:after="0" w:line="205"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Any inability to successfully complete nonclinical and clinical development could result in additional costs to us or impair our ability to continue to generate revenue. In addition, if we make manufacturing or formulation changes to our product candidates, we may need to conduct additional studies to bridge our modified product candidates to earlier versions.</w:t>
      </w:r>
    </w:p>
    <w:p>
      <w:pPr>
        <w:spacing w:after="0" w:line="205" w:lineRule="exact"/>
        <w:rPr>
          <w:sz w:val="20"/>
          <w:szCs w:val="20"/>
          <w:color w:val="auto"/>
        </w:rPr>
      </w:pPr>
    </w:p>
    <w:p>
      <w:pPr>
        <w:jc w:val="both"/>
        <w:spacing w:after="0" w:line="262" w:lineRule="auto"/>
        <w:rPr>
          <w:sz w:val="20"/>
          <w:szCs w:val="20"/>
          <w:color w:val="auto"/>
        </w:rPr>
      </w:pPr>
      <w:r>
        <w:rPr>
          <w:rFonts w:ascii="Calibri" w:cs="Calibri" w:eastAsia="Calibri" w:hAnsi="Calibri"/>
          <w:sz w:val="20"/>
          <w:szCs w:val="20"/>
          <w:b w:val="1"/>
          <w:bCs w:val="1"/>
          <w:i w:val="1"/>
          <w:iCs w:val="1"/>
          <w:color w:val="auto"/>
        </w:rPr>
        <w:t>If we encounter difficulties enrolling patients in our clinical trials, our clinical development activities could be delayed or otherwise adversely affected.</w:t>
      </w:r>
    </w:p>
    <w:p>
      <w:pPr>
        <w:spacing w:after="0" w:line="197" w:lineRule="exact"/>
        <w:rPr>
          <w:sz w:val="20"/>
          <w:szCs w:val="20"/>
          <w:color w:val="auto"/>
        </w:rPr>
      </w:pPr>
    </w:p>
    <w:p>
      <w:pPr>
        <w:jc w:val="both"/>
        <w:ind w:firstLine="490"/>
        <w:spacing w:after="0" w:line="259" w:lineRule="auto"/>
        <w:rPr>
          <w:sz w:val="20"/>
          <w:szCs w:val="20"/>
          <w:color w:val="auto"/>
        </w:rPr>
      </w:pPr>
      <w:r>
        <w:rPr>
          <w:rFonts w:ascii="Calibri" w:cs="Calibri" w:eastAsia="Calibri" w:hAnsi="Calibri"/>
          <w:sz w:val="19"/>
          <w:szCs w:val="19"/>
          <w:color w:val="auto"/>
        </w:rPr>
        <w:t>Patient enrollment is a significant factor in the timing of clinical trials, and the timing of our clinical trials will depend,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regulatory authorities. Some of the conditions for which we may plan to evaluate our product candidates are rare diseases with limited patient pools from which to draw for clinical trials. The eligibility criteria of our clinical trials, once established, may further limit the pool of available trial participants.</w:t>
      </w:r>
    </w:p>
    <w:p>
      <w:pPr>
        <w:spacing w:after="0" w:line="203" w:lineRule="exact"/>
        <w:rPr>
          <w:sz w:val="20"/>
          <w:szCs w:val="20"/>
          <w:color w:val="auto"/>
        </w:rPr>
      </w:pPr>
    </w:p>
    <w:p>
      <w:pPr>
        <w:ind w:left="500"/>
        <w:spacing w:after="0"/>
        <w:rPr>
          <w:sz w:val="20"/>
          <w:szCs w:val="20"/>
          <w:color w:val="auto"/>
        </w:rPr>
      </w:pPr>
      <w:r>
        <w:rPr>
          <w:rFonts w:ascii="Calibri" w:cs="Calibri" w:eastAsia="Calibri" w:hAnsi="Calibri"/>
          <w:sz w:val="20"/>
          <w:szCs w:val="20"/>
          <w:color w:val="auto"/>
        </w:rPr>
        <w:t>Patient enrollment in clinical trials may be affected by other factors, including:</w:t>
      </w:r>
    </w:p>
    <w:p>
      <w:pPr>
        <w:spacing w:after="0" w:line="121" w:lineRule="exact"/>
        <w:rPr>
          <w:sz w:val="20"/>
          <w:szCs w:val="20"/>
          <w:color w:val="auto"/>
        </w:rPr>
      </w:pPr>
    </w:p>
    <w:p>
      <w:pPr>
        <w:ind w:left="980" w:hanging="483"/>
        <w:spacing w:after="0"/>
        <w:tabs>
          <w:tab w:leader="none" w:pos="98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size and nature of the targeted patient population;</w:t>
      </w:r>
    </w:p>
    <w:p>
      <w:pPr>
        <w:spacing w:after="0" w:line="119" w:lineRule="exact"/>
        <w:rPr>
          <w:rFonts w:ascii="Calibri" w:cs="Calibri" w:eastAsia="Calibri" w:hAnsi="Calibri"/>
          <w:sz w:val="20"/>
          <w:szCs w:val="20"/>
          <w:color w:val="auto"/>
        </w:rPr>
      </w:pPr>
    </w:p>
    <w:p>
      <w:pPr>
        <w:ind w:left="980" w:hanging="483"/>
        <w:spacing w:after="0"/>
        <w:tabs>
          <w:tab w:leader="none" w:pos="98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severity of the disease or condition under investigation;</w:t>
      </w:r>
    </w:p>
    <w:p>
      <w:pPr>
        <w:spacing w:after="0" w:line="120" w:lineRule="exact"/>
        <w:rPr>
          <w:rFonts w:ascii="Calibri" w:cs="Calibri" w:eastAsia="Calibri" w:hAnsi="Calibri"/>
          <w:sz w:val="20"/>
          <w:szCs w:val="20"/>
          <w:color w:val="auto"/>
        </w:rPr>
      </w:pPr>
    </w:p>
    <w:p>
      <w:pPr>
        <w:ind w:left="980" w:hanging="483"/>
        <w:spacing w:after="0"/>
        <w:tabs>
          <w:tab w:leader="none" w:pos="98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availability and efficacy of approved therapies for the disease or condition under investigation;</w:t>
      </w:r>
    </w:p>
    <w:p>
      <w:pPr>
        <w:spacing w:after="0" w:line="119" w:lineRule="exact"/>
        <w:rPr>
          <w:rFonts w:ascii="Calibri" w:cs="Calibri" w:eastAsia="Calibri" w:hAnsi="Calibri"/>
          <w:sz w:val="20"/>
          <w:szCs w:val="20"/>
          <w:color w:val="auto"/>
        </w:rPr>
      </w:pPr>
    </w:p>
    <w:p>
      <w:pPr>
        <w:ind w:left="980" w:hanging="483"/>
        <w:spacing w:after="0"/>
        <w:tabs>
          <w:tab w:leader="none" w:pos="98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patient eligibility criteria for the trial in question as defined in the protocol;</w:t>
      </w:r>
    </w:p>
    <w:p>
      <w:pPr>
        <w:spacing w:after="0" w:line="120" w:lineRule="exact"/>
        <w:rPr>
          <w:rFonts w:ascii="Calibri" w:cs="Calibri" w:eastAsia="Calibri" w:hAnsi="Calibri"/>
          <w:sz w:val="20"/>
          <w:szCs w:val="20"/>
          <w:color w:val="auto"/>
        </w:rPr>
      </w:pPr>
    </w:p>
    <w:p>
      <w:pPr>
        <w:ind w:left="980" w:hanging="483"/>
        <w:spacing w:after="0"/>
        <w:tabs>
          <w:tab w:leader="none" w:pos="98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perceived risks and benefits of the product candidate under study;</w:t>
      </w:r>
    </w:p>
    <w:p>
      <w:pPr>
        <w:spacing w:after="0" w:line="118" w:lineRule="exact"/>
        <w:rPr>
          <w:rFonts w:ascii="Calibri" w:cs="Calibri" w:eastAsia="Calibri" w:hAnsi="Calibri"/>
          <w:sz w:val="20"/>
          <w:szCs w:val="20"/>
          <w:color w:val="auto"/>
        </w:rPr>
      </w:pPr>
    </w:p>
    <w:p>
      <w:pPr>
        <w:jc w:val="both"/>
        <w:ind w:left="980" w:hanging="483"/>
        <w:spacing w:after="0" w:line="251" w:lineRule="auto"/>
        <w:tabs>
          <w:tab w:leader="none" w:pos="98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clinicians’ and patients’ perceptions as to the potential advantages of the product candidate being studied in relation to other available therapies, including any products that may be approved for, or any product candidates under investigation for, the indications we are investigating;</w:t>
      </w:r>
    </w:p>
    <w:p>
      <w:pPr>
        <w:spacing w:after="0" w:line="87" w:lineRule="exact"/>
        <w:rPr>
          <w:rFonts w:ascii="Calibri" w:cs="Calibri" w:eastAsia="Calibri" w:hAnsi="Calibri"/>
          <w:sz w:val="20"/>
          <w:szCs w:val="20"/>
          <w:color w:val="auto"/>
        </w:rPr>
      </w:pPr>
    </w:p>
    <w:p>
      <w:pPr>
        <w:ind w:left="980" w:hanging="483"/>
        <w:spacing w:after="0"/>
        <w:tabs>
          <w:tab w:leader="none" w:pos="98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efforts to facilitate timely enrollment in clinical trials;</w:t>
      </w:r>
    </w:p>
    <w:p>
      <w:pPr>
        <w:spacing w:after="0" w:line="120" w:lineRule="exact"/>
        <w:rPr>
          <w:rFonts w:ascii="Calibri" w:cs="Calibri" w:eastAsia="Calibri" w:hAnsi="Calibri"/>
          <w:sz w:val="20"/>
          <w:szCs w:val="20"/>
          <w:color w:val="auto"/>
        </w:rPr>
      </w:pPr>
    </w:p>
    <w:p>
      <w:pPr>
        <w:ind w:left="980" w:hanging="483"/>
        <w:spacing w:after="0"/>
        <w:tabs>
          <w:tab w:leader="none" w:pos="98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patient referral practices of physicians;</w:t>
      </w:r>
    </w:p>
    <w:p>
      <w:pPr>
        <w:spacing w:after="0" w:line="119" w:lineRule="exact"/>
        <w:rPr>
          <w:rFonts w:ascii="Calibri" w:cs="Calibri" w:eastAsia="Calibri" w:hAnsi="Calibri"/>
          <w:sz w:val="20"/>
          <w:szCs w:val="20"/>
          <w:color w:val="auto"/>
        </w:rPr>
      </w:pPr>
    </w:p>
    <w:p>
      <w:pPr>
        <w:ind w:left="980" w:hanging="483"/>
        <w:spacing w:after="0"/>
        <w:tabs>
          <w:tab w:leader="none" w:pos="98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the ability to monitor patients adequately during and after treatment;</w:t>
      </w:r>
    </w:p>
    <w:p>
      <w:pPr>
        <w:spacing w:after="0" w:line="120" w:lineRule="exact"/>
        <w:rPr>
          <w:rFonts w:ascii="Calibri" w:cs="Calibri" w:eastAsia="Calibri" w:hAnsi="Calibri"/>
          <w:sz w:val="20"/>
          <w:szCs w:val="20"/>
          <w:color w:val="auto"/>
        </w:rPr>
      </w:pPr>
    </w:p>
    <w:p>
      <w:pPr>
        <w:ind w:left="980" w:hanging="483"/>
        <w:spacing w:after="0"/>
        <w:tabs>
          <w:tab w:leader="none" w:pos="98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proximity and availability of clinical trial sites for prospective patients;</w:t>
      </w:r>
    </w:p>
    <w:p>
      <w:pPr>
        <w:spacing w:after="0" w:line="119" w:lineRule="exact"/>
        <w:rPr>
          <w:rFonts w:ascii="Calibri" w:cs="Calibri" w:eastAsia="Calibri" w:hAnsi="Calibri"/>
          <w:sz w:val="20"/>
          <w:szCs w:val="20"/>
          <w:color w:val="auto"/>
        </w:rPr>
      </w:pPr>
    </w:p>
    <w:p>
      <w:pPr>
        <w:ind w:left="980" w:hanging="483"/>
        <w:spacing w:after="0"/>
        <w:tabs>
          <w:tab w:leader="none" w:pos="98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continued enrollment of prospective patients by clinical trial sites; and</w:t>
      </w:r>
    </w:p>
    <w:p>
      <w:pPr>
        <w:spacing w:after="0" w:line="120" w:lineRule="exact"/>
        <w:rPr>
          <w:rFonts w:ascii="Calibri" w:cs="Calibri" w:eastAsia="Calibri" w:hAnsi="Calibri"/>
          <w:sz w:val="20"/>
          <w:szCs w:val="20"/>
          <w:color w:val="auto"/>
        </w:rPr>
      </w:pPr>
    </w:p>
    <w:p>
      <w:pPr>
        <w:ind w:left="980" w:hanging="483"/>
        <w:spacing w:after="0"/>
        <w:tabs>
          <w:tab w:leader="none" w:pos="98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the risk that patients enrolled in clinical trials will drop out of such trials before completion.</w:t>
      </w:r>
    </w:p>
    <w:p>
      <w:pPr>
        <w:spacing w:after="0" w:line="238"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Additionally, other pharmaceutical companies targeting these same diseases are recruiting clinical trial patients from these patient populations, which may make it more difficult to fully enroll any clinical trials.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regulatory approval for the sale of our product candidates.</w:t>
      </w:r>
    </w:p>
    <w:p>
      <w:pPr>
        <w:sectPr>
          <w:pgSz w:w="12240" w:h="15840" w:orient="portrait"/>
          <w:cols w:equalWidth="0" w:num="1">
            <w:col w:w="11160"/>
          </w:cols>
          <w:pgMar w:left="540" w:top="544" w:right="540" w:bottom="9"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42</w:t>
      </w:r>
    </w:p>
    <w:p>
      <w:pPr>
        <w:sectPr>
          <w:pgSz w:w="12240" w:h="15840" w:orient="portrait"/>
          <w:cols w:equalWidth="0" w:num="1">
            <w:col w:w="11160"/>
          </w:cols>
          <w:pgMar w:left="540" w:top="544" w:right="540" w:bottom="9" w:gutter="0" w:footer="0" w:header="0"/>
          <w:type w:val="continuous"/>
        </w:sectPr>
      </w:pPr>
    </w:p>
    <w:bookmarkStart w:id="44" w:name="page45"/>
    <w:bookmarkEnd w:id="44"/>
    <w:p>
      <w:pPr>
        <w:jc w:val="both"/>
        <w:ind w:firstLine="490"/>
        <w:spacing w:after="0" w:line="262" w:lineRule="auto"/>
        <w:rPr>
          <w:sz w:val="20"/>
          <w:szCs w:val="20"/>
          <w:color w:val="auto"/>
        </w:rPr>
      </w:pPr>
      <w:r>
        <w:rPr>
          <w:rFonts w:ascii="Calibri" w:cs="Calibri" w:eastAsia="Calibri" w:hAnsi="Calibri"/>
          <w:sz w:val="20"/>
          <w:szCs w:val="20"/>
          <w:b w:val="1"/>
          <w:bCs w:val="1"/>
          <w:i w:val="1"/>
          <w:iCs w:val="1"/>
          <w:color w:val="auto"/>
        </w:rPr>
        <w:t>Failure to obtain regulatory approval in any targeted regulatory jurisdiction would prevent us from marketing our product to a larger patient population and reduce our commercial opportunities.</w:t>
      </w:r>
    </w:p>
    <w:p>
      <w:pPr>
        <w:spacing w:after="0" w:line="197" w:lineRule="exact"/>
        <w:rPr>
          <w:sz w:val="20"/>
          <w:szCs w:val="20"/>
          <w:color w:val="auto"/>
        </w:rPr>
      </w:pPr>
    </w:p>
    <w:p>
      <w:pPr>
        <w:jc w:val="both"/>
        <w:ind w:right="20" w:firstLine="490"/>
        <w:spacing w:after="0" w:line="262" w:lineRule="auto"/>
        <w:rPr>
          <w:sz w:val="20"/>
          <w:szCs w:val="20"/>
          <w:color w:val="auto"/>
        </w:rPr>
      </w:pPr>
      <w:r>
        <w:rPr>
          <w:rFonts w:ascii="Calibri" w:cs="Calibri" w:eastAsia="Calibri" w:hAnsi="Calibri"/>
          <w:sz w:val="20"/>
          <w:szCs w:val="20"/>
          <w:color w:val="auto"/>
        </w:rPr>
        <w:t>We are marketing LOQTORZI in the United States and may seek to partner commercially our pipeline products outside the United States.</w:t>
      </w:r>
    </w:p>
    <w:p>
      <w:pPr>
        <w:spacing w:after="0" w:line="195"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In order to market our products in the E.U., the United States and other jurisdictions, we and our collaboration partners must obtain separate regulatory approvals and comply with numerous and varying regulatory requirements. The EMA is responsible for the centralized procedure for the regulation and approval of human medicines. This procedure results in a single marketing authorization that is valid in all E.U. countries, as well as in Iceland, Liechtenstein and Norway. The time required to obtain approval abroad may differ from that required to obtain FDA approval. The foreign regulatory approval process may include all of the risks associated with obtaining FDA approval and we may not obtain foreign regulatory approvals on a timely basis, if at all. Approval by the FDA does not ensure approval by regulatory authorities in other countries, and approval by one foreign regulatory authority does not ensure approval by regulatory authorities in other foreign countries or by the FDA. We or our collaboration partners may not be able to file for regulatory approvals and may not receive necessary approvals to commercialize our product in any market. Failure to obtain these approvals would materially and adversely affect our business, financial condition and results of operations.</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We may not be successful in our efforts to identify, develop or commercialize additional product candidates.</w:t>
      </w:r>
    </w:p>
    <w:p>
      <w:pPr>
        <w:spacing w:after="0" w:line="241" w:lineRule="exact"/>
        <w:rPr>
          <w:sz w:val="20"/>
          <w:szCs w:val="20"/>
          <w:color w:val="auto"/>
        </w:rPr>
      </w:pPr>
    </w:p>
    <w:p>
      <w:pPr>
        <w:jc w:val="both"/>
        <w:ind w:firstLine="490"/>
        <w:spacing w:after="0" w:line="244" w:lineRule="auto"/>
        <w:rPr>
          <w:sz w:val="20"/>
          <w:szCs w:val="20"/>
          <w:color w:val="auto"/>
        </w:rPr>
      </w:pPr>
      <w:r>
        <w:rPr>
          <w:rFonts w:ascii="Calibri" w:cs="Calibri" w:eastAsia="Calibri" w:hAnsi="Calibri"/>
          <w:sz w:val="20"/>
          <w:szCs w:val="20"/>
          <w:color w:val="auto"/>
        </w:rPr>
        <w:t>Although a substantial amount of our effort will focus on the continued clinical testing, potential approval and commercialization of our existing product candidates, the success of our business also depends upon our ability to identify, develop and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development efforts may fail to yield additional product candidates suitable for clinical development and commercialization for a number of reasons, including but not limited to the following:</w:t>
      </w:r>
    </w:p>
    <w:p>
      <w:pPr>
        <w:spacing w:after="0" w:line="107" w:lineRule="exact"/>
        <w:rPr>
          <w:sz w:val="20"/>
          <w:szCs w:val="20"/>
          <w:color w:val="auto"/>
        </w:rPr>
      </w:pPr>
    </w:p>
    <w:p>
      <w:pPr>
        <w:ind w:left="980" w:hanging="483"/>
        <w:spacing w:after="0"/>
        <w:tabs>
          <w:tab w:leader="none" w:pos="980" w:val="left"/>
        </w:tabs>
        <w:numPr>
          <w:ilvl w:val="0"/>
          <w:numId w:val="31"/>
        </w:numPr>
        <w:rPr>
          <w:rFonts w:ascii="Symbol" w:cs="Symbol" w:eastAsia="Symbol" w:hAnsi="Symbol"/>
          <w:sz w:val="20"/>
          <w:szCs w:val="20"/>
          <w:color w:val="auto"/>
        </w:rPr>
      </w:pPr>
      <w:r>
        <w:rPr>
          <w:rFonts w:ascii="Calibri" w:cs="Calibri" w:eastAsia="Calibri" w:hAnsi="Calibri"/>
          <w:sz w:val="20"/>
          <w:szCs w:val="20"/>
          <w:color w:val="auto"/>
        </w:rPr>
        <w:t>we may not be successful in identifying potential product candidates that pass our strict screening criteria;</w:t>
      </w:r>
    </w:p>
    <w:p>
      <w:pPr>
        <w:spacing w:after="0" w:line="119" w:lineRule="exact"/>
        <w:rPr>
          <w:rFonts w:ascii="Symbol" w:cs="Symbol" w:eastAsia="Symbol" w:hAnsi="Symbol"/>
          <w:sz w:val="20"/>
          <w:szCs w:val="20"/>
          <w:color w:val="auto"/>
        </w:rPr>
      </w:pPr>
    </w:p>
    <w:p>
      <w:pPr>
        <w:ind w:left="980" w:hanging="483"/>
        <w:spacing w:after="0" w:line="252" w:lineRule="auto"/>
        <w:tabs>
          <w:tab w:leader="none" w:pos="980" w:val="left"/>
        </w:tabs>
        <w:numPr>
          <w:ilvl w:val="0"/>
          <w:numId w:val="31"/>
        </w:numPr>
        <w:rPr>
          <w:rFonts w:ascii="Symbol" w:cs="Symbol" w:eastAsia="Symbol" w:hAnsi="Symbol"/>
          <w:sz w:val="20"/>
          <w:szCs w:val="20"/>
          <w:color w:val="auto"/>
        </w:rPr>
      </w:pPr>
      <w:r>
        <w:rPr>
          <w:rFonts w:ascii="Calibri" w:cs="Calibri" w:eastAsia="Calibri" w:hAnsi="Calibri"/>
          <w:sz w:val="20"/>
          <w:szCs w:val="20"/>
          <w:color w:val="auto"/>
        </w:rPr>
        <w:t>we may not be able to overcome technological hurdles to development or a product candidate may not be capable of producing commercial quantities at an acceptable cost or at all;</w:t>
      </w:r>
    </w:p>
    <w:p>
      <w:pPr>
        <w:spacing w:after="0" w:line="95" w:lineRule="exact"/>
        <w:rPr>
          <w:rFonts w:ascii="Symbol" w:cs="Symbol" w:eastAsia="Symbol" w:hAnsi="Symbol"/>
          <w:sz w:val="20"/>
          <w:szCs w:val="20"/>
          <w:color w:val="auto"/>
        </w:rPr>
      </w:pPr>
    </w:p>
    <w:p>
      <w:pPr>
        <w:ind w:left="980" w:hanging="483"/>
        <w:spacing w:after="0"/>
        <w:tabs>
          <w:tab w:leader="none" w:pos="980" w:val="left"/>
        </w:tabs>
        <w:numPr>
          <w:ilvl w:val="0"/>
          <w:numId w:val="31"/>
        </w:numPr>
        <w:rPr>
          <w:rFonts w:ascii="Symbol" w:cs="Symbol" w:eastAsia="Symbol" w:hAnsi="Symbol"/>
          <w:sz w:val="20"/>
          <w:szCs w:val="20"/>
          <w:color w:val="auto"/>
        </w:rPr>
      </w:pPr>
      <w:r>
        <w:rPr>
          <w:rFonts w:ascii="Calibri" w:cs="Calibri" w:eastAsia="Calibri" w:hAnsi="Calibri"/>
          <w:sz w:val="20"/>
          <w:szCs w:val="20"/>
          <w:color w:val="auto"/>
        </w:rPr>
        <w:t>we may not be able to assemble sufficient resources to acquire or discover additional product candidates;</w:t>
      </w:r>
    </w:p>
    <w:p>
      <w:pPr>
        <w:spacing w:after="0" w:line="120" w:lineRule="exact"/>
        <w:rPr>
          <w:rFonts w:ascii="Symbol" w:cs="Symbol" w:eastAsia="Symbol" w:hAnsi="Symbol"/>
          <w:sz w:val="20"/>
          <w:szCs w:val="20"/>
          <w:color w:val="auto"/>
        </w:rPr>
      </w:pPr>
    </w:p>
    <w:p>
      <w:pPr>
        <w:ind w:left="980" w:hanging="483"/>
        <w:spacing w:after="0"/>
        <w:tabs>
          <w:tab w:leader="none" w:pos="980" w:val="left"/>
        </w:tabs>
        <w:numPr>
          <w:ilvl w:val="0"/>
          <w:numId w:val="31"/>
        </w:numPr>
        <w:rPr>
          <w:rFonts w:ascii="Symbol" w:cs="Symbol" w:eastAsia="Symbol" w:hAnsi="Symbol"/>
          <w:sz w:val="20"/>
          <w:szCs w:val="20"/>
          <w:color w:val="auto"/>
        </w:rPr>
      </w:pPr>
      <w:r>
        <w:rPr>
          <w:rFonts w:ascii="Calibri" w:cs="Calibri" w:eastAsia="Calibri" w:hAnsi="Calibri"/>
          <w:sz w:val="20"/>
          <w:szCs w:val="20"/>
          <w:color w:val="auto"/>
        </w:rPr>
        <w:t>our product candidates may not succeed in nonclinical or clinical testing; and</w:t>
      </w:r>
    </w:p>
    <w:p>
      <w:pPr>
        <w:spacing w:after="0" w:line="118"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31"/>
        </w:numPr>
        <w:rPr>
          <w:rFonts w:ascii="Symbol" w:cs="Symbol" w:eastAsia="Symbol" w:hAnsi="Symbol"/>
          <w:sz w:val="20"/>
          <w:szCs w:val="20"/>
          <w:color w:val="auto"/>
        </w:rPr>
      </w:pPr>
      <w:r>
        <w:rPr>
          <w:rFonts w:ascii="Calibri" w:cs="Calibri" w:eastAsia="Calibri" w:hAnsi="Calibri"/>
          <w:sz w:val="20"/>
          <w:szCs w:val="20"/>
          <w:color w:val="auto"/>
        </w:rPr>
        <w:t>competitors may develop alternatives that render our product candidates obsolete or less attractive or the market for a product candidate may change such that a product candidate may not justify further development.</w:t>
      </w:r>
    </w:p>
    <w:p>
      <w:pPr>
        <w:spacing w:after="0" w:line="207" w:lineRule="exact"/>
        <w:rPr>
          <w:sz w:val="20"/>
          <w:szCs w:val="20"/>
          <w:color w:val="auto"/>
        </w:rPr>
      </w:pPr>
    </w:p>
    <w:p>
      <w:pPr>
        <w:jc w:val="both"/>
        <w:ind w:firstLine="489"/>
        <w:spacing w:after="0" w:line="251" w:lineRule="auto"/>
        <w:rPr>
          <w:sz w:val="20"/>
          <w:szCs w:val="20"/>
          <w:color w:val="auto"/>
        </w:rPr>
      </w:pPr>
      <w:r>
        <w:rPr>
          <w:rFonts w:ascii="Calibri" w:cs="Calibri" w:eastAsia="Calibri" w:hAnsi="Calibri"/>
          <w:sz w:val="20"/>
          <w:szCs w:val="20"/>
          <w:color w:val="auto"/>
        </w:rPr>
        <w:t>If any of these events occur, we may be forced to abandon our development efforts for a program or programs or we may not be able to identify, develop or commercialize additional product candidates, which would have a material adverse effect on our business and could potentially cause us to cease operations.</w:t>
      </w:r>
    </w:p>
    <w:p>
      <w:pPr>
        <w:spacing w:after="0" w:line="204" w:lineRule="exact"/>
        <w:rPr>
          <w:sz w:val="20"/>
          <w:szCs w:val="20"/>
          <w:color w:val="auto"/>
        </w:rPr>
      </w:pPr>
    </w:p>
    <w:p>
      <w:pPr>
        <w:jc w:val="both"/>
        <w:spacing w:after="0" w:line="263" w:lineRule="auto"/>
        <w:rPr>
          <w:sz w:val="20"/>
          <w:szCs w:val="20"/>
          <w:color w:val="auto"/>
        </w:rPr>
      </w:pPr>
      <w:r>
        <w:rPr>
          <w:rFonts w:ascii="Calibri" w:cs="Calibri" w:eastAsia="Calibri" w:hAnsi="Calibri"/>
          <w:sz w:val="20"/>
          <w:szCs w:val="20"/>
          <w:b w:val="1"/>
          <w:bCs w:val="1"/>
          <w:i w:val="1"/>
          <w:iCs w:val="1"/>
          <w:color w:val="auto"/>
        </w:rPr>
        <w:t>We may fail to obtain orphan drug designations from the FDA for our product candidates, and even if we obtain such designations, we may be unable to maintain the benefits associated with orphan drug designation, including the potential for market exclusivity.</w:t>
      </w:r>
    </w:p>
    <w:p>
      <w:pPr>
        <w:spacing w:after="0" w:line="195"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Regulatory authorities in some jurisdictions, including the U.S., may designate biologics or drugs designed to address relatively small patient populations as “orphan drugs.” Under the Orphan Drug Act, the FDA may grant orphan drug designation to a drug or biologic intended to treat a rare disease or condition, which is defined as one occurring in a patient population of fewer than 200,000 in the United States, or a patient population greater than 200,000 in the United States, where there is no reasonable expectation that the cost of developing the drug or biologic will be recovered from sales in the United States. In the U.S., orphan designation entitles a party to financial incentives such as opportunities for grant funding for clinical trial costs, tax advantages and user-fee waivers. In addition, if a product candidate that has orphan designation subsequently receives the first FDA approval for the disease or condition for which it has such designation, the product is entitled to orphan drug exclusivity, which means that the FDA may not approve any other applications, including an NDA or BLA, to market the same drug for the same approved use or indication within such rare disease or condition for seven years, except in limited circumstances, such as a showing of clinical superiority to the product with orphan drug exclusivity in the relevant indication or where the manufacturer is unable to assure sufficient product quantity.</w:t>
      </w:r>
    </w:p>
    <w:p>
      <w:pPr>
        <w:spacing w:after="0" w:line="218" w:lineRule="exact"/>
        <w:rPr>
          <w:sz w:val="20"/>
          <w:szCs w:val="20"/>
          <w:color w:val="auto"/>
        </w:rPr>
      </w:pPr>
    </w:p>
    <w:p>
      <w:pPr>
        <w:jc w:val="both"/>
        <w:ind w:firstLine="490"/>
        <w:spacing w:after="0" w:line="261" w:lineRule="auto"/>
        <w:rPr>
          <w:sz w:val="20"/>
          <w:szCs w:val="20"/>
          <w:color w:val="auto"/>
        </w:rPr>
      </w:pPr>
      <w:r>
        <w:rPr>
          <w:rFonts w:ascii="Calibri" w:cs="Calibri" w:eastAsia="Calibri" w:hAnsi="Calibri"/>
          <w:sz w:val="20"/>
          <w:szCs w:val="20"/>
          <w:color w:val="auto"/>
        </w:rPr>
        <w:t>In October 2020, the FDA granted Orphan Drug Designation to casdozokitug. We may seek Orphan Drug Designations for other diseases or conditions or for our other product candidates. There can be no assurances that we will be able to obtain such designations.</w:t>
      </w:r>
    </w:p>
    <w:p>
      <w:pPr>
        <w:sectPr>
          <w:pgSz w:w="12240" w:h="15840" w:orient="portrait"/>
          <w:cols w:equalWidth="0" w:num="1">
            <w:col w:w="11160"/>
          </w:cols>
          <w:pgMar w:left="540" w:top="530"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43</w:t>
      </w:r>
    </w:p>
    <w:p>
      <w:pPr>
        <w:sectPr>
          <w:pgSz w:w="12240" w:h="15840" w:orient="portrait"/>
          <w:cols w:equalWidth="0" w:num="1">
            <w:col w:w="11160"/>
          </w:cols>
          <w:pgMar w:left="540" w:top="530" w:right="540" w:bottom="9" w:gutter="0" w:footer="0" w:header="0"/>
          <w:type w:val="continuous"/>
        </w:sectPr>
      </w:pPr>
    </w:p>
    <w:bookmarkStart w:id="45" w:name="page46"/>
    <w:bookmarkEnd w:id="45"/>
    <w:p>
      <w:pPr>
        <w:jc w:val="both"/>
        <w:spacing w:after="0" w:line="243" w:lineRule="auto"/>
        <w:rPr>
          <w:sz w:val="20"/>
          <w:szCs w:val="20"/>
          <w:color w:val="auto"/>
        </w:rPr>
      </w:pPr>
      <w:r>
        <w:rPr>
          <w:rFonts w:ascii="Calibri" w:cs="Calibri" w:eastAsia="Calibri" w:hAnsi="Calibri"/>
          <w:sz w:val="20"/>
          <w:szCs w:val="20"/>
          <w:color w:val="auto"/>
        </w:rPr>
        <w:t>Even if we, or any future collaborators, obtain orphan drug designation for a product candidate, we, or they, may not be able to obtain or maintain orphan drug exclusivity for that product candidate. Further, even if we, or any future collaborators, obtain orphan drug exclusivity for a product, that exclusivity may not effectively protect the product from competition because different drugs with different active ingredients may be approved for the same use or indication within the same rare disease or condition. Even after an orphan drug is approved, the FDA can subsequently approve the same drug for the same uses or indications within the same rare disease or condition if the FDA concludes that the later drug is clinically superior in that it is shown to be safer, more effective or makes a major contribution to patient care with respect to the exclusivity-protected use or indication. Orphan drug designation neither shortens the development or regulatory review time of a drug nor gives the drug any advantage in the regulatory review or approval process.</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Risks Related to Our Compliance with Applicable Laws</w:t>
      </w:r>
    </w:p>
    <w:p>
      <w:pPr>
        <w:spacing w:after="0" w:line="239" w:lineRule="exact"/>
        <w:rPr>
          <w:sz w:val="20"/>
          <w:szCs w:val="20"/>
          <w:color w:val="auto"/>
        </w:rPr>
      </w:pPr>
    </w:p>
    <w:p>
      <w:pPr>
        <w:jc w:val="both"/>
        <w:spacing w:after="0" w:line="251" w:lineRule="auto"/>
        <w:rPr>
          <w:sz w:val="20"/>
          <w:szCs w:val="20"/>
          <w:color w:val="auto"/>
        </w:rPr>
      </w:pPr>
      <w:r>
        <w:rPr>
          <w:rFonts w:ascii="Calibri" w:cs="Calibri" w:eastAsia="Calibri" w:hAnsi="Calibri"/>
          <w:sz w:val="20"/>
          <w:szCs w:val="20"/>
          <w:b w:val="1"/>
          <w:bCs w:val="1"/>
          <w:i w:val="1"/>
          <w:iCs w:val="1"/>
          <w:color w:val="auto"/>
        </w:rPr>
        <w:t>Healthcare reform measures, including the IRA and the OBBBA, may increase the difficulty and cost for us to obtain marketing approval for and commercialize our product, affect the prices we may set, and have a material adverse effect on our business and results of operations.</w:t>
      </w:r>
    </w:p>
    <w:p>
      <w:pPr>
        <w:spacing w:after="0" w:line="208" w:lineRule="exact"/>
        <w:rPr>
          <w:sz w:val="20"/>
          <w:szCs w:val="20"/>
          <w:color w:val="auto"/>
        </w:rPr>
      </w:pPr>
    </w:p>
    <w:p>
      <w:pPr>
        <w:jc w:val="both"/>
        <w:ind w:firstLine="490"/>
        <w:spacing w:after="0" w:line="257" w:lineRule="auto"/>
        <w:rPr>
          <w:sz w:val="20"/>
          <w:szCs w:val="20"/>
          <w:color w:val="auto"/>
        </w:rPr>
      </w:pPr>
      <w:r>
        <w:rPr>
          <w:rFonts w:ascii="Calibri" w:cs="Calibri" w:eastAsia="Calibri" w:hAnsi="Calibri"/>
          <w:sz w:val="19"/>
          <w:szCs w:val="19"/>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was passed, which substantially changed the way health care is financed by both governmental and private insurers and has impacted and continues to impact the United States pharmaceutical industry. The ACA, among other things, modified the AMP definition under the MDRP for drugs that are inhaled, infused, instilled, implanted or injected and not generally distributed through the retail channel; expanded rebate payments under the MDRP to include utilization by individuals enrolled in Medicaid managed care organizations; added a provision to increase the Medicaid rebate for line extension drugs; established annual fees and taxes on manufacturers of certain branded prescription drugs; and expanded the entities eligible for discounts under the Public Health Service 340B drug pricing program.</w:t>
      </w:r>
    </w:p>
    <w:p>
      <w:pPr>
        <w:spacing w:after="0" w:line="207"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In addition, other legislative changes have been proposed and adopted in the United States since the ACA was enacted. These changes include the American Rescue Plan Act of 2021, which eliminated the statutory cap on the Medicaid drug rebate beginning January 1, 2024. The rebate was previously capped at 100% of a drug’s AMP.</w:t>
      </w:r>
    </w:p>
    <w:p>
      <w:pPr>
        <w:spacing w:after="0" w:line="206" w:lineRule="exact"/>
        <w:rPr>
          <w:sz w:val="20"/>
          <w:szCs w:val="20"/>
          <w:color w:val="auto"/>
        </w:rPr>
      </w:pPr>
    </w:p>
    <w:p>
      <w:pPr>
        <w:jc w:val="both"/>
        <w:ind w:firstLine="490"/>
        <w:spacing w:after="0" w:line="257" w:lineRule="auto"/>
        <w:rPr>
          <w:sz w:val="20"/>
          <w:szCs w:val="20"/>
          <w:color w:val="auto"/>
        </w:rPr>
      </w:pPr>
      <w:r>
        <w:rPr>
          <w:rFonts w:ascii="Calibri" w:cs="Calibri" w:eastAsia="Calibri" w:hAnsi="Calibri"/>
          <w:sz w:val="19"/>
          <w:szCs w:val="19"/>
          <w:color w:val="auto"/>
        </w:rPr>
        <w:t>Most significantly, on August 16, 2022, the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manufacturer discounting program (which began in 2025). The IRA permits the Secretary of the Department of HHS to implement many of these provisions through guidance, as opposed to regulation, for the initial years. HHS has and will continue to issue and update guidance as these programs are implemented. CMS has published the negotiated prices for the initial ten drugs, which went into effect in 2026, and the subsequent 15 drugs, which will first be effective in 2027, as well as the next set of 15 drugs that will be subject to negotiation, although the Medicare drug price negotiation program is currently subject to legal challenges. For that and other reasons, the impact of the IRA on our business and the pharmaceutical industry cannot yet be fully determined.</w:t>
      </w:r>
    </w:p>
    <w:p>
      <w:pPr>
        <w:spacing w:after="0" w:line="202"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Most recently, the OBBBA, which was enacted in July 2025, imposes significant reductions in the funding of the Medicaid program. Such reductions are expected to decrease the number of persons enrolled in Medicaid and reduce the services covered by Medicaid, which could adversely affect our sales of LOQTORZI or any other product candidate that we may commercialize.</w:t>
      </w:r>
    </w:p>
    <w:p>
      <w:pPr>
        <w:spacing w:after="0" w:line="207" w:lineRule="exact"/>
        <w:rPr>
          <w:sz w:val="20"/>
          <w:szCs w:val="20"/>
          <w:color w:val="auto"/>
        </w:rPr>
      </w:pPr>
    </w:p>
    <w:p>
      <w:pPr>
        <w:jc w:val="both"/>
        <w:ind w:firstLine="490"/>
        <w:spacing w:after="0" w:line="241" w:lineRule="auto"/>
        <w:rPr>
          <w:sz w:val="20"/>
          <w:szCs w:val="20"/>
          <w:color w:val="auto"/>
        </w:rPr>
      </w:pPr>
      <w:r>
        <w:rPr>
          <w:rFonts w:ascii="Calibri" w:cs="Calibri" w:eastAsia="Calibri" w:hAnsi="Calibri"/>
          <w:sz w:val="20"/>
          <w:szCs w:val="20"/>
          <w:color w:val="auto"/>
        </w:rPr>
        <w:t>The cost of prescription pharmaceuticals in the United States is likely to remain the subject of considerable discussion. There have been several Congressional inquiries and proposed and enacted legislation designed to, among other things, reform government program reimbursement methodologies. The likelihood of implementation of these and other reform initiatives is uncertain. The Trump administration is pursuing a two-fold strategy to reduce drug costs in the U.S.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Separately, the Trump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44</w:t>
      </w:r>
    </w:p>
    <w:p>
      <w:pPr>
        <w:sectPr>
          <w:pgSz w:w="12240" w:h="15840" w:orient="portrait"/>
          <w:cols w:equalWidth="0" w:num="1">
            <w:col w:w="11160"/>
          </w:cols>
          <w:pgMar w:left="540" w:top="532" w:right="540" w:bottom="9" w:gutter="0" w:footer="0" w:header="0"/>
          <w:type w:val="continuous"/>
        </w:sectPr>
      </w:pPr>
    </w:p>
    <w:bookmarkStart w:id="46" w:name="page47"/>
    <w:bookmarkEnd w:id="46"/>
    <w:p>
      <w:pPr>
        <w:jc w:val="both"/>
        <w:ind w:firstLine="490"/>
        <w:spacing w:after="0" w:line="258" w:lineRule="auto"/>
        <w:rPr>
          <w:sz w:val="20"/>
          <w:szCs w:val="20"/>
          <w:color w:val="auto"/>
        </w:rPr>
      </w:pPr>
      <w:r>
        <w:rPr>
          <w:rFonts w:ascii="Calibri" w:cs="Calibri" w:eastAsia="Calibri" w:hAnsi="Calibri"/>
          <w:sz w:val="19"/>
          <w:szCs w:val="19"/>
          <w:color w:val="auto"/>
        </w:rPr>
        <w:t>Individual states in the United States have also proposed and enacted legislation and are implementing regulations designed to control pharmaceutical product pricing, including price or patient reimbursement constraints, discounts, restrictions on certain product access, marketing cost disclosure, drug price reporting and other transparency measures, and, in some cases, measures designed to encourage importation from other countries and bulk purchasing. Some states have enacted legislation creating so-called prescription drug affordability boards, with the goal of imposing price limits on certain drugs in these states.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03" w:lineRule="exact"/>
        <w:rPr>
          <w:sz w:val="20"/>
          <w:szCs w:val="20"/>
          <w:color w:val="auto"/>
        </w:rPr>
      </w:pPr>
    </w:p>
    <w:p>
      <w:pPr>
        <w:jc w:val="both"/>
        <w:ind w:firstLine="490"/>
        <w:spacing w:after="0" w:line="245" w:lineRule="auto"/>
        <w:rPr>
          <w:sz w:val="20"/>
          <w:szCs w:val="20"/>
          <w:color w:val="auto"/>
        </w:rPr>
      </w:pPr>
      <w:r>
        <w:rPr>
          <w:rFonts w:ascii="Calibri" w:cs="Calibri" w:eastAsia="Calibri" w:hAnsi="Calibri"/>
          <w:sz w:val="20"/>
          <w:szCs w:val="20"/>
          <w:color w:val="auto"/>
        </w:rPr>
        <w:t>We expect that healthcare reform measures that may be adopted in the future may result in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214"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w:t>
      </w:r>
    </w:p>
    <w:p>
      <w:pPr>
        <w:spacing w:after="0" w:line="215" w:lineRule="exact"/>
        <w:rPr>
          <w:sz w:val="20"/>
          <w:szCs w:val="20"/>
          <w:color w:val="auto"/>
        </w:rPr>
      </w:pPr>
    </w:p>
    <w:p>
      <w:pPr>
        <w:jc w:val="both"/>
        <w:spacing w:after="0" w:line="262" w:lineRule="auto"/>
        <w:rPr>
          <w:sz w:val="20"/>
          <w:szCs w:val="20"/>
          <w:color w:val="auto"/>
        </w:rPr>
      </w:pPr>
      <w:r>
        <w:rPr>
          <w:rFonts w:ascii="Calibri" w:cs="Calibri" w:eastAsia="Calibri" w:hAnsi="Calibri"/>
          <w:sz w:val="20"/>
          <w:szCs w:val="20"/>
          <w:b w:val="1"/>
          <w:bCs w:val="1"/>
          <w:i w:val="1"/>
          <w:iCs w:val="1"/>
          <w:color w:val="auto"/>
        </w:rPr>
        <w:t>We may be subject, directly or indirectly, to federal and state healthcare laws, including fraud and abuse, false claims and physician payment transparency laws. If we are unable to comply or have not fully complied with such laws, we could face substantial penalties.</w:t>
      </w:r>
    </w:p>
    <w:p>
      <w:pPr>
        <w:spacing w:after="0" w:line="197" w:lineRule="exact"/>
        <w:rPr>
          <w:sz w:val="20"/>
          <w:szCs w:val="20"/>
          <w:color w:val="auto"/>
        </w:rPr>
      </w:pPr>
    </w:p>
    <w:p>
      <w:pPr>
        <w:jc w:val="both"/>
        <w:ind w:firstLine="490"/>
        <w:spacing w:after="0" w:line="270" w:lineRule="auto"/>
        <w:rPr>
          <w:sz w:val="20"/>
          <w:szCs w:val="20"/>
          <w:color w:val="auto"/>
        </w:rPr>
      </w:pPr>
      <w:r>
        <w:rPr>
          <w:rFonts w:ascii="Calibri" w:cs="Calibri" w:eastAsia="Calibri" w:hAnsi="Calibri"/>
          <w:sz w:val="19"/>
          <w:szCs w:val="19"/>
          <w:color w:val="auto"/>
        </w:rPr>
        <w:t>Our operations are directly or indirectly through our customers subject to various federal and state fraud and abuse laws, including, without limitation, the federal Anti-Kickback Statute, the federal False Claims Act and physician sunshine laws and regulations. These laws impact, among other things, sales, marketing and education programs. The laws that may affect our ability to operate include:</w:t>
      </w:r>
    </w:p>
    <w:p>
      <w:pPr>
        <w:spacing w:after="0" w:line="80" w:lineRule="exact"/>
        <w:rPr>
          <w:sz w:val="20"/>
          <w:szCs w:val="20"/>
          <w:color w:val="auto"/>
        </w:rPr>
      </w:pPr>
    </w:p>
    <w:p>
      <w:pPr>
        <w:jc w:val="both"/>
        <w:ind w:left="980" w:hanging="483"/>
        <w:spacing w:after="0" w:line="243" w:lineRule="auto"/>
        <w:tabs>
          <w:tab w:leader="none" w:pos="980" w:val="left"/>
        </w:tabs>
        <w:numPr>
          <w:ilvl w:val="0"/>
          <w:numId w:val="32"/>
        </w:numPr>
        <w:rPr>
          <w:rFonts w:ascii="Symbol" w:cs="Symbol" w:eastAsia="Symbol" w:hAnsi="Symbol"/>
          <w:sz w:val="20"/>
          <w:szCs w:val="20"/>
          <w:color w:val="auto"/>
        </w:rPr>
      </w:pPr>
      <w:r>
        <w:rPr>
          <w:rFonts w:ascii="Calibri" w:cs="Calibri" w:eastAsia="Calibri" w:hAnsi="Calibri"/>
          <w:sz w:val="20"/>
          <w:szCs w:val="20"/>
          <w:color w:val="auto"/>
        </w:rPr>
        <w:t>the federal Anti-Kickback Statute, which prohibits, among other things, persons from knowingly and willfully soliciting, receiving, offering or paying remuneration, directly or indirectly, in cash or in kind, to induce or in return for the purchase, recommendation, order or furnishing of an item or service reimbursable, in whole or in part, under a federal healthcare program, such as the Medicare and Medicaid programs. A person or entity does not need to have actual knowledge of the federal Anti-Kickback Statute or specific intent to violate it to have committed a violation;</w:t>
      </w:r>
    </w:p>
    <w:p>
      <w:pPr>
        <w:spacing w:after="0" w:line="104" w:lineRule="exact"/>
        <w:rPr>
          <w:rFonts w:ascii="Symbol" w:cs="Symbol" w:eastAsia="Symbol" w:hAnsi="Symbol"/>
          <w:sz w:val="20"/>
          <w:szCs w:val="20"/>
          <w:color w:val="auto"/>
        </w:rPr>
      </w:pPr>
    </w:p>
    <w:p>
      <w:pPr>
        <w:jc w:val="both"/>
        <w:ind w:left="980" w:hanging="483"/>
        <w:spacing w:after="0" w:line="243" w:lineRule="auto"/>
        <w:tabs>
          <w:tab w:leader="none" w:pos="980" w:val="left"/>
        </w:tabs>
        <w:numPr>
          <w:ilvl w:val="0"/>
          <w:numId w:val="32"/>
        </w:numPr>
        <w:rPr>
          <w:rFonts w:ascii="Symbol" w:cs="Symbol" w:eastAsia="Symbol" w:hAnsi="Symbol"/>
          <w:sz w:val="20"/>
          <w:szCs w:val="20"/>
          <w:color w:val="auto"/>
        </w:rPr>
      </w:pPr>
      <w:r>
        <w:rPr>
          <w:rFonts w:ascii="Calibri" w:cs="Calibri" w:eastAsia="Calibri" w:hAnsi="Calibri"/>
          <w:sz w:val="20"/>
          <w:szCs w:val="20"/>
          <w:color w:val="auto"/>
        </w:rPr>
        <w:t>federal civil and criminal false claims laws, including the False Claims Act, which prohibit, among other things, individuals or entities from knowingly presenting or causing to be presented claims for payment from Medicare, Medicaid or other third-party payers that are false or fraudulent and which may apply to entities that provide coding and billing advice to customers. In addition, the government may assert that a claim including items or services resulting from a violation of the federal Anti-Kickback Statute constitutes a false or fraudulent claim for purposes of the False Claims Act;</w:t>
      </w:r>
    </w:p>
    <w:p>
      <w:pPr>
        <w:spacing w:after="0" w:line="104" w:lineRule="exact"/>
        <w:rPr>
          <w:rFonts w:ascii="Symbol" w:cs="Symbol" w:eastAsia="Symbol" w:hAnsi="Symbol"/>
          <w:sz w:val="20"/>
          <w:szCs w:val="20"/>
          <w:color w:val="auto"/>
        </w:rPr>
      </w:pPr>
    </w:p>
    <w:p>
      <w:pPr>
        <w:jc w:val="both"/>
        <w:ind w:left="980" w:hanging="483"/>
        <w:spacing w:after="0" w:line="243" w:lineRule="auto"/>
        <w:tabs>
          <w:tab w:leader="none" w:pos="980" w:val="left"/>
        </w:tabs>
        <w:numPr>
          <w:ilvl w:val="0"/>
          <w:numId w:val="32"/>
        </w:numPr>
        <w:rPr>
          <w:rFonts w:ascii="Symbol" w:cs="Symbol" w:eastAsia="Symbol" w:hAnsi="Symbol"/>
          <w:sz w:val="20"/>
          <w:szCs w:val="20"/>
          <w:color w:val="auto"/>
        </w:rPr>
      </w:pPr>
      <w:r>
        <w:rPr>
          <w:rFonts w:ascii="Calibri" w:cs="Calibri" w:eastAsia="Calibri" w:hAnsi="Calibri"/>
          <w:sz w:val="20"/>
          <w:szCs w:val="20"/>
          <w:color w:val="auto"/>
        </w:rPr>
        <w:t>federal civil and criminal false claims laws, including the False Claims Act, which prohibit, among other things, individuals or entities from knowingly presenting or causing to be presented claims for payment from Medicare, Medicaid or other third-party payers that are false or fraudulent and which may apply to entities that provide coding and billing advice to customers. In addition, the government may assert that a claim including items or services resulting from a violation of the federal Anti-Kickback Statute constitutes a false or fraudulent claim for purposes of the False Claims Act;</w:t>
      </w:r>
    </w:p>
    <w:p>
      <w:pPr>
        <w:spacing w:after="0" w:line="104" w:lineRule="exact"/>
        <w:rPr>
          <w:rFonts w:ascii="Symbol" w:cs="Symbol" w:eastAsia="Symbol" w:hAnsi="Symbol"/>
          <w:sz w:val="20"/>
          <w:szCs w:val="20"/>
          <w:color w:val="auto"/>
        </w:rPr>
      </w:pPr>
    </w:p>
    <w:p>
      <w:pPr>
        <w:jc w:val="both"/>
        <w:ind w:left="980" w:hanging="483"/>
        <w:spacing w:after="0" w:line="243" w:lineRule="auto"/>
        <w:tabs>
          <w:tab w:leader="none" w:pos="980" w:val="left"/>
        </w:tabs>
        <w:numPr>
          <w:ilvl w:val="0"/>
          <w:numId w:val="32"/>
        </w:numPr>
        <w:rPr>
          <w:rFonts w:ascii="Symbol" w:cs="Symbol" w:eastAsia="Symbol" w:hAnsi="Symbol"/>
          <w:sz w:val="20"/>
          <w:szCs w:val="20"/>
          <w:color w:val="auto"/>
        </w:rPr>
      </w:pPr>
      <w:r>
        <w:rPr>
          <w:rFonts w:ascii="Calibri" w:cs="Calibri" w:eastAsia="Calibri" w:hAnsi="Calibri"/>
          <w:sz w:val="20"/>
          <w:szCs w:val="20"/>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45</w:t>
      </w:r>
    </w:p>
    <w:p>
      <w:pPr>
        <w:sectPr>
          <w:pgSz w:w="12240" w:h="15840" w:orient="portrait"/>
          <w:cols w:equalWidth="0" w:num="1">
            <w:col w:w="11160"/>
          </w:cols>
          <w:pgMar w:left="540" w:top="532" w:right="540" w:bottom="9" w:gutter="0" w:footer="0" w:header="0"/>
          <w:type w:val="continuous"/>
        </w:sectPr>
      </w:pPr>
    </w:p>
    <w:bookmarkStart w:id="47" w:name="page48"/>
    <w:bookmarkEnd w:id="47"/>
    <w:p>
      <w:pPr>
        <w:jc w:val="both"/>
        <w:ind w:left="980" w:hanging="483"/>
        <w:spacing w:after="0" w:line="246" w:lineRule="auto"/>
        <w:tabs>
          <w:tab w:leader="none" w:pos="980" w:val="left"/>
        </w:tabs>
        <w:numPr>
          <w:ilvl w:val="0"/>
          <w:numId w:val="33"/>
        </w:numPr>
        <w:rPr>
          <w:rFonts w:ascii="Symbol" w:cs="Symbol" w:eastAsia="Symbol" w:hAnsi="Symbol"/>
          <w:sz w:val="20"/>
          <w:szCs w:val="20"/>
          <w:color w:val="auto"/>
        </w:rPr>
      </w:pPr>
      <w:r>
        <w:rPr>
          <w:rFonts w:ascii="Calibri" w:cs="Calibri" w:eastAsia="Calibri" w:hAnsi="Calibri"/>
          <w:sz w:val="20"/>
          <w:szCs w:val="20"/>
          <w:color w:val="auto"/>
        </w:rPr>
        <w:t>HIPAA, which created new federal criminal statutes that prohibit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spacing w:after="0" w:line="101"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33"/>
        </w:numPr>
        <w:rPr>
          <w:rFonts w:ascii="Symbol" w:cs="Symbol" w:eastAsia="Symbol" w:hAnsi="Symbol"/>
          <w:sz w:val="20"/>
          <w:szCs w:val="20"/>
          <w:color w:val="auto"/>
        </w:rPr>
      </w:pPr>
      <w:r>
        <w:rPr>
          <w:rFonts w:ascii="Calibri" w:cs="Calibri" w:eastAsia="Calibri" w:hAnsi="Calibri"/>
          <w:sz w:val="20"/>
          <w:szCs w:val="20"/>
          <w:color w:val="auto"/>
        </w:rPr>
        <w:t>federal and state consumer protection and unfair competition laws, which broadly regulate marketplace activities and activities that potentially harm consumers;</w:t>
      </w:r>
    </w:p>
    <w:p>
      <w:pPr>
        <w:spacing w:after="0" w:line="97" w:lineRule="exact"/>
        <w:rPr>
          <w:rFonts w:ascii="Symbol" w:cs="Symbol" w:eastAsia="Symbol" w:hAnsi="Symbol"/>
          <w:sz w:val="20"/>
          <w:szCs w:val="20"/>
          <w:color w:val="auto"/>
        </w:rPr>
      </w:pPr>
    </w:p>
    <w:p>
      <w:pPr>
        <w:jc w:val="both"/>
        <w:ind w:left="980" w:hanging="483"/>
        <w:spacing w:after="0" w:line="242" w:lineRule="auto"/>
        <w:tabs>
          <w:tab w:leader="none" w:pos="980" w:val="left"/>
        </w:tabs>
        <w:numPr>
          <w:ilvl w:val="0"/>
          <w:numId w:val="33"/>
        </w:numPr>
        <w:rPr>
          <w:rFonts w:ascii="Symbol" w:cs="Symbol" w:eastAsia="Symbol" w:hAnsi="Symbol"/>
          <w:sz w:val="20"/>
          <w:szCs w:val="20"/>
          <w:color w:val="auto"/>
        </w:rPr>
      </w:pPr>
      <w:r>
        <w:rPr>
          <w:rFonts w:ascii="Calibri" w:cs="Calibri" w:eastAsia="Calibri" w:hAnsi="Calibri"/>
          <w:sz w:val="20"/>
          <w:szCs w:val="20"/>
          <w:color w:val="auto"/>
        </w:rPr>
        <w:t>the federal physician “sunshine” requirements under the ACA, which requires certain manufacturers of drugs, devices, biologics and medical supplies to report annually to the CMS information related to payments and other transfers of value made by such manufacturers to physicians (defined to include doctors, dentists, optometrists, podiatrists, chiropractors, and certain non-physician practitioners (physician assistants, nurse practitioners, clinical nurse specialists, certified nurse anesthetists, anesthesiologist assistants and certified nurse midwives)), and teaching hospitals and ownership and investment interests held by physicians and their immediate family members; and</w:t>
      </w:r>
    </w:p>
    <w:p>
      <w:pPr>
        <w:spacing w:after="0" w:line="107" w:lineRule="exact"/>
        <w:rPr>
          <w:rFonts w:ascii="Symbol" w:cs="Symbol" w:eastAsia="Symbol" w:hAnsi="Symbol"/>
          <w:sz w:val="20"/>
          <w:szCs w:val="20"/>
          <w:color w:val="auto"/>
        </w:rPr>
      </w:pPr>
    </w:p>
    <w:p>
      <w:pPr>
        <w:jc w:val="both"/>
        <w:ind w:left="980" w:hanging="483"/>
        <w:spacing w:after="0" w:line="257" w:lineRule="auto"/>
        <w:tabs>
          <w:tab w:leader="none" w:pos="980" w:val="left"/>
        </w:tabs>
        <w:numPr>
          <w:ilvl w:val="0"/>
          <w:numId w:val="33"/>
        </w:numPr>
        <w:rPr>
          <w:rFonts w:ascii="Symbol" w:cs="Symbol" w:eastAsia="Symbol" w:hAnsi="Symbol"/>
          <w:sz w:val="19"/>
          <w:szCs w:val="19"/>
          <w:color w:val="auto"/>
        </w:rPr>
      </w:pPr>
      <w:r>
        <w:rPr>
          <w:rFonts w:ascii="Calibri" w:cs="Calibri" w:eastAsia="Calibri" w:hAnsi="Calibri"/>
          <w:sz w:val="19"/>
          <w:szCs w:val="19"/>
          <w:color w:val="auto"/>
        </w:rPr>
        <w:t>state and foreign law equivalents of each of the above federal laws, such as anti-kickback and false claims laws that may apply to items or services reimbursed by any third-party payer,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pricing information.</w:t>
      </w:r>
    </w:p>
    <w:p>
      <w:pPr>
        <w:spacing w:after="0" w:line="204" w:lineRule="exact"/>
        <w:rPr>
          <w:sz w:val="20"/>
          <w:szCs w:val="20"/>
          <w:color w:val="auto"/>
        </w:rPr>
      </w:pPr>
    </w:p>
    <w:p>
      <w:pPr>
        <w:jc w:val="both"/>
        <w:ind w:firstLine="489"/>
        <w:spacing w:after="0" w:line="251" w:lineRule="auto"/>
        <w:rPr>
          <w:sz w:val="20"/>
          <w:szCs w:val="20"/>
          <w:color w:val="auto"/>
        </w:rPr>
      </w:pPr>
      <w:r>
        <w:rPr>
          <w:rFonts w:ascii="Calibri" w:cs="Calibri" w:eastAsia="Calibri" w:hAnsi="Calibri"/>
          <w:sz w:val="20"/>
          <w:szCs w:val="20"/>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w:t>
      </w:r>
    </w:p>
    <w:p>
      <w:pPr>
        <w:spacing w:after="0" w:line="206"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Efforts to ensure that our operations and business arrangements with third parties will comply with applicable healthcare laws and regulations will involve substantial costs. If we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20" w:lineRule="exact"/>
        <w:rPr>
          <w:sz w:val="20"/>
          <w:szCs w:val="20"/>
          <w:color w:val="auto"/>
        </w:rPr>
      </w:pPr>
    </w:p>
    <w:p>
      <w:pPr>
        <w:jc w:val="both"/>
        <w:spacing w:after="0" w:line="251" w:lineRule="auto"/>
        <w:rPr>
          <w:sz w:val="20"/>
          <w:szCs w:val="20"/>
          <w:color w:val="auto"/>
        </w:rPr>
      </w:pPr>
      <w:r>
        <w:rPr>
          <w:rFonts w:ascii="Calibri" w:cs="Calibri" w:eastAsia="Calibri" w:hAnsi="Calibri"/>
          <w:sz w:val="20"/>
          <w:szCs w:val="20"/>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penalties, sanctions and fines which could have a material adverse effect on our business, financial condition, results of operations and growth prospects.</w:t>
      </w:r>
    </w:p>
    <w:p>
      <w:pPr>
        <w:spacing w:after="0" w:line="209" w:lineRule="exact"/>
        <w:rPr>
          <w:sz w:val="20"/>
          <w:szCs w:val="20"/>
          <w:color w:val="auto"/>
        </w:rPr>
      </w:pPr>
    </w:p>
    <w:p>
      <w:pPr>
        <w:jc w:val="both"/>
        <w:ind w:firstLine="490"/>
        <w:spacing w:after="0" w:line="241" w:lineRule="auto"/>
        <w:rPr>
          <w:sz w:val="20"/>
          <w:szCs w:val="20"/>
          <w:color w:val="auto"/>
        </w:rPr>
      </w:pPr>
      <w:r>
        <w:rPr>
          <w:rFonts w:ascii="Calibri" w:cs="Calibri" w:eastAsia="Calibri" w:hAnsi="Calibri"/>
          <w:sz w:val="20"/>
          <w:szCs w:val="20"/>
          <w:color w:val="auto"/>
        </w:rPr>
        <w:t>We participate in governmental programs that impose drug price reporting, payment, and other compliance obligations on pharmaceutical manufacturers. Medicaid is a joint federal and state program for low-income and disabled beneficiaries. Medicare is a federal program that is administered by the federal government covering individuals age 65 and over as well as those with certain disabilities. Medicare Part B reimburses physicians who administer our product. Under the MDRP, as a condition of having federal funds available for our covered outpatient drugs under Medicaid and under Medicare Part B, we must enter into, and have entered into, an agreement with the Secretary of HHS to pay a rebate to state Medicaid programs for each unit of our covered outpatient drugs dispensed to a Medicaid beneficiary and paid for by the state Medicaid program. Medicaid rebates are based on pricing data that we are required to report on a monthly and quarterly basis to CMS, the federal agency that administers the MDRP and Medicare programs. For the MDRP, these data include the AMP for each drug and, in the case of innovator products, the Best Price, which represents the lowest price available from us to any wholesaler, retailer, provider, health maintenance organization, nonprofit entity, or governmental entity in the United States in any pricing structure, calculated to include all applicable sales and associated rebates, discounts and other price concessions. In connection with Medicare Part B, we must provide CMS with ASP information on a quarterly basis. CMS uses this information to compute Medicare Part B payment rates, which consist of ASP plus a specified percentage. If we become aware that our MDRP submissions for a prior period were incorrect or have changed as a result of recalculation of the pricing data, we must resubmit the corrected data for up to three years after those data originally were due. Pursuant to the IRA, the AMP and ASP figures we report will also be used to compute rebates under Medicare Part D and Medicare Part B triggered by price increases that outpace inflation. If we fail to provide information timely or are found to have knowingly submitted false information to CMS, we may be subject to civil monetary penalties and other sanctions, including termination from the MDRP.</w:t>
      </w:r>
    </w:p>
    <w:p>
      <w:pPr>
        <w:sectPr>
          <w:pgSz w:w="12240" w:h="15840" w:orient="portrait"/>
          <w:cols w:equalWidth="0" w:num="1">
            <w:col w:w="11160"/>
          </w:cols>
          <w:pgMar w:left="540" w:top="543"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46</w:t>
      </w:r>
    </w:p>
    <w:p>
      <w:pPr>
        <w:sectPr>
          <w:pgSz w:w="12240" w:h="15840" w:orient="portrait"/>
          <w:cols w:equalWidth="0" w:num="1">
            <w:col w:w="11160"/>
          </w:cols>
          <w:pgMar w:left="540" w:top="543" w:right="540" w:bottom="9" w:gutter="0" w:footer="0" w:header="0"/>
          <w:type w:val="continuous"/>
        </w:sectPr>
      </w:pPr>
    </w:p>
    <w:bookmarkStart w:id="48" w:name="page49"/>
    <w:bookmarkEnd w:id="48"/>
    <w:p>
      <w:pPr>
        <w:jc w:val="both"/>
        <w:ind w:firstLine="490"/>
        <w:spacing w:after="0" w:line="242" w:lineRule="auto"/>
        <w:rPr>
          <w:sz w:val="20"/>
          <w:szCs w:val="20"/>
          <w:color w:val="auto"/>
        </w:rPr>
      </w:pPr>
      <w:r>
        <w:rPr>
          <w:rFonts w:ascii="Calibri" w:cs="Calibri" w:eastAsia="Calibri" w:hAnsi="Calibri"/>
          <w:sz w:val="20"/>
          <w:szCs w:val="20"/>
          <w:color w:val="auto"/>
        </w:rPr>
        <w:t>Federal law requires that any company that participates in the MDRP also participate in the Public Health Service’s 340B drug pricing program in order for federal funds to be available for the manufacturer’s drugs under Medicaid and Medicare Part B. The 340B program is administered by the HRSA and requires us to agree to charge statutorily defined covered entities no more than the 340B “ceiling price” for our covered drugs when used in an outpatient setting.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requirement. We must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 eligible drugs. HRSA has also finalized an administrative dispute resolution process through which 340B covered entities may pursue claims against participating manufacturers for overcharges.</w:t>
      </w:r>
    </w:p>
    <w:p>
      <w:pPr>
        <w:spacing w:after="0" w:line="215"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In order to be eligible to have drug products paid for with federal funds under Medicaid and Medicare Part B and purchased by certain federal agencies and grantees, a pharmaceutical manufacturer must also participate in VA FSS pricing program. Under the VA FSS program, we must report the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must also pay rebates on products purchased by military personnel and dependents through the TRICARE retail pharmacy program. If a manufacturer participating in the FSS program fails to provide timely information or is found to have knowingly submitted false information, the manufacturer may be subject to civil monetary penalties.</w:t>
      </w:r>
    </w:p>
    <w:p>
      <w:pPr>
        <w:spacing w:after="0" w:line="216"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for the untimely, inaccurate, or incomplete reporting of drug pricing information or for otherwise failing to comply with drug price transparency requirements. If we are found to have violated state law requirements, we may become subject to penalties or other enforcement mechanisms, which could have a material adverse effect on our business.</w:t>
      </w:r>
    </w:p>
    <w:p>
      <w:pPr>
        <w:spacing w:after="0" w:line="219" w:lineRule="exact"/>
        <w:rPr>
          <w:sz w:val="20"/>
          <w:szCs w:val="20"/>
          <w:color w:val="auto"/>
        </w:rPr>
      </w:pPr>
    </w:p>
    <w:p>
      <w:pPr>
        <w:jc w:val="both"/>
        <w:ind w:firstLine="490"/>
        <w:spacing w:after="0" w:line="256" w:lineRule="auto"/>
        <w:rPr>
          <w:sz w:val="20"/>
          <w:szCs w:val="20"/>
          <w:color w:val="auto"/>
        </w:rPr>
      </w:pPr>
      <w:r>
        <w:rPr>
          <w:rFonts w:ascii="Calibri" w:cs="Calibri" w:eastAsia="Calibri" w:hAnsi="Calibri"/>
          <w:sz w:val="19"/>
          <w:szCs w:val="19"/>
          <w:color w:val="auto"/>
        </w:rPr>
        <w:t>Pricing and rebate calculations are complex and are often subject to interpretation by us, governmental or regulatory agencies, and the courts, which can change and evolve over time. Such pricing calculations and reporting, along with any necessary restatements and recalculations, could increase costs for complying with the laws and regulations governing the MDRP and other governmental programs, and under the MDRP could result in an overage or underage in Medicaid rebate liability for past quarters.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are found to have made a misrepresentation in the reporting of ASP, if we fail to submit the required price data on a timely basis, or if we are found to have charged 340B covered entities more than the statutorily mandated ceiling price. CMS could also terminate our Medicaid drug rebate agreement, in which case federal payments may not be available under Medicaid or Medicare Part B for our covered outpatient drugs. We cannot make any assurances that our submissions will not be found by CMS or other governmental agencies to be incomplete or incorrect.</w:t>
      </w:r>
    </w:p>
    <w:p>
      <w:pPr>
        <w:spacing w:after="0" w:line="2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Risks Related to Ownership of Our Common Stock</w:t>
      </w:r>
    </w:p>
    <w:p>
      <w:pPr>
        <w:spacing w:after="0" w:line="23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The market price of our common stock may be highly volatile, and purchasers of our common stock could incur substantial losses.</w:t>
      </w:r>
    </w:p>
    <w:p>
      <w:pPr>
        <w:spacing w:after="0" w:line="241"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The market price of our common stock has been highly volatile since our Initial Public Offering and the intraday sales price per share has ranged from $0.66 to $38.10 per share during the period from November 6, 2014 through December 31, 2025 and could be subject to wide fluctuations in response to various factors, some of which are beyond our control. These factors include those discussed in the “Risk Factors” section of this Annual Report on Form 10-K and others such as:</w:t>
      </w:r>
    </w:p>
    <w:p>
      <w:pPr>
        <w:spacing w:after="0" w:line="104" w:lineRule="exact"/>
        <w:rPr>
          <w:sz w:val="20"/>
          <w:szCs w:val="20"/>
          <w:color w:val="auto"/>
        </w:rPr>
      </w:pPr>
    </w:p>
    <w:p>
      <w:pPr>
        <w:ind w:left="980" w:hanging="483"/>
        <w:spacing w:after="0"/>
        <w:tabs>
          <w:tab w:leader="none" w:pos="980" w:val="left"/>
        </w:tabs>
        <w:numPr>
          <w:ilvl w:val="0"/>
          <w:numId w:val="34"/>
        </w:numPr>
        <w:rPr>
          <w:rFonts w:ascii="Symbol" w:cs="Symbol" w:eastAsia="Symbol" w:hAnsi="Symbol"/>
          <w:sz w:val="20"/>
          <w:szCs w:val="20"/>
          <w:color w:val="auto"/>
        </w:rPr>
      </w:pPr>
      <w:r>
        <w:rPr>
          <w:rFonts w:ascii="Calibri" w:cs="Calibri" w:eastAsia="Calibri" w:hAnsi="Calibri"/>
          <w:sz w:val="20"/>
          <w:szCs w:val="20"/>
          <w:color w:val="auto"/>
        </w:rPr>
        <w:t>adverse results or delays in preclinical or clinical studies;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34"/>
        </w:numPr>
        <w:rPr>
          <w:rFonts w:ascii="Symbol" w:cs="Symbol" w:eastAsia="Symbol" w:hAnsi="Symbol"/>
          <w:sz w:val="20"/>
          <w:szCs w:val="20"/>
          <w:color w:val="auto"/>
        </w:rPr>
      </w:pPr>
      <w:r>
        <w:rPr>
          <w:rFonts w:ascii="Calibri" w:cs="Calibri" w:eastAsia="Calibri" w:hAnsi="Calibri"/>
          <w:sz w:val="20"/>
          <w:szCs w:val="20"/>
          <w:color w:val="auto"/>
        </w:rPr>
        <w:t>the risk of deterioration in our financial conditions, such as reduced collection of cash and increased costs in the future;</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34"/>
        </w:numPr>
        <w:rPr>
          <w:rFonts w:ascii="Symbol" w:cs="Symbol" w:eastAsia="Symbol" w:hAnsi="Symbol"/>
          <w:sz w:val="20"/>
          <w:szCs w:val="20"/>
          <w:color w:val="auto"/>
        </w:rPr>
      </w:pPr>
      <w:r>
        <w:rPr>
          <w:rFonts w:ascii="Calibri" w:cs="Calibri" w:eastAsia="Calibri" w:hAnsi="Calibri"/>
          <w:sz w:val="20"/>
          <w:szCs w:val="20"/>
          <w:color w:val="auto"/>
        </w:rPr>
        <w:t>any inability to obtain additional funding;</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47</w:t>
      </w:r>
    </w:p>
    <w:p>
      <w:pPr>
        <w:sectPr>
          <w:pgSz w:w="12240" w:h="15840" w:orient="portrait"/>
          <w:cols w:equalWidth="0" w:num="1">
            <w:col w:w="11160"/>
          </w:cols>
          <w:pgMar w:left="540" w:top="532" w:right="540" w:bottom="9" w:gutter="0" w:footer="0" w:header="0"/>
          <w:type w:val="continuous"/>
        </w:sectPr>
      </w:pPr>
    </w:p>
    <w:bookmarkStart w:id="49" w:name="page50"/>
    <w:bookmarkEnd w:id="49"/>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failure to receive either of the Earnout Payments;</w:t>
      </w:r>
    </w:p>
    <w:p>
      <w:pPr>
        <w:spacing w:after="0" w:line="118" w:lineRule="exact"/>
        <w:rPr>
          <w:rFonts w:ascii="Symbol" w:cs="Symbol" w:eastAsia="Symbol" w:hAnsi="Symbol"/>
          <w:sz w:val="20"/>
          <w:szCs w:val="20"/>
          <w:color w:val="auto"/>
        </w:rPr>
      </w:pPr>
    </w:p>
    <w:p>
      <w:pPr>
        <w:jc w:val="both"/>
        <w:ind w:left="980" w:hanging="483"/>
        <w:spacing w:after="0" w:line="246" w:lineRule="auto"/>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any delay in filing an IND, NDA, BLA or other regulatory submission for any of our product candidates and any adverse development or perceived adverse development with respect to the applicable regulatory agency’s review of that IND, NDA, BLA or other regulatory submission;</w:t>
      </w:r>
    </w:p>
    <w:p>
      <w:pPr>
        <w:spacing w:after="0" w:line="102"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the perception of limited market sizes or pricing for our product and product candidates;</w:t>
      </w:r>
    </w:p>
    <w:p>
      <w:pPr>
        <w:spacing w:after="0" w:line="120"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failure to successfully develop and commercialize our product candidates;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post-marketing safety issues relating to our product candidates or product;</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failure to maintain our existing strategic collaborations or enter into new collaborations;</w:t>
      </w:r>
    </w:p>
    <w:p>
      <w:pPr>
        <w:spacing w:after="0" w:line="119"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failure by us or our licensors and strategic collaboration partners to prosecute, maintain or enforce our intellectual property rights;</w:t>
      </w:r>
    </w:p>
    <w:p>
      <w:pPr>
        <w:spacing w:after="0" w:line="97"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changes in laws or regulations applicable to our product and product candidates;</w:t>
      </w:r>
    </w:p>
    <w:p>
      <w:pPr>
        <w:spacing w:after="0" w:line="120"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future outbreaks of COVID-19 and other viral pandemics;</w:t>
      </w:r>
    </w:p>
    <w:p>
      <w:pPr>
        <w:spacing w:after="0" w:line="118" w:lineRule="exact"/>
        <w:rPr>
          <w:rFonts w:ascii="Symbol" w:cs="Symbol" w:eastAsia="Symbol" w:hAnsi="Symbol"/>
          <w:sz w:val="20"/>
          <w:szCs w:val="20"/>
          <w:color w:val="auto"/>
        </w:rPr>
      </w:pPr>
    </w:p>
    <w:p>
      <w:pPr>
        <w:ind w:left="980" w:right="20" w:hanging="483"/>
        <w:spacing w:after="0" w:line="252" w:lineRule="auto"/>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any inability to obtain adequate product supply for our product and product candidates or the inability to do so at acceptable prices;</w:t>
      </w:r>
    </w:p>
    <w:p>
      <w:pPr>
        <w:spacing w:after="0" w:line="96"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adverse regulatory decisions;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introduction of new products, services or technologies by our competitors;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failure to meet or exceed financial projections we may provide to the public;</w:t>
      </w:r>
    </w:p>
    <w:p>
      <w:pPr>
        <w:spacing w:after="0" w:line="120"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failure to meet or exceed the financial projections of the investment community;</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the perception of the pharmaceutical industry by the public, legislatures, regulators and the investment community;</w:t>
      </w:r>
    </w:p>
    <w:p>
      <w:pPr>
        <w:spacing w:after="0" w:line="118" w:lineRule="exact"/>
        <w:rPr>
          <w:rFonts w:ascii="Symbol" w:cs="Symbol" w:eastAsia="Symbol" w:hAnsi="Symbol"/>
          <w:sz w:val="20"/>
          <w:szCs w:val="20"/>
          <w:color w:val="auto"/>
        </w:rPr>
      </w:pPr>
    </w:p>
    <w:p>
      <w:pPr>
        <w:ind w:left="980" w:hanging="483"/>
        <w:spacing w:after="0" w:line="253" w:lineRule="auto"/>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announcements of significant acquisitions, dispositions, strategic partnerships, joint ventures or capital commitments by us, our strategic collaboration partners or our competitors;</w:t>
      </w:r>
    </w:p>
    <w:p>
      <w:pPr>
        <w:spacing w:after="0" w:line="93" w:lineRule="exact"/>
        <w:rPr>
          <w:rFonts w:ascii="Symbol" w:cs="Symbol" w:eastAsia="Symbol" w:hAnsi="Symbol"/>
          <w:sz w:val="20"/>
          <w:szCs w:val="20"/>
          <w:color w:val="auto"/>
        </w:rPr>
      </w:pPr>
    </w:p>
    <w:p>
      <w:pPr>
        <w:ind w:left="980" w:hanging="483"/>
        <w:spacing w:after="0" w:line="253" w:lineRule="auto"/>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disputes or other developments relating to proprietary rights, including patents, litigation matters and our ability to obtain patent protection for our technologies;</w:t>
      </w:r>
    </w:p>
    <w:p>
      <w:pPr>
        <w:spacing w:after="0" w:line="94"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additions or departures of key scientific or management personnel;</w:t>
      </w:r>
    </w:p>
    <w:p>
      <w:pPr>
        <w:spacing w:after="0" w:line="118" w:lineRule="exact"/>
        <w:rPr>
          <w:rFonts w:ascii="Symbol" w:cs="Symbol" w:eastAsia="Symbol" w:hAnsi="Symbol"/>
          <w:sz w:val="20"/>
          <w:szCs w:val="20"/>
          <w:color w:val="auto"/>
        </w:rPr>
      </w:pPr>
    </w:p>
    <w:p>
      <w:pPr>
        <w:ind w:left="980" w:hanging="483"/>
        <w:spacing w:after="0" w:line="253" w:lineRule="auto"/>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lawsuits, including but not limited to complaints initiated by stockholders, customers and collaboration partners, and litigation filed by us or filed against us pertaining to patent infringement or other violations of intellectual property rights;</w:t>
      </w:r>
    </w:p>
    <w:p>
      <w:pPr>
        <w:spacing w:after="0" w:line="93"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if securities or industry analysts do not publish research or reports about our business or if they issue an adverse or misleading opinion regarding our company or our stock;</w:t>
      </w:r>
    </w:p>
    <w:p>
      <w:pPr>
        <w:spacing w:after="0" w:line="98"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changes in the market valuations of similar companies;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general market or macroeconomic conditions, including rising interest rates, increasing tariffs and inflation;</w:t>
      </w:r>
    </w:p>
    <w:p>
      <w:pPr>
        <w:spacing w:after="0" w:line="120"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sales of our common stock by us or our stockholders in the future;</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trading volume of our common stock;</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issuance of patents to third parties that could prevent our ability to commercialize our product candidates; and</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35"/>
        </w:numPr>
        <w:rPr>
          <w:rFonts w:ascii="Symbol" w:cs="Symbol" w:eastAsia="Symbol" w:hAnsi="Symbol"/>
          <w:sz w:val="20"/>
          <w:szCs w:val="20"/>
          <w:color w:val="auto"/>
        </w:rPr>
      </w:pPr>
      <w:r>
        <w:rPr>
          <w:rFonts w:ascii="Calibri" w:cs="Calibri" w:eastAsia="Calibri" w:hAnsi="Calibri"/>
          <w:sz w:val="20"/>
          <w:szCs w:val="20"/>
          <w:color w:val="auto"/>
        </w:rPr>
        <w:t>changes in regulatory requirements that could make it more difficult for us to develop our product candidates.</w:t>
      </w:r>
    </w:p>
    <w:p>
      <w:pPr>
        <w:spacing w:after="0" w:line="229"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In addition, oncology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ectPr>
          <w:pgSz w:w="12240" w:h="15840" w:orient="portrait"/>
          <w:cols w:equalWidth="0" w:num="1">
            <w:col w:w="11160"/>
          </w:cols>
          <w:pgMar w:left="540" w:top="544"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48</w:t>
      </w:r>
    </w:p>
    <w:p>
      <w:pPr>
        <w:sectPr>
          <w:pgSz w:w="12240" w:h="15840" w:orient="portrait"/>
          <w:cols w:equalWidth="0" w:num="1">
            <w:col w:w="11160"/>
          </w:cols>
          <w:pgMar w:left="540" w:top="544" w:right="540" w:bottom="9" w:gutter="0" w:footer="0" w:header="0"/>
          <w:type w:val="continuous"/>
        </w:sectPr>
      </w:pPr>
    </w:p>
    <w:bookmarkStart w:id="50" w:name="page51"/>
    <w:bookmarkEnd w:id="50"/>
    <w:p>
      <w:pPr>
        <w:jc w:val="both"/>
        <w:spacing w:after="0" w:line="251" w:lineRule="auto"/>
        <w:rPr>
          <w:sz w:val="20"/>
          <w:szCs w:val="20"/>
          <w:color w:val="auto"/>
        </w:rPr>
      </w:pPr>
      <w:r>
        <w:rPr>
          <w:rFonts w:ascii="Calibri" w:cs="Calibri" w:eastAsia="Calibri" w:hAnsi="Calibri"/>
          <w:sz w:val="20"/>
          <w:szCs w:val="20"/>
          <w:b w:val="1"/>
          <w:bCs w:val="1"/>
          <w:i w:val="1"/>
          <w:iCs w:val="1"/>
          <w:color w:val="auto"/>
        </w:rPr>
        <w:t>Our indebtedness could adversely affect our financial condition, our ability to raise additional capital to fund our operations, our ability to operate our business, our ability to react to changes in the economy or our industry and our ability to pay our debts and could divert our cash flow from operations for debt payments.</w:t>
      </w:r>
    </w:p>
    <w:p>
      <w:pPr>
        <w:spacing w:after="0" w:line="209" w:lineRule="exact"/>
        <w:rPr>
          <w:sz w:val="20"/>
          <w:szCs w:val="20"/>
          <w:color w:val="auto"/>
        </w:rPr>
      </w:pPr>
    </w:p>
    <w:p>
      <w:pPr>
        <w:ind w:left="500"/>
        <w:spacing w:after="0"/>
        <w:rPr>
          <w:sz w:val="20"/>
          <w:szCs w:val="20"/>
          <w:color w:val="auto"/>
        </w:rPr>
      </w:pPr>
      <w:r>
        <w:rPr>
          <w:rFonts w:ascii="Calibri" w:cs="Calibri" w:eastAsia="Calibri" w:hAnsi="Calibri"/>
          <w:sz w:val="20"/>
          <w:szCs w:val="20"/>
          <w:color w:val="auto"/>
        </w:rPr>
        <w:t>Our leverage and debt service obligations could adversely impact our business, including by:</w:t>
      </w:r>
    </w:p>
    <w:p>
      <w:pPr>
        <w:spacing w:after="0" w:line="131" w:lineRule="exact"/>
        <w:rPr>
          <w:sz w:val="20"/>
          <w:szCs w:val="20"/>
          <w:color w:val="auto"/>
        </w:rPr>
      </w:pPr>
    </w:p>
    <w:p>
      <w:pPr>
        <w:ind w:left="980" w:hanging="483"/>
        <w:spacing w:after="0"/>
        <w:tabs>
          <w:tab w:leader="none" w:pos="980" w:val="left"/>
        </w:tabs>
        <w:numPr>
          <w:ilvl w:val="0"/>
          <w:numId w:val="36"/>
        </w:numPr>
        <w:rPr>
          <w:rFonts w:ascii="Symbol" w:cs="Symbol" w:eastAsia="Symbol" w:hAnsi="Symbol"/>
          <w:sz w:val="20"/>
          <w:szCs w:val="20"/>
          <w:color w:val="auto"/>
        </w:rPr>
      </w:pPr>
      <w:r>
        <w:rPr>
          <w:rFonts w:ascii="Calibri" w:cs="Calibri" w:eastAsia="Calibri" w:hAnsi="Calibri"/>
          <w:sz w:val="20"/>
          <w:szCs w:val="20"/>
          <w:color w:val="auto"/>
        </w:rPr>
        <w:t>impairing our ability to generate cash sufficient to pay interest or principal, including periodic principal payments;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36"/>
        </w:numPr>
        <w:rPr>
          <w:rFonts w:ascii="Symbol" w:cs="Symbol" w:eastAsia="Symbol" w:hAnsi="Symbol"/>
          <w:sz w:val="20"/>
          <w:szCs w:val="20"/>
          <w:color w:val="auto"/>
        </w:rPr>
      </w:pPr>
      <w:r>
        <w:rPr>
          <w:rFonts w:ascii="Calibri" w:cs="Calibri" w:eastAsia="Calibri" w:hAnsi="Calibri"/>
          <w:sz w:val="20"/>
          <w:szCs w:val="20"/>
          <w:color w:val="auto"/>
        </w:rPr>
        <w:t>increasing our vulnerability to general adverse economic and industry conditions;</w:t>
      </w:r>
    </w:p>
    <w:p>
      <w:pPr>
        <w:spacing w:after="0" w:line="119" w:lineRule="exact"/>
        <w:rPr>
          <w:rFonts w:ascii="Symbol" w:cs="Symbol" w:eastAsia="Symbol" w:hAnsi="Symbol"/>
          <w:sz w:val="20"/>
          <w:szCs w:val="20"/>
          <w:color w:val="auto"/>
        </w:rPr>
      </w:pPr>
    </w:p>
    <w:p>
      <w:pPr>
        <w:ind w:left="980" w:hanging="483"/>
        <w:spacing w:after="0"/>
        <w:tabs>
          <w:tab w:leader="none" w:pos="980" w:val="left"/>
        </w:tabs>
        <w:numPr>
          <w:ilvl w:val="0"/>
          <w:numId w:val="36"/>
        </w:numPr>
        <w:rPr>
          <w:rFonts w:ascii="Symbol" w:cs="Symbol" w:eastAsia="Symbol" w:hAnsi="Symbol"/>
          <w:sz w:val="20"/>
          <w:szCs w:val="20"/>
          <w:color w:val="auto"/>
        </w:rPr>
      </w:pPr>
      <w:r>
        <w:rPr>
          <w:rFonts w:ascii="Calibri" w:cs="Calibri" w:eastAsia="Calibri" w:hAnsi="Calibri"/>
          <w:sz w:val="20"/>
          <w:szCs w:val="20"/>
          <w:color w:val="auto"/>
        </w:rPr>
        <w:t>increasing our need to meet minimum net sales requirements when our future sales are uncertain;</w:t>
      </w:r>
    </w:p>
    <w:p>
      <w:pPr>
        <w:spacing w:after="0" w:line="119" w:lineRule="exact"/>
        <w:rPr>
          <w:rFonts w:ascii="Symbol" w:cs="Symbol" w:eastAsia="Symbol" w:hAnsi="Symbol"/>
          <w:sz w:val="20"/>
          <w:szCs w:val="20"/>
          <w:color w:val="auto"/>
        </w:rPr>
      </w:pPr>
    </w:p>
    <w:p>
      <w:pPr>
        <w:ind w:left="980" w:hanging="483"/>
        <w:spacing w:after="0" w:line="278" w:lineRule="auto"/>
        <w:tabs>
          <w:tab w:leader="none" w:pos="980" w:val="left"/>
        </w:tabs>
        <w:numPr>
          <w:ilvl w:val="0"/>
          <w:numId w:val="36"/>
        </w:numPr>
        <w:rPr>
          <w:rFonts w:ascii="Symbol" w:cs="Symbol" w:eastAsia="Symbol" w:hAnsi="Symbol"/>
          <w:sz w:val="19"/>
          <w:szCs w:val="19"/>
          <w:color w:val="auto"/>
        </w:rPr>
      </w:pPr>
      <w:r>
        <w:rPr>
          <w:rFonts w:ascii="Calibri" w:cs="Calibri" w:eastAsia="Calibri" w:hAnsi="Calibri"/>
          <w:sz w:val="19"/>
          <w:szCs w:val="19"/>
          <w:color w:val="auto"/>
        </w:rPr>
        <w:t>requiring the dedication of a portion of our cash flow from operations to service our debt, thereby reducing the amount of our cash flow available for other purposes, including funds for clinical development or to pursue future business opportunities;</w:t>
      </w:r>
    </w:p>
    <w:p>
      <w:pPr>
        <w:spacing w:after="0" w:line="68" w:lineRule="exact"/>
        <w:rPr>
          <w:rFonts w:ascii="Symbol" w:cs="Symbol" w:eastAsia="Symbol" w:hAnsi="Symbol"/>
          <w:sz w:val="19"/>
          <w:szCs w:val="19"/>
          <w:color w:val="auto"/>
        </w:rPr>
      </w:pPr>
    </w:p>
    <w:p>
      <w:pPr>
        <w:ind w:left="980" w:hanging="483"/>
        <w:spacing w:after="0" w:line="253" w:lineRule="auto"/>
        <w:tabs>
          <w:tab w:leader="none" w:pos="980" w:val="left"/>
        </w:tabs>
        <w:numPr>
          <w:ilvl w:val="0"/>
          <w:numId w:val="36"/>
        </w:numPr>
        <w:rPr>
          <w:rFonts w:ascii="Symbol" w:cs="Symbol" w:eastAsia="Symbol" w:hAnsi="Symbol"/>
          <w:sz w:val="20"/>
          <w:szCs w:val="20"/>
          <w:color w:val="auto"/>
        </w:rPr>
      </w:pPr>
      <w:r>
        <w:rPr>
          <w:rFonts w:ascii="Calibri" w:cs="Calibri" w:eastAsia="Calibri" w:hAnsi="Calibri"/>
          <w:sz w:val="20"/>
          <w:szCs w:val="20"/>
          <w:color w:val="auto"/>
        </w:rPr>
        <w:t>requiring us to sell debt or equity securities or to sell some of our core assets, possibly on unfavorable terms, to meet payment obligations;</w:t>
      </w:r>
    </w:p>
    <w:p>
      <w:pPr>
        <w:spacing w:after="0" w:line="94" w:lineRule="exact"/>
        <w:rPr>
          <w:rFonts w:ascii="Symbol" w:cs="Symbol" w:eastAsia="Symbol" w:hAnsi="Symbol"/>
          <w:sz w:val="20"/>
          <w:szCs w:val="20"/>
          <w:color w:val="auto"/>
        </w:rPr>
      </w:pPr>
    </w:p>
    <w:p>
      <w:pPr>
        <w:ind w:left="980" w:hanging="483"/>
        <w:spacing w:after="0"/>
        <w:tabs>
          <w:tab w:leader="none" w:pos="980" w:val="left"/>
        </w:tabs>
        <w:numPr>
          <w:ilvl w:val="0"/>
          <w:numId w:val="36"/>
        </w:numPr>
        <w:rPr>
          <w:rFonts w:ascii="Symbol" w:cs="Symbol" w:eastAsia="Symbol" w:hAnsi="Symbol"/>
          <w:sz w:val="20"/>
          <w:szCs w:val="20"/>
          <w:color w:val="auto"/>
        </w:rPr>
      </w:pPr>
      <w:r>
        <w:rPr>
          <w:rFonts w:ascii="Calibri" w:cs="Calibri" w:eastAsia="Calibri" w:hAnsi="Calibri"/>
          <w:sz w:val="20"/>
          <w:szCs w:val="20"/>
          <w:color w:val="auto"/>
        </w:rPr>
        <w:t>limiting our flexibility in planning for, or reacting to, changes in our business and the industries in which we compete; and</w:t>
      </w:r>
    </w:p>
    <w:p>
      <w:pPr>
        <w:spacing w:after="0" w:line="118" w:lineRule="exact"/>
        <w:rPr>
          <w:rFonts w:ascii="Symbol" w:cs="Symbol" w:eastAsia="Symbol" w:hAnsi="Symbol"/>
          <w:sz w:val="20"/>
          <w:szCs w:val="20"/>
          <w:color w:val="auto"/>
        </w:rPr>
      </w:pPr>
    </w:p>
    <w:p>
      <w:pPr>
        <w:ind w:left="980" w:hanging="483"/>
        <w:spacing w:after="0" w:line="253" w:lineRule="auto"/>
        <w:tabs>
          <w:tab w:leader="none" w:pos="980" w:val="left"/>
        </w:tabs>
        <w:numPr>
          <w:ilvl w:val="0"/>
          <w:numId w:val="36"/>
        </w:numPr>
        <w:rPr>
          <w:rFonts w:ascii="Symbol" w:cs="Symbol" w:eastAsia="Symbol" w:hAnsi="Symbol"/>
          <w:sz w:val="20"/>
          <w:szCs w:val="20"/>
          <w:color w:val="auto"/>
        </w:rPr>
      </w:pPr>
      <w:r>
        <w:rPr>
          <w:rFonts w:ascii="Calibri" w:cs="Calibri" w:eastAsia="Calibri" w:hAnsi="Calibri"/>
          <w:sz w:val="20"/>
          <w:szCs w:val="20"/>
          <w:color w:val="auto"/>
        </w:rPr>
        <w:t>placing us at a possible competitive disadvantage with less leveraged competitors and competitors that may have better access to capital resources.</w:t>
      </w:r>
    </w:p>
    <w:p>
      <w:pPr>
        <w:spacing w:after="0" w:line="204" w:lineRule="exact"/>
        <w:rPr>
          <w:sz w:val="20"/>
          <w:szCs w:val="20"/>
          <w:color w:val="auto"/>
        </w:rPr>
      </w:pPr>
    </w:p>
    <w:p>
      <w:pPr>
        <w:ind w:left="500"/>
        <w:spacing w:after="0"/>
        <w:rPr>
          <w:sz w:val="20"/>
          <w:szCs w:val="20"/>
          <w:color w:val="auto"/>
        </w:rPr>
      </w:pPr>
      <w:r>
        <w:rPr>
          <w:rFonts w:ascii="Calibri" w:cs="Calibri" w:eastAsia="Calibri" w:hAnsi="Calibri"/>
          <w:sz w:val="20"/>
          <w:szCs w:val="20"/>
          <w:color w:val="auto"/>
        </w:rPr>
        <w:t>Any of the foregoing factors could have negative consequences on our financial condition and results of operations.</w:t>
      </w:r>
    </w:p>
    <w:p>
      <w:pPr>
        <w:spacing w:after="0" w:line="239"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This indebtedness could be due sooner upon the triggering of certain covenants in our debt agreements and or upon the occurrence of an event of default. If and when our indebtedness becomes due, if we do not have sufficient cash or access to capital to pay such indebtedness, we will default on our obligations which will adversely harm our business. We entered into the 2029 Loan Agreement that contains affirmative and negative covenants that restrict our operations, including, among other restrictions, the requirement to maintain certain levels of cash and cash equivalents. Further, the 2029 Loan Agreement includes certain other affirmative covenants and negative covenants, including, covenants and restrictions that among other things, restrict our ability to incur liens, incur additional indebtedness, make investments, engage in certain mergers and acquisitions or asset sales, and declare dividends or redeem or repurchase capital stock. We may need to request waivers from time to time with respect to the 2029 Loan Agreement and if we are unable to obtain a waiver that we need it could materially impact our business and financial results.</w:t>
      </w:r>
    </w:p>
    <w:p>
      <w:pPr>
        <w:spacing w:after="0" w:line="220" w:lineRule="exact"/>
        <w:rPr>
          <w:sz w:val="20"/>
          <w:szCs w:val="20"/>
          <w:color w:val="auto"/>
        </w:rPr>
      </w:pPr>
    </w:p>
    <w:p>
      <w:pPr>
        <w:jc w:val="both"/>
        <w:spacing w:after="0" w:line="251" w:lineRule="auto"/>
        <w:rPr>
          <w:sz w:val="20"/>
          <w:szCs w:val="20"/>
          <w:color w:val="auto"/>
        </w:rPr>
      </w:pPr>
      <w:r>
        <w:rPr>
          <w:rFonts w:ascii="Calibri" w:cs="Calibri" w:eastAsia="Calibri" w:hAnsi="Calibri"/>
          <w:sz w:val="20"/>
          <w:szCs w:val="20"/>
          <w:b w:val="1"/>
          <w:bCs w:val="1"/>
          <w:i w:val="1"/>
          <w:iCs w:val="1"/>
          <w:color w:val="auto"/>
        </w:rPr>
        <w:t>Future sales and issuances of our common stock or rights to purchase common stock, including pursuant to our equity incentive plans and convertible notes, could result in additional dilution of the percentage ownership of our stockholders and could cause our stock price to fall.</w:t>
      </w:r>
    </w:p>
    <w:p>
      <w:pPr>
        <w:spacing w:after="0" w:line="208"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We have needed and anticipate we will need additional capital in the future to continue our planned operations. To the extent that we raise additional capital by issuing equity securities, our stockholders may experience substantial dilution. Similar to prior or ongoing financing transactions,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 In addition, if we raise additional funds through licensing arrangements, it may be necessary to grant potentially valuable rights to our product candidates or grant licenses on terms that are not favorable to us.</w:t>
      </w:r>
    </w:p>
    <w:p>
      <w:pPr>
        <w:spacing w:after="0" w:line="216"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Pursuant to our Amended and Restated 2014 Equity Incentive Award Plan (the “2014 Plan”), our management is authorized to grant stock options and other equity-based awards to our employees, directors and consultants. Any increase in the number of shares available for future grant under the 2014 Plan must be approved by our stockholders. Pursuant to our 2014 Employee Stock Purchase Plan (“ESPP”), eligible employees are able to acquire shares of our common stock at a discount to the prevailing market price. Pursuant to our 2016 Employment Commencement Incentive Plan (the “2016 Plan”), our management was authorized to grant stock options and other equity-based awards to our new employees, however in connection with the approval of the 2014 Plan in 2024, we agreed that we would not make any new awards under the 2016 Plan after the effective date of the 2014 Plan.</w:t>
      </w:r>
    </w:p>
    <w:p>
      <w:pPr>
        <w:sectPr>
          <w:pgSz w:w="12240" w:h="15840" w:orient="portrait"/>
          <w:cols w:equalWidth="0" w:num="1">
            <w:col w:w="11160"/>
          </w:cols>
          <w:pgMar w:left="540" w:top="530"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49</w:t>
      </w:r>
    </w:p>
    <w:p>
      <w:pPr>
        <w:sectPr>
          <w:pgSz w:w="12240" w:h="15840" w:orient="portrait"/>
          <w:cols w:equalWidth="0" w:num="1">
            <w:col w:w="11160"/>
          </w:cols>
          <w:pgMar w:left="540" w:top="530" w:right="540" w:bottom="9" w:gutter="0" w:footer="0" w:header="0"/>
          <w:type w:val="continuous"/>
        </w:sectPr>
      </w:pPr>
    </w:p>
    <w:bookmarkStart w:id="51" w:name="page52"/>
    <w:bookmarkEnd w:id="51"/>
    <w:p>
      <w:pPr>
        <w:jc w:val="both"/>
        <w:spacing w:after="0" w:line="251" w:lineRule="auto"/>
        <w:rPr>
          <w:sz w:val="20"/>
          <w:szCs w:val="20"/>
          <w:color w:val="auto"/>
        </w:rPr>
      </w:pPr>
      <w:r>
        <w:rPr>
          <w:rFonts w:ascii="Calibri" w:cs="Calibri" w:eastAsia="Calibri" w:hAnsi="Calibri"/>
          <w:sz w:val="20"/>
          <w:szCs w:val="20"/>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business operations, financial condition, results of operations and prospects.</w:t>
      </w:r>
    </w:p>
    <w:p>
      <w:pPr>
        <w:spacing w:after="0" w:line="208" w:lineRule="exact"/>
        <w:rPr>
          <w:sz w:val="20"/>
          <w:szCs w:val="20"/>
          <w:color w:val="auto"/>
        </w:rPr>
      </w:pPr>
    </w:p>
    <w:p>
      <w:pPr>
        <w:jc w:val="both"/>
        <w:ind w:firstLine="490"/>
        <w:spacing w:after="0" w:line="241" w:lineRule="auto"/>
        <w:rPr>
          <w:sz w:val="20"/>
          <w:szCs w:val="20"/>
          <w:color w:val="auto"/>
        </w:rPr>
      </w:pPr>
      <w:r>
        <w:rPr>
          <w:rFonts w:ascii="Calibri" w:cs="Calibri" w:eastAsia="Calibri" w:hAnsi="Calibri"/>
          <w:sz w:val="20"/>
          <w:szCs w:val="20"/>
          <w:color w:val="auto"/>
        </w:rPr>
        <w:t>Our cash and cash equivalents are deposited or invested with several banks and other financial institutions. Actual events involving reduced or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in March 2023, Silicon Valley Bank was closed and taken over by the Federal Deposit Insurance Corporation and subsequently had all of its customer deposits and other liabilities and substantially all loans and other assets acquired by First-Citizens Bank &amp; Trust Company. We had approximately $172.1 million of cash, cash equivalents and marketable securities as of December 31, 2025 with the majority held by custodians or in money market mutual funds that are not bank deposits. Our bank deposits are primarily held in accounts at two large banks that we believe to be stable at this time. Actual and perceived stability of banks can change from time to time and adverse perceptions by customers or investors about the banks where we deposit money could result in a material and adverse effect on our ability to access necessary cash.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access funds for our basic operating expenses, financial obligations, payroll or fulfill our other important obligations. Any of these impacts, or any other impacts resulting from the factors described above or other related or similar factors not described above, could have material adverse impacts on our liquidity, business operations, financial condition, results of operations and prospects.</w:t>
      </w:r>
    </w:p>
    <w:p>
      <w:pPr>
        <w:spacing w:after="0" w:line="22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We do not intend to pay cash dividends on our common stock so any returns would be limited to the value of our stock.</w:t>
      </w:r>
    </w:p>
    <w:p>
      <w:pPr>
        <w:spacing w:after="0" w:line="240"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We have never declared or paid any cash dividends on our common stock. We currently anticipate that we will retain any future earnings for the development, operation and expansion of our business and do not anticipate declaring or paying any cash dividends for the foreseeable future. Any potential return to stockholders would therefore be limited to the appreciation of their stock, if any.</w:t>
      </w:r>
    </w:p>
    <w:p>
      <w:pPr>
        <w:spacing w:after="0" w:line="205" w:lineRule="exact"/>
        <w:rPr>
          <w:sz w:val="20"/>
          <w:szCs w:val="20"/>
          <w:color w:val="auto"/>
        </w:rPr>
      </w:pPr>
    </w:p>
    <w:p>
      <w:pPr>
        <w:jc w:val="both"/>
        <w:spacing w:after="0" w:line="251" w:lineRule="auto"/>
        <w:rPr>
          <w:sz w:val="20"/>
          <w:szCs w:val="20"/>
          <w:color w:val="auto"/>
        </w:rPr>
      </w:pPr>
      <w:r>
        <w:rPr>
          <w:rFonts w:ascii="Calibri" w:cs="Calibri" w:eastAsia="Calibri" w:hAnsi="Calibri"/>
          <w:sz w:val="20"/>
          <w:szCs w:val="20"/>
          <w:b w:val="1"/>
          <w:bCs w:val="1"/>
          <w:i w:val="1"/>
          <w:iCs w:val="1"/>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w:t>
      </w:r>
    </w:p>
    <w:p>
      <w:pPr>
        <w:spacing w:after="0" w:line="208"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97" w:lineRule="exact"/>
        <w:rPr>
          <w:sz w:val="20"/>
          <w:szCs w:val="20"/>
          <w:color w:val="auto"/>
        </w:rPr>
      </w:pPr>
    </w:p>
    <w:p>
      <w:pPr>
        <w:ind w:left="980" w:right="20" w:hanging="483"/>
        <w:spacing w:after="0" w:line="253" w:lineRule="auto"/>
        <w:tabs>
          <w:tab w:leader="none" w:pos="980" w:val="left"/>
        </w:tabs>
        <w:numPr>
          <w:ilvl w:val="0"/>
          <w:numId w:val="37"/>
        </w:numPr>
        <w:rPr>
          <w:rFonts w:ascii="Symbol" w:cs="Symbol" w:eastAsia="Symbol" w:hAnsi="Symbol"/>
          <w:sz w:val="20"/>
          <w:szCs w:val="20"/>
          <w:color w:val="auto"/>
        </w:rPr>
      </w:pPr>
      <w:r>
        <w:rPr>
          <w:rFonts w:ascii="Calibri" w:cs="Calibri" w:eastAsia="Calibri" w:hAnsi="Calibri"/>
          <w:sz w:val="20"/>
          <w:szCs w:val="20"/>
          <w:color w:val="auto"/>
        </w:rPr>
        <w:t>authorize “blank check” preferred stock, which could be issued by our board of directors without stockholder approval and may contain voting, liquidation, dividend and other rights superior to our common stock;</w:t>
      </w:r>
    </w:p>
    <w:p>
      <w:pPr>
        <w:spacing w:after="0" w:line="94" w:lineRule="exact"/>
        <w:rPr>
          <w:rFonts w:ascii="Symbol" w:cs="Symbol" w:eastAsia="Symbol" w:hAnsi="Symbol"/>
          <w:sz w:val="20"/>
          <w:szCs w:val="20"/>
          <w:color w:val="auto"/>
        </w:rPr>
      </w:pPr>
    </w:p>
    <w:p>
      <w:pPr>
        <w:ind w:left="980" w:hanging="483"/>
        <w:spacing w:after="0"/>
        <w:tabs>
          <w:tab w:leader="none" w:pos="980" w:val="left"/>
        </w:tabs>
        <w:numPr>
          <w:ilvl w:val="0"/>
          <w:numId w:val="37"/>
        </w:numPr>
        <w:rPr>
          <w:rFonts w:ascii="Symbol" w:cs="Symbol" w:eastAsia="Symbol" w:hAnsi="Symbol"/>
          <w:sz w:val="20"/>
          <w:szCs w:val="20"/>
          <w:color w:val="auto"/>
        </w:rPr>
      </w:pPr>
      <w:r>
        <w:rPr>
          <w:rFonts w:ascii="Calibri" w:cs="Calibri" w:eastAsia="Calibri" w:hAnsi="Calibri"/>
          <w:sz w:val="20"/>
          <w:szCs w:val="20"/>
          <w:color w:val="auto"/>
        </w:rPr>
        <w:t>create a classified board of directors whose members serve staggered three-year terms;</w:t>
      </w:r>
    </w:p>
    <w:p>
      <w:pPr>
        <w:spacing w:after="0" w:line="118" w:lineRule="exact"/>
        <w:rPr>
          <w:rFonts w:ascii="Symbol" w:cs="Symbol" w:eastAsia="Symbol" w:hAnsi="Symbol"/>
          <w:sz w:val="20"/>
          <w:szCs w:val="20"/>
          <w:color w:val="auto"/>
        </w:rPr>
      </w:pPr>
    </w:p>
    <w:p>
      <w:pPr>
        <w:ind w:left="980" w:hanging="483"/>
        <w:spacing w:after="0" w:line="253" w:lineRule="auto"/>
        <w:tabs>
          <w:tab w:leader="none" w:pos="980" w:val="left"/>
        </w:tabs>
        <w:numPr>
          <w:ilvl w:val="0"/>
          <w:numId w:val="37"/>
        </w:numPr>
        <w:rPr>
          <w:rFonts w:ascii="Symbol" w:cs="Symbol" w:eastAsia="Symbol" w:hAnsi="Symbol"/>
          <w:sz w:val="20"/>
          <w:szCs w:val="20"/>
          <w:color w:val="auto"/>
        </w:rPr>
      </w:pPr>
      <w:r>
        <w:rPr>
          <w:rFonts w:ascii="Calibri" w:cs="Calibri" w:eastAsia="Calibri" w:hAnsi="Calibri"/>
          <w:sz w:val="20"/>
          <w:szCs w:val="20"/>
          <w:color w:val="auto"/>
        </w:rPr>
        <w:t>specify that special meetings of our stockholders can be called only by our corporate secretary pursuant to a resolution adopted by a majority of our board of directors;</w:t>
      </w:r>
    </w:p>
    <w:p>
      <w:pPr>
        <w:spacing w:after="0" w:line="94" w:lineRule="exact"/>
        <w:rPr>
          <w:rFonts w:ascii="Symbol" w:cs="Symbol" w:eastAsia="Symbol" w:hAnsi="Symbol"/>
          <w:sz w:val="20"/>
          <w:szCs w:val="20"/>
          <w:color w:val="auto"/>
        </w:rPr>
      </w:pPr>
    </w:p>
    <w:p>
      <w:pPr>
        <w:ind w:left="980" w:hanging="483"/>
        <w:spacing w:after="0"/>
        <w:tabs>
          <w:tab w:leader="none" w:pos="980" w:val="left"/>
        </w:tabs>
        <w:numPr>
          <w:ilvl w:val="0"/>
          <w:numId w:val="37"/>
        </w:numPr>
        <w:rPr>
          <w:rFonts w:ascii="Symbol" w:cs="Symbol" w:eastAsia="Symbol" w:hAnsi="Symbol"/>
          <w:sz w:val="20"/>
          <w:szCs w:val="20"/>
          <w:color w:val="auto"/>
        </w:rPr>
      </w:pPr>
      <w:r>
        <w:rPr>
          <w:rFonts w:ascii="Calibri" w:cs="Calibri" w:eastAsia="Calibri" w:hAnsi="Calibri"/>
          <w:sz w:val="20"/>
          <w:szCs w:val="20"/>
          <w:color w:val="auto"/>
        </w:rPr>
        <w:t>prohibit stockholder action by written consent;</w:t>
      </w:r>
    </w:p>
    <w:p>
      <w:pPr>
        <w:spacing w:after="0" w:line="119" w:lineRule="exact"/>
        <w:rPr>
          <w:rFonts w:ascii="Symbol" w:cs="Symbol" w:eastAsia="Symbol" w:hAnsi="Symbol"/>
          <w:sz w:val="20"/>
          <w:szCs w:val="20"/>
          <w:color w:val="auto"/>
        </w:rPr>
      </w:pPr>
    </w:p>
    <w:p>
      <w:pPr>
        <w:jc w:val="both"/>
        <w:ind w:left="980" w:hanging="483"/>
        <w:spacing w:after="0" w:line="245" w:lineRule="auto"/>
        <w:tabs>
          <w:tab w:leader="none" w:pos="980" w:val="left"/>
        </w:tabs>
        <w:numPr>
          <w:ilvl w:val="0"/>
          <w:numId w:val="37"/>
        </w:numPr>
        <w:rPr>
          <w:rFonts w:ascii="Symbol" w:cs="Symbol" w:eastAsia="Symbol" w:hAnsi="Symbol"/>
          <w:sz w:val="20"/>
          <w:szCs w:val="20"/>
          <w:color w:val="auto"/>
        </w:rPr>
      </w:pPr>
      <w:r>
        <w:rPr>
          <w:rFonts w:ascii="Calibri" w:cs="Calibri" w:eastAsia="Calibri" w:hAnsi="Calibri"/>
          <w:sz w:val="20"/>
          <w:szCs w:val="20"/>
          <w:color w:val="auto"/>
        </w:rPr>
        <w:t>establish an advance notice procedure for stockholder approvals to be brought before an annual meeting of our stockholders, including proposed nominations of persons for election to our board of directors other than nominations made by or at the direction of the board of directors or a committee of the board of directors;</w:t>
      </w:r>
    </w:p>
    <w:p>
      <w:pPr>
        <w:spacing w:after="0" w:line="104" w:lineRule="exact"/>
        <w:rPr>
          <w:rFonts w:ascii="Symbol" w:cs="Symbol" w:eastAsia="Symbol" w:hAnsi="Symbol"/>
          <w:sz w:val="20"/>
          <w:szCs w:val="20"/>
          <w:color w:val="auto"/>
        </w:rPr>
      </w:pPr>
    </w:p>
    <w:p>
      <w:pPr>
        <w:ind w:left="980" w:hanging="483"/>
        <w:spacing w:after="0" w:line="251" w:lineRule="auto"/>
        <w:tabs>
          <w:tab w:leader="none" w:pos="980" w:val="left"/>
        </w:tabs>
        <w:numPr>
          <w:ilvl w:val="0"/>
          <w:numId w:val="37"/>
        </w:numPr>
        <w:rPr>
          <w:rFonts w:ascii="Symbol" w:cs="Symbol" w:eastAsia="Symbol" w:hAnsi="Symbol"/>
          <w:sz w:val="20"/>
          <w:szCs w:val="20"/>
          <w:color w:val="auto"/>
        </w:rPr>
      </w:pPr>
      <w:r>
        <w:rPr>
          <w:rFonts w:ascii="Calibri" w:cs="Calibri" w:eastAsia="Calibri" w:hAnsi="Calibri"/>
          <w:sz w:val="20"/>
          <w:szCs w:val="20"/>
          <w:color w:val="auto"/>
        </w:rPr>
        <w:t>provide that our directors may be removed only for cause or without cause by the holders of 66 2/3% of the voting power of all then outstanding shares of voting stock;</w:t>
      </w:r>
    </w:p>
    <w:p>
      <w:pPr>
        <w:spacing w:after="0" w:line="97" w:lineRule="exact"/>
        <w:rPr>
          <w:rFonts w:ascii="Symbol" w:cs="Symbol" w:eastAsia="Symbol" w:hAnsi="Symbol"/>
          <w:sz w:val="20"/>
          <w:szCs w:val="20"/>
          <w:color w:val="auto"/>
        </w:rPr>
      </w:pPr>
    </w:p>
    <w:p>
      <w:pPr>
        <w:ind w:left="980" w:hanging="483"/>
        <w:spacing w:after="0" w:line="252" w:lineRule="auto"/>
        <w:tabs>
          <w:tab w:leader="none" w:pos="980" w:val="left"/>
        </w:tabs>
        <w:numPr>
          <w:ilvl w:val="0"/>
          <w:numId w:val="37"/>
        </w:numPr>
        <w:rPr>
          <w:rFonts w:ascii="Symbol" w:cs="Symbol" w:eastAsia="Symbol" w:hAnsi="Symbol"/>
          <w:sz w:val="20"/>
          <w:szCs w:val="20"/>
          <w:color w:val="auto"/>
        </w:rPr>
      </w:pPr>
      <w:r>
        <w:rPr>
          <w:rFonts w:ascii="Calibri" w:cs="Calibri" w:eastAsia="Calibri" w:hAnsi="Calibri"/>
          <w:sz w:val="20"/>
          <w:szCs w:val="20"/>
          <w:color w:val="auto"/>
        </w:rPr>
        <w:t>provide that vacancies on our board of directors may be filled only by a majority of directors then in office, even though less than a quorum;</w:t>
      </w:r>
    </w:p>
    <w:p>
      <w:pPr>
        <w:spacing w:after="0" w:line="95" w:lineRule="exact"/>
        <w:rPr>
          <w:rFonts w:ascii="Symbol" w:cs="Symbol" w:eastAsia="Symbol" w:hAnsi="Symbol"/>
          <w:sz w:val="20"/>
          <w:szCs w:val="20"/>
          <w:color w:val="auto"/>
        </w:rPr>
      </w:pPr>
    </w:p>
    <w:p>
      <w:pPr>
        <w:ind w:left="980" w:hanging="483"/>
        <w:spacing w:after="0"/>
        <w:tabs>
          <w:tab w:leader="none" w:pos="980" w:val="left"/>
        </w:tabs>
        <w:numPr>
          <w:ilvl w:val="0"/>
          <w:numId w:val="37"/>
        </w:numPr>
        <w:rPr>
          <w:rFonts w:ascii="Symbol" w:cs="Symbol" w:eastAsia="Symbol" w:hAnsi="Symbol"/>
          <w:sz w:val="20"/>
          <w:szCs w:val="20"/>
          <w:color w:val="auto"/>
        </w:rPr>
      </w:pPr>
      <w:r>
        <w:rPr>
          <w:rFonts w:ascii="Calibri" w:cs="Calibri" w:eastAsia="Calibri" w:hAnsi="Calibri"/>
          <w:sz w:val="20"/>
          <w:szCs w:val="20"/>
          <w:color w:val="auto"/>
        </w:rPr>
        <w:t>specify that no stockholder is permitted to cumulate votes at any election of directors;</w:t>
      </w:r>
    </w:p>
    <w:p>
      <w:pPr>
        <w:sectPr>
          <w:pgSz w:w="12240" w:h="15840" w:orient="portrait"/>
          <w:cols w:equalWidth="0" w:num="1">
            <w:col w:w="11160"/>
          </w:cols>
          <w:pgMar w:left="540" w:top="530"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50</w:t>
      </w:r>
    </w:p>
    <w:p>
      <w:pPr>
        <w:sectPr>
          <w:pgSz w:w="12240" w:h="15840" w:orient="portrait"/>
          <w:cols w:equalWidth="0" w:num="1">
            <w:col w:w="11160"/>
          </w:cols>
          <w:pgMar w:left="540" w:top="530" w:right="540" w:bottom="9" w:gutter="0" w:footer="0" w:header="0"/>
          <w:type w:val="continuous"/>
        </w:sectPr>
      </w:pPr>
    </w:p>
    <w:bookmarkStart w:id="52" w:name="page53"/>
    <w:bookmarkEnd w:id="52"/>
    <w:p>
      <w:pPr>
        <w:ind w:left="980" w:hanging="483"/>
        <w:spacing w:after="0"/>
        <w:tabs>
          <w:tab w:leader="none" w:pos="980" w:val="left"/>
        </w:tabs>
        <w:numPr>
          <w:ilvl w:val="0"/>
          <w:numId w:val="38"/>
        </w:numPr>
        <w:rPr>
          <w:rFonts w:ascii="Symbol" w:cs="Symbol" w:eastAsia="Symbol" w:hAnsi="Symbol"/>
          <w:sz w:val="20"/>
          <w:szCs w:val="20"/>
          <w:color w:val="auto"/>
        </w:rPr>
      </w:pPr>
      <w:r>
        <w:rPr>
          <w:rFonts w:ascii="Calibri" w:cs="Calibri" w:eastAsia="Calibri" w:hAnsi="Calibri"/>
          <w:sz w:val="20"/>
          <w:szCs w:val="20"/>
          <w:color w:val="auto"/>
        </w:rPr>
        <w:t>expressly authorize our board of directors to modify, alter or repeal our amended and restated bylaws; and</w:t>
      </w:r>
    </w:p>
    <w:p>
      <w:pPr>
        <w:spacing w:after="0" w:line="118" w:lineRule="exact"/>
        <w:rPr>
          <w:rFonts w:ascii="Symbol" w:cs="Symbol" w:eastAsia="Symbol" w:hAnsi="Symbol"/>
          <w:sz w:val="20"/>
          <w:szCs w:val="20"/>
          <w:color w:val="auto"/>
        </w:rPr>
      </w:pPr>
    </w:p>
    <w:p>
      <w:pPr>
        <w:jc w:val="both"/>
        <w:ind w:left="980" w:hanging="483"/>
        <w:spacing w:after="0" w:line="246" w:lineRule="auto"/>
        <w:tabs>
          <w:tab w:leader="none" w:pos="980" w:val="left"/>
        </w:tabs>
        <w:numPr>
          <w:ilvl w:val="0"/>
          <w:numId w:val="38"/>
        </w:numPr>
        <w:rPr>
          <w:rFonts w:ascii="Symbol" w:cs="Symbol" w:eastAsia="Symbol" w:hAnsi="Symbol"/>
          <w:sz w:val="20"/>
          <w:szCs w:val="20"/>
          <w:color w:val="auto"/>
        </w:rPr>
      </w:pPr>
      <w:r>
        <w:rPr>
          <w:rFonts w:ascii="Calibri" w:cs="Calibri" w:eastAsia="Calibri" w:hAnsi="Calibri"/>
          <w:sz w:val="20"/>
          <w:szCs w:val="20"/>
          <w:color w:val="auto"/>
        </w:rPr>
        <w:t>require holders of 66 2/3% of the voting power of all then outstanding shares of voting stock to amend specified provisions of our amended and restated certificate of incorporation except for the provision making it possible for our board of directors to issue “blank check” preferred stock, and amended and restated bylaws.</w:t>
      </w:r>
    </w:p>
    <w:p>
      <w:pPr>
        <w:spacing w:after="0" w:line="210" w:lineRule="exact"/>
        <w:rPr>
          <w:sz w:val="20"/>
          <w:szCs w:val="20"/>
          <w:color w:val="auto"/>
        </w:rPr>
      </w:pPr>
    </w:p>
    <w:p>
      <w:pPr>
        <w:jc w:val="both"/>
        <w:ind w:firstLine="490"/>
        <w:spacing w:after="0" w:line="263" w:lineRule="auto"/>
        <w:rPr>
          <w:sz w:val="20"/>
          <w:szCs w:val="20"/>
          <w:color w:val="auto"/>
        </w:rPr>
      </w:pPr>
      <w:r>
        <w:rPr>
          <w:rFonts w:ascii="Calibri" w:cs="Calibri" w:eastAsia="Calibri" w:hAnsi="Calibri"/>
          <w:sz w:val="20"/>
          <w:szCs w:val="20"/>
          <w:color w:val="auto"/>
        </w:rPr>
        <w:t>These provisions, alone or together, could delay, deter or prevent hostile takeovers and changes in control or changes in our management.</w:t>
      </w:r>
    </w:p>
    <w:p>
      <w:pPr>
        <w:spacing w:after="0" w:line="193"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207"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General Risk Factors</w:t>
      </w:r>
    </w:p>
    <w:p>
      <w:pPr>
        <w:spacing w:after="0" w:line="238" w:lineRule="exact"/>
        <w:rPr>
          <w:sz w:val="20"/>
          <w:szCs w:val="20"/>
          <w:color w:val="auto"/>
        </w:rPr>
      </w:pPr>
    </w:p>
    <w:p>
      <w:pPr>
        <w:jc w:val="both"/>
        <w:spacing w:after="0" w:line="263" w:lineRule="auto"/>
        <w:rPr>
          <w:sz w:val="20"/>
          <w:szCs w:val="20"/>
          <w:color w:val="auto"/>
        </w:rPr>
      </w:pPr>
      <w:r>
        <w:rPr>
          <w:rFonts w:ascii="Calibri" w:cs="Calibri" w:eastAsia="Calibri" w:hAnsi="Calibri"/>
          <w:sz w:val="20"/>
          <w:szCs w:val="20"/>
          <w:b w:val="1"/>
          <w:bCs w:val="1"/>
          <w:i w:val="1"/>
          <w:iCs w:val="1"/>
          <w:color w:val="auto"/>
        </w:rPr>
        <w:t>We depend on a limited number of wholesalers for a significant amount of our total revenue, and if we lose any of our significant wholesalers, our business could be harmed.</w:t>
      </w:r>
    </w:p>
    <w:p>
      <w:pPr>
        <w:spacing w:after="0" w:line="195"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We sell our product to wholesalers and distributors and the wholesalers and distributors then resell to hospitals and clinics pursuant to contracts with us. The majority of our revenue comes from a limited number of wholesalers. In 2025, three wholesalers individually comprised approximately 43%, 36%, and 20%, respectively, of our total gross product revenue from continuing operations. We expect that revenue from a limited number of wholesalers will continue to account for a large portion of our revenue in the future. The loss by us of any of these wholesalers, or a material reduction in their purchases or their market pricing, could harm our business, results of operations, financial condition and prospects. In addition, if any of these wholesalers were to fail to pay us in a timely manner, it could harm our cash flow.</w:t>
      </w:r>
    </w:p>
    <w:p>
      <w:pPr>
        <w:spacing w:after="0" w:line="217" w:lineRule="exact"/>
        <w:rPr>
          <w:sz w:val="20"/>
          <w:szCs w:val="20"/>
          <w:color w:val="auto"/>
        </w:rPr>
      </w:pPr>
    </w:p>
    <w:p>
      <w:pPr>
        <w:jc w:val="both"/>
        <w:spacing w:after="0" w:line="263" w:lineRule="auto"/>
        <w:rPr>
          <w:sz w:val="20"/>
          <w:szCs w:val="20"/>
          <w:color w:val="auto"/>
        </w:rPr>
      </w:pPr>
      <w:r>
        <w:rPr>
          <w:rFonts w:ascii="Calibri" w:cs="Calibri" w:eastAsia="Calibri" w:hAnsi="Calibri"/>
          <w:sz w:val="20"/>
          <w:szCs w:val="20"/>
          <w:b w:val="1"/>
          <w:bCs w:val="1"/>
          <w:i w:val="1"/>
          <w:iCs w:val="1"/>
          <w:color w:val="auto"/>
        </w:rPr>
        <w:t>The international aspects of our business expose us to business, regulatory, political, operational, financial and economic risks associated with doing business outside of the United States.</w:t>
      </w:r>
    </w:p>
    <w:p>
      <w:pPr>
        <w:spacing w:after="0" w:line="195"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We currently have limited international operations of our own and have and may have in the future a number of international collaborations, including our significant collaboration with Junshi Biosciences in China. Doing business internationally involves a number of risks, including but not limited to:</w:t>
      </w:r>
    </w:p>
    <w:p>
      <w:pPr>
        <w:spacing w:after="0" w:line="98" w:lineRule="exact"/>
        <w:rPr>
          <w:sz w:val="20"/>
          <w:szCs w:val="20"/>
          <w:color w:val="auto"/>
        </w:rPr>
      </w:pPr>
    </w:p>
    <w:p>
      <w:pPr>
        <w:jc w:val="both"/>
        <w:ind w:left="720" w:hanging="353"/>
        <w:spacing w:after="0" w:line="246" w:lineRule="auto"/>
        <w:tabs>
          <w:tab w:leader="none" w:pos="720" w:val="left"/>
        </w:tabs>
        <w:numPr>
          <w:ilvl w:val="0"/>
          <w:numId w:val="39"/>
        </w:numPr>
        <w:rPr>
          <w:rFonts w:ascii="Symbol" w:cs="Symbol" w:eastAsia="Symbol" w:hAnsi="Symbol"/>
          <w:sz w:val="20"/>
          <w:szCs w:val="20"/>
          <w:color w:val="auto"/>
        </w:rPr>
      </w:pPr>
      <w:r>
        <w:rPr>
          <w:rFonts w:ascii="Calibri" w:cs="Calibri" w:eastAsia="Calibri" w:hAnsi="Calibri"/>
          <w:sz w:val="20"/>
          <w:szCs w:val="20"/>
          <w:color w:val="auto"/>
        </w:rPr>
        <w:t>multiple, conflicting and changing laws and regulations such as privacy regulations, tax laws, export and import restrictions, employment laws, regulatory requirements and other governmental approvals, permits and licenses, including those that affect our work with a collaboration partner in China;</w:t>
      </w:r>
    </w:p>
    <w:p>
      <w:pPr>
        <w:spacing w:after="0" w:line="101" w:lineRule="exact"/>
        <w:rPr>
          <w:rFonts w:ascii="Symbol" w:cs="Symbol" w:eastAsia="Symbol" w:hAnsi="Symbol"/>
          <w:sz w:val="20"/>
          <w:szCs w:val="20"/>
          <w:color w:val="auto"/>
        </w:rPr>
      </w:pPr>
    </w:p>
    <w:p>
      <w:pPr>
        <w:ind w:left="720" w:hanging="353"/>
        <w:spacing w:after="0" w:line="252" w:lineRule="auto"/>
        <w:tabs>
          <w:tab w:leader="none" w:pos="720" w:val="left"/>
        </w:tabs>
        <w:numPr>
          <w:ilvl w:val="0"/>
          <w:numId w:val="39"/>
        </w:numPr>
        <w:rPr>
          <w:rFonts w:ascii="Symbol" w:cs="Symbol" w:eastAsia="Symbol" w:hAnsi="Symbol"/>
          <w:sz w:val="20"/>
          <w:szCs w:val="20"/>
          <w:color w:val="auto"/>
        </w:rPr>
      </w:pPr>
      <w:r>
        <w:rPr>
          <w:rFonts w:ascii="Calibri" w:cs="Calibri" w:eastAsia="Calibri" w:hAnsi="Calibri"/>
          <w:sz w:val="20"/>
          <w:szCs w:val="20"/>
          <w:color w:val="auto"/>
        </w:rPr>
        <w:t>failure by us or our collaboration partners to obtain and maintain regulatory approvals for the use of our product in various countries;</w:t>
      </w:r>
    </w:p>
    <w:p>
      <w:pPr>
        <w:spacing w:after="0" w:line="96" w:lineRule="exact"/>
        <w:rPr>
          <w:rFonts w:ascii="Symbol" w:cs="Symbol" w:eastAsia="Symbol" w:hAnsi="Symbol"/>
          <w:sz w:val="20"/>
          <w:szCs w:val="20"/>
          <w:color w:val="auto"/>
        </w:rPr>
      </w:pPr>
    </w:p>
    <w:p>
      <w:pPr>
        <w:ind w:left="720" w:hanging="353"/>
        <w:spacing w:after="0"/>
        <w:tabs>
          <w:tab w:leader="none" w:pos="720" w:val="left"/>
        </w:tabs>
        <w:numPr>
          <w:ilvl w:val="0"/>
          <w:numId w:val="39"/>
        </w:numPr>
        <w:rPr>
          <w:rFonts w:ascii="Symbol" w:cs="Symbol" w:eastAsia="Symbol" w:hAnsi="Symbol"/>
          <w:sz w:val="20"/>
          <w:szCs w:val="20"/>
          <w:color w:val="auto"/>
        </w:rPr>
      </w:pPr>
      <w:r>
        <w:rPr>
          <w:rFonts w:ascii="Calibri" w:cs="Calibri" w:eastAsia="Calibri" w:hAnsi="Calibri"/>
          <w:sz w:val="20"/>
          <w:szCs w:val="20"/>
          <w:color w:val="auto"/>
        </w:rPr>
        <w:t>additional potentially relevant third-party patent rights;</w:t>
      </w:r>
    </w:p>
    <w:p>
      <w:pPr>
        <w:spacing w:after="0" w:line="118" w:lineRule="exact"/>
        <w:rPr>
          <w:rFonts w:ascii="Symbol" w:cs="Symbol" w:eastAsia="Symbol" w:hAnsi="Symbol"/>
          <w:sz w:val="20"/>
          <w:szCs w:val="20"/>
          <w:color w:val="auto"/>
        </w:rPr>
      </w:pPr>
    </w:p>
    <w:p>
      <w:pPr>
        <w:ind w:left="720" w:right="120" w:hanging="353"/>
        <w:spacing w:after="0" w:line="243" w:lineRule="auto"/>
        <w:tabs>
          <w:tab w:leader="none" w:pos="720" w:val="left"/>
        </w:tabs>
        <w:numPr>
          <w:ilvl w:val="0"/>
          <w:numId w:val="39"/>
        </w:numPr>
        <w:rPr>
          <w:rFonts w:ascii="Symbol" w:cs="Symbol" w:eastAsia="Symbol" w:hAnsi="Symbol"/>
          <w:sz w:val="20"/>
          <w:szCs w:val="20"/>
          <w:color w:val="auto"/>
        </w:rPr>
      </w:pPr>
      <w:r>
        <w:rPr>
          <w:rFonts w:ascii="Calibri" w:cs="Calibri" w:eastAsia="Calibri" w:hAnsi="Calibri"/>
          <w:sz w:val="20"/>
          <w:szCs w:val="20"/>
          <w:color w:val="auto"/>
        </w:rPr>
        <w:t>foreign CMOs may be subject to U.S. legislation, sanctions, trade restrictions, new or increasing tariffs, retaliatory trade actions due to recent or future trade tension and other regulatory requirements which could increase the cost or reduce the supply of material available to us, delay the procurement or supply of such material or have an adverse effect on our ability to secure commitments from governments to purchase our product;</w:t>
      </w:r>
    </w:p>
    <w:p>
      <w:pPr>
        <w:spacing w:after="0" w:line="109" w:lineRule="exact"/>
        <w:rPr>
          <w:rFonts w:ascii="Symbol" w:cs="Symbol" w:eastAsia="Symbol" w:hAnsi="Symbol"/>
          <w:sz w:val="20"/>
          <w:szCs w:val="20"/>
          <w:color w:val="auto"/>
        </w:rPr>
      </w:pPr>
    </w:p>
    <w:p>
      <w:pPr>
        <w:ind w:left="720" w:hanging="353"/>
        <w:spacing w:after="0"/>
        <w:tabs>
          <w:tab w:leader="none" w:pos="720" w:val="left"/>
        </w:tabs>
        <w:numPr>
          <w:ilvl w:val="0"/>
          <w:numId w:val="39"/>
        </w:numPr>
        <w:rPr>
          <w:rFonts w:ascii="Symbol" w:cs="Symbol" w:eastAsia="Symbol" w:hAnsi="Symbol"/>
          <w:sz w:val="20"/>
          <w:szCs w:val="20"/>
          <w:color w:val="auto"/>
        </w:rPr>
      </w:pPr>
      <w:r>
        <w:rPr>
          <w:rFonts w:ascii="Calibri" w:cs="Calibri" w:eastAsia="Calibri" w:hAnsi="Calibri"/>
          <w:sz w:val="20"/>
          <w:szCs w:val="20"/>
          <w:color w:val="auto"/>
        </w:rPr>
        <w:t>complexities and difficulties in obtaining protection and enforcing our intellectual property;</w:t>
      </w:r>
    </w:p>
    <w:p>
      <w:pPr>
        <w:spacing w:after="0" w:line="119" w:lineRule="exact"/>
        <w:rPr>
          <w:rFonts w:ascii="Symbol" w:cs="Symbol" w:eastAsia="Symbol" w:hAnsi="Symbol"/>
          <w:sz w:val="20"/>
          <w:szCs w:val="20"/>
          <w:color w:val="auto"/>
        </w:rPr>
      </w:pPr>
    </w:p>
    <w:p>
      <w:pPr>
        <w:ind w:left="720" w:hanging="353"/>
        <w:spacing w:after="0"/>
        <w:tabs>
          <w:tab w:leader="none" w:pos="720" w:val="left"/>
        </w:tabs>
        <w:numPr>
          <w:ilvl w:val="0"/>
          <w:numId w:val="39"/>
        </w:numPr>
        <w:rPr>
          <w:rFonts w:ascii="Symbol" w:cs="Symbol" w:eastAsia="Symbol" w:hAnsi="Symbol"/>
          <w:sz w:val="20"/>
          <w:szCs w:val="20"/>
          <w:color w:val="auto"/>
        </w:rPr>
      </w:pPr>
      <w:r>
        <w:rPr>
          <w:rFonts w:ascii="Calibri" w:cs="Calibri" w:eastAsia="Calibri" w:hAnsi="Calibri"/>
          <w:sz w:val="20"/>
          <w:szCs w:val="20"/>
          <w:color w:val="auto"/>
        </w:rPr>
        <w:t>difficulties in staffing and managing foreign operations by us or our collaboration partners;</w:t>
      </w:r>
    </w:p>
    <w:p>
      <w:pPr>
        <w:spacing w:after="0" w:line="118" w:lineRule="exact"/>
        <w:rPr>
          <w:rFonts w:ascii="Symbol" w:cs="Symbol" w:eastAsia="Symbol" w:hAnsi="Symbol"/>
          <w:sz w:val="20"/>
          <w:szCs w:val="20"/>
          <w:color w:val="auto"/>
        </w:rPr>
      </w:pPr>
    </w:p>
    <w:p>
      <w:pPr>
        <w:ind w:left="720" w:hanging="353"/>
        <w:spacing w:after="0" w:line="252" w:lineRule="auto"/>
        <w:tabs>
          <w:tab w:leader="none" w:pos="720" w:val="left"/>
        </w:tabs>
        <w:numPr>
          <w:ilvl w:val="0"/>
          <w:numId w:val="39"/>
        </w:numPr>
        <w:rPr>
          <w:rFonts w:ascii="Symbol" w:cs="Symbol" w:eastAsia="Symbol" w:hAnsi="Symbol"/>
          <w:sz w:val="20"/>
          <w:szCs w:val="20"/>
          <w:color w:val="auto"/>
        </w:rPr>
      </w:pPr>
      <w:r>
        <w:rPr>
          <w:rFonts w:ascii="Calibri" w:cs="Calibri" w:eastAsia="Calibri" w:hAnsi="Calibri"/>
          <w:sz w:val="20"/>
          <w:szCs w:val="20"/>
          <w:color w:val="auto"/>
        </w:rPr>
        <w:t>complexities associated with managing multiple payer reimbursement regimes, government payers or patient self-pay systems by our collaboration partners;</w:t>
      </w:r>
    </w:p>
    <w:p>
      <w:pPr>
        <w:spacing w:after="0" w:line="96" w:lineRule="exact"/>
        <w:rPr>
          <w:rFonts w:ascii="Symbol" w:cs="Symbol" w:eastAsia="Symbol" w:hAnsi="Symbol"/>
          <w:sz w:val="20"/>
          <w:szCs w:val="20"/>
          <w:color w:val="auto"/>
        </w:rPr>
      </w:pPr>
    </w:p>
    <w:p>
      <w:pPr>
        <w:ind w:left="720" w:hanging="353"/>
        <w:spacing w:after="0"/>
        <w:tabs>
          <w:tab w:leader="none" w:pos="720" w:val="left"/>
        </w:tabs>
        <w:numPr>
          <w:ilvl w:val="0"/>
          <w:numId w:val="39"/>
        </w:numPr>
        <w:rPr>
          <w:rFonts w:ascii="Symbol" w:cs="Symbol" w:eastAsia="Symbol" w:hAnsi="Symbol"/>
          <w:sz w:val="20"/>
          <w:szCs w:val="20"/>
          <w:color w:val="auto"/>
        </w:rPr>
      </w:pPr>
      <w:r>
        <w:rPr>
          <w:rFonts w:ascii="Calibri" w:cs="Calibri" w:eastAsia="Calibri" w:hAnsi="Calibri"/>
          <w:sz w:val="20"/>
          <w:szCs w:val="20"/>
          <w:color w:val="auto"/>
        </w:rPr>
        <w:t>limits in our or our collaboration partners’ ability to penetrate international markets;</w:t>
      </w:r>
    </w:p>
    <w:p>
      <w:pPr>
        <w:spacing w:after="0" w:line="118" w:lineRule="exact"/>
        <w:rPr>
          <w:rFonts w:ascii="Symbol" w:cs="Symbol" w:eastAsia="Symbol" w:hAnsi="Symbol"/>
          <w:sz w:val="20"/>
          <w:szCs w:val="20"/>
          <w:color w:val="auto"/>
        </w:rPr>
      </w:pPr>
    </w:p>
    <w:p>
      <w:pPr>
        <w:ind w:left="720" w:hanging="353"/>
        <w:spacing w:after="0" w:line="253" w:lineRule="auto"/>
        <w:tabs>
          <w:tab w:leader="none" w:pos="720" w:val="left"/>
        </w:tabs>
        <w:numPr>
          <w:ilvl w:val="0"/>
          <w:numId w:val="39"/>
        </w:numPr>
        <w:rPr>
          <w:rFonts w:ascii="Symbol" w:cs="Symbol" w:eastAsia="Symbol" w:hAnsi="Symbol"/>
          <w:sz w:val="20"/>
          <w:szCs w:val="20"/>
          <w:color w:val="auto"/>
        </w:rPr>
      </w:pPr>
      <w:r>
        <w:rPr>
          <w:rFonts w:ascii="Calibri" w:cs="Calibri" w:eastAsia="Calibri" w:hAnsi="Calibri"/>
          <w:sz w:val="20"/>
          <w:szCs w:val="20"/>
          <w:color w:val="auto"/>
        </w:rPr>
        <w:t>financial risks, such as longer payment cycles, difficulty collecting accounts receivable, the impact of local and regional financial crises on demand and payment for our product and exposure to foreign currency exchange rate fluctuations;</w:t>
      </w:r>
    </w:p>
    <w:p>
      <w:pPr>
        <w:sectPr>
          <w:pgSz w:w="12240" w:h="15840" w:orient="portrait"/>
          <w:cols w:equalWidth="0" w:num="1">
            <w:col w:w="11160"/>
          </w:cols>
          <w:pgMar w:left="540" w:top="544" w:right="540" w:bottom="9"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51</w:t>
      </w:r>
    </w:p>
    <w:p>
      <w:pPr>
        <w:sectPr>
          <w:pgSz w:w="12240" w:h="15840" w:orient="portrait"/>
          <w:cols w:equalWidth="0" w:num="1">
            <w:col w:w="11160"/>
          </w:cols>
          <w:pgMar w:left="540" w:top="544" w:right="540" w:bottom="9" w:gutter="0" w:footer="0" w:header="0"/>
          <w:type w:val="continuous"/>
        </w:sectPr>
      </w:pPr>
    </w:p>
    <w:bookmarkStart w:id="53" w:name="page54"/>
    <w:bookmarkEnd w:id="53"/>
    <w:p>
      <w:pPr>
        <w:ind w:left="720" w:hanging="353"/>
        <w:spacing w:after="0" w:line="251" w:lineRule="auto"/>
        <w:tabs>
          <w:tab w:leader="none" w:pos="720" w:val="left"/>
        </w:tabs>
        <w:numPr>
          <w:ilvl w:val="0"/>
          <w:numId w:val="40"/>
        </w:numPr>
        <w:rPr>
          <w:rFonts w:ascii="Symbol" w:cs="Symbol" w:eastAsia="Symbol" w:hAnsi="Symbol"/>
          <w:sz w:val="20"/>
          <w:szCs w:val="20"/>
          <w:color w:val="auto"/>
        </w:rPr>
      </w:pPr>
      <w:r>
        <w:rPr>
          <w:rFonts w:ascii="Calibri" w:cs="Calibri" w:eastAsia="Calibri" w:hAnsi="Calibri"/>
          <w:sz w:val="20"/>
          <w:szCs w:val="20"/>
          <w:color w:val="auto"/>
        </w:rPr>
        <w:t>natural disasters, political and economic instability, including wars, terrorism and political unrest, outbreak of disease, boycotts, tariffs and retaliatory tariffs, curtailment of trade and other business restrictions;</w:t>
      </w:r>
    </w:p>
    <w:p>
      <w:pPr>
        <w:spacing w:after="0" w:line="98" w:lineRule="exact"/>
        <w:rPr>
          <w:rFonts w:ascii="Symbol" w:cs="Symbol" w:eastAsia="Symbol" w:hAnsi="Symbol"/>
          <w:sz w:val="20"/>
          <w:szCs w:val="20"/>
          <w:color w:val="auto"/>
        </w:rPr>
      </w:pPr>
    </w:p>
    <w:p>
      <w:pPr>
        <w:ind w:left="720" w:hanging="353"/>
        <w:spacing w:after="0"/>
        <w:tabs>
          <w:tab w:leader="none" w:pos="720" w:val="left"/>
        </w:tabs>
        <w:numPr>
          <w:ilvl w:val="0"/>
          <w:numId w:val="40"/>
        </w:numPr>
        <w:rPr>
          <w:rFonts w:ascii="Symbol" w:cs="Symbol" w:eastAsia="Symbol" w:hAnsi="Symbol"/>
          <w:sz w:val="20"/>
          <w:szCs w:val="20"/>
          <w:color w:val="auto"/>
        </w:rPr>
      </w:pPr>
      <w:r>
        <w:rPr>
          <w:rFonts w:ascii="Calibri" w:cs="Calibri" w:eastAsia="Calibri" w:hAnsi="Calibri"/>
          <w:sz w:val="20"/>
          <w:szCs w:val="20"/>
          <w:color w:val="auto"/>
        </w:rPr>
        <w:t>certain expenses including, among others, expenses for travel, translation and insurance;</w:t>
      </w:r>
    </w:p>
    <w:p>
      <w:pPr>
        <w:spacing w:after="0" w:line="118" w:lineRule="exact"/>
        <w:rPr>
          <w:rFonts w:ascii="Symbol" w:cs="Symbol" w:eastAsia="Symbol" w:hAnsi="Symbol"/>
          <w:sz w:val="20"/>
          <w:szCs w:val="20"/>
          <w:color w:val="auto"/>
        </w:rPr>
      </w:pPr>
    </w:p>
    <w:p>
      <w:pPr>
        <w:ind w:left="720" w:hanging="353"/>
        <w:spacing w:after="0" w:line="251" w:lineRule="auto"/>
        <w:tabs>
          <w:tab w:leader="none" w:pos="720" w:val="left"/>
        </w:tabs>
        <w:numPr>
          <w:ilvl w:val="0"/>
          <w:numId w:val="40"/>
        </w:numPr>
        <w:rPr>
          <w:rFonts w:ascii="Symbol" w:cs="Symbol" w:eastAsia="Symbol" w:hAnsi="Symbol"/>
          <w:sz w:val="20"/>
          <w:szCs w:val="20"/>
          <w:color w:val="auto"/>
        </w:rPr>
      </w:pPr>
      <w:r>
        <w:rPr>
          <w:rFonts w:ascii="Calibri" w:cs="Calibri" w:eastAsia="Calibri" w:hAnsi="Calibri"/>
          <w:sz w:val="20"/>
          <w:szCs w:val="20"/>
          <w:color w:val="auto"/>
        </w:rPr>
        <w:t>expose us to sanctions, such as the sanctions levied by United States, E.U. and Russian regulatory bodies in connection with the war between Russia and Ukraine; and</w:t>
      </w:r>
    </w:p>
    <w:p>
      <w:pPr>
        <w:spacing w:after="0" w:line="97" w:lineRule="exact"/>
        <w:rPr>
          <w:rFonts w:ascii="Symbol" w:cs="Symbol" w:eastAsia="Symbol" w:hAnsi="Symbol"/>
          <w:sz w:val="20"/>
          <w:szCs w:val="20"/>
          <w:color w:val="auto"/>
        </w:rPr>
      </w:pPr>
    </w:p>
    <w:p>
      <w:pPr>
        <w:jc w:val="both"/>
        <w:ind w:left="720" w:hanging="353"/>
        <w:spacing w:after="0" w:line="245" w:lineRule="auto"/>
        <w:tabs>
          <w:tab w:leader="none" w:pos="720" w:val="left"/>
        </w:tabs>
        <w:numPr>
          <w:ilvl w:val="0"/>
          <w:numId w:val="40"/>
        </w:numPr>
        <w:rPr>
          <w:rFonts w:ascii="Symbol" w:cs="Symbol" w:eastAsia="Symbol" w:hAnsi="Symbol"/>
          <w:sz w:val="20"/>
          <w:szCs w:val="20"/>
          <w:color w:val="auto"/>
        </w:rPr>
      </w:pPr>
      <w:r>
        <w:rPr>
          <w:rFonts w:ascii="Calibri" w:cs="Calibri" w:eastAsia="Calibri" w:hAnsi="Calibri"/>
          <w:sz w:val="20"/>
          <w:szCs w:val="20"/>
          <w:color w:val="auto"/>
        </w:rPr>
        <w:t>regulatory and compliance risks that relate to maintaining accurate information and control over sales and activities that may fall within the purview of the United States Foreign Corrupt Practices Act, its books and records provisions or its anti-bribery provisions.</w:t>
      </w:r>
    </w:p>
    <w:p>
      <w:pPr>
        <w:spacing w:after="0" w:line="211" w:lineRule="exact"/>
        <w:rPr>
          <w:sz w:val="20"/>
          <w:szCs w:val="20"/>
          <w:color w:val="auto"/>
        </w:rPr>
      </w:pPr>
    </w:p>
    <w:p>
      <w:pPr>
        <w:jc w:val="both"/>
        <w:spacing w:after="0" w:line="262" w:lineRule="auto"/>
        <w:rPr>
          <w:sz w:val="20"/>
          <w:szCs w:val="20"/>
          <w:color w:val="auto"/>
        </w:rPr>
      </w:pPr>
      <w:r>
        <w:rPr>
          <w:rFonts w:ascii="Calibri" w:cs="Calibri" w:eastAsia="Calibri" w:hAnsi="Calibri"/>
          <w:sz w:val="20"/>
          <w:szCs w:val="20"/>
          <w:b w:val="1"/>
          <w:bCs w:val="1"/>
          <w:i w:val="1"/>
          <w:iCs w:val="1"/>
          <w:color w:val="auto"/>
        </w:rPr>
        <w:t>Investors’ expectations of our performance relating to environmental, social and governance factors may impose additional costs and expose us to new risks.</w:t>
      </w:r>
    </w:p>
    <w:p>
      <w:pPr>
        <w:spacing w:after="0" w:line="197" w:lineRule="exact"/>
        <w:rPr>
          <w:sz w:val="20"/>
          <w:szCs w:val="20"/>
          <w:color w:val="auto"/>
        </w:rPr>
      </w:pPr>
    </w:p>
    <w:p>
      <w:pPr>
        <w:jc w:val="both"/>
        <w:ind w:firstLine="490"/>
        <w:spacing w:after="0" w:line="241" w:lineRule="auto"/>
        <w:rPr>
          <w:sz w:val="20"/>
          <w:szCs w:val="20"/>
          <w:color w:val="auto"/>
        </w:rPr>
      </w:pPr>
      <w:r>
        <w:rPr>
          <w:rFonts w:ascii="Calibri" w:cs="Calibri" w:eastAsia="Calibri" w:hAnsi="Calibri"/>
          <w:sz w:val="20"/>
          <w:szCs w:val="20"/>
          <w:color w:val="auto"/>
        </w:rPr>
        <w:t>Although the degree of focus on these factors changes over time, there is continued scrutiny from certain investors, employees, regulators and other stakeholders concerning corporate responsibility, specifically related to environmental, social and governance (“ESG”) factors. Some investors and investor advocacy groups may use these factors to guide investment strategies and, in some cases, investors may choose not to invest in our company if they believe our policies relating to corporate responsibility are inadequate. Third-party providers of corporate responsibility ratings and reports on companies have increased to meet growing investor demand for measurement of corporate responsibility performance, and a variety of organizations currently measure the performance of companies on such ESG topics, and the results of these assessments are widely publicized. Investors, particularly institutional investors, use these ratings to benchmark companies against their peers and if we are perceived as lagging with respect to ESG initiatives, certain investors may engage with us to improve ESG disclosures or performance and may also make voting decisions, or take other actions, to hold us and our board of directors accountable. In addition, the criteria by which our corporate responsibility practices are assessed may change, which could result in greater expectations of us and cause us to undertake costly initiatives to satisfy such new criteria. If we elect not to or are unable to satisfy such new criteria, investors may conclude that our policies with respect to corporate responsibility are inadequate. We may face reputational damage in the event that our corporate responsibility procedures or standards do not meet the standards set by various constituencies. We also face significant costs from complying with any new ESG regulations, for example, any regulations that may relate to climate change that may apply to us in the future.</w:t>
      </w:r>
    </w:p>
    <w:p>
      <w:pPr>
        <w:spacing w:after="0" w:line="225"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We may face reputational damage in the event our corporate responsibility initiatives or objectives do not meet the standards set by our investors, stockholders, lawmakers, listing exchange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 Any failure or perceived failure by us in this regard could have a material adverse effect on our reputation and on our business, share price, financial condition, or results of operations, including the sustainability of our business over time.</w:t>
      </w:r>
    </w:p>
    <w:p>
      <w:pPr>
        <w:spacing w:after="0" w:line="216" w:lineRule="exact"/>
        <w:rPr>
          <w:sz w:val="20"/>
          <w:szCs w:val="20"/>
          <w:color w:val="auto"/>
        </w:rPr>
      </w:pPr>
    </w:p>
    <w:p>
      <w:pPr>
        <w:jc w:val="both"/>
        <w:spacing w:after="0" w:line="262" w:lineRule="auto"/>
        <w:rPr>
          <w:sz w:val="20"/>
          <w:szCs w:val="20"/>
          <w:color w:val="auto"/>
        </w:rPr>
      </w:pPr>
      <w:r>
        <w:rPr>
          <w:rFonts w:ascii="Calibri" w:cs="Calibri" w:eastAsia="Calibri" w:hAnsi="Calibri"/>
          <w:sz w:val="20"/>
          <w:szCs w:val="20"/>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97"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collaboration partners,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217" w:lineRule="exact"/>
        <w:rPr>
          <w:sz w:val="20"/>
          <w:szCs w:val="20"/>
          <w:color w:val="auto"/>
        </w:rPr>
      </w:pPr>
    </w:p>
    <w:p>
      <w:pPr>
        <w:jc w:val="both"/>
        <w:spacing w:after="0" w:line="263" w:lineRule="auto"/>
        <w:rPr>
          <w:sz w:val="20"/>
          <w:szCs w:val="20"/>
          <w:color w:val="auto"/>
        </w:rPr>
      </w:pPr>
      <w:r>
        <w:rPr>
          <w:rFonts w:ascii="Calibri" w:cs="Calibri" w:eastAsia="Calibri" w:hAnsi="Calibri"/>
          <w:sz w:val="20"/>
          <w:szCs w:val="20"/>
          <w:b w:val="1"/>
          <w:bCs w:val="1"/>
          <w:i w:val="1"/>
          <w:iCs w:val="1"/>
          <w:color w:val="auto"/>
        </w:rPr>
        <w:t>So called “submarine” patents may be granted to our competitors that may significantly alter our launch timing expectations, reduce our projected market size, cause us to modify our product or process or block us from the market altogether.</w:t>
      </w:r>
    </w:p>
    <w:p>
      <w:pPr>
        <w:spacing w:after="0" w:line="195" w:lineRule="exact"/>
        <w:rPr>
          <w:sz w:val="20"/>
          <w:szCs w:val="20"/>
          <w:color w:val="auto"/>
        </w:rPr>
      </w:pPr>
    </w:p>
    <w:p>
      <w:pPr>
        <w:jc w:val="both"/>
        <w:ind w:firstLine="490"/>
        <w:spacing w:after="0" w:line="287" w:lineRule="auto"/>
        <w:rPr>
          <w:sz w:val="20"/>
          <w:szCs w:val="20"/>
          <w:color w:val="auto"/>
        </w:rPr>
      </w:pPr>
      <w:r>
        <w:rPr>
          <w:rFonts w:ascii="Calibri" w:cs="Calibri" w:eastAsia="Calibri" w:hAnsi="Calibri"/>
          <w:sz w:val="19"/>
          <w:szCs w:val="19"/>
          <w:color w:val="auto"/>
        </w:rPr>
        <w:t>The term “submarine” patent has been used in the pharmaceutical industry and in other industries to denote a patent issuing from an application that was not published, publicly known or available prior to its grant. Submarine patents add substantial risk and uncertainty</w:t>
      </w:r>
    </w:p>
    <w:p>
      <w:pPr>
        <w:sectPr>
          <w:pgSz w:w="12240" w:h="15840" w:orient="portrait"/>
          <w:cols w:equalWidth="0" w:num="1">
            <w:col w:w="11160"/>
          </w:cols>
          <w:pgMar w:left="540" w:top="543"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52</w:t>
      </w:r>
    </w:p>
    <w:p>
      <w:pPr>
        <w:sectPr>
          <w:pgSz w:w="12240" w:h="15840" w:orient="portrait"/>
          <w:cols w:equalWidth="0" w:num="1">
            <w:col w:w="11160"/>
          </w:cols>
          <w:pgMar w:left="540" w:top="543" w:right="540" w:bottom="9" w:gutter="0" w:footer="0" w:header="0"/>
          <w:type w:val="continuous"/>
        </w:sectPr>
      </w:pPr>
    </w:p>
    <w:bookmarkStart w:id="54" w:name="page55"/>
    <w:bookmarkEnd w:id="54"/>
    <w:p>
      <w:pPr>
        <w:jc w:val="both"/>
        <w:spacing w:after="0" w:line="262" w:lineRule="auto"/>
        <w:rPr>
          <w:sz w:val="20"/>
          <w:szCs w:val="20"/>
          <w:color w:val="auto"/>
        </w:rPr>
      </w:pPr>
      <w:r>
        <w:rPr>
          <w:rFonts w:ascii="Calibri" w:cs="Calibri" w:eastAsia="Calibri" w:hAnsi="Calibri"/>
          <w:sz w:val="20"/>
          <w:szCs w:val="20"/>
          <w:color w:val="auto"/>
        </w:rPr>
        <w:t>to our business. Submarine patents may issue to our competitors covering our pipeline candidates and thereby cause significant market entry delay, defeat our ability to market our product or cause us to abandon development or commercialization of a molecule.</w:t>
      </w:r>
    </w:p>
    <w:p>
      <w:pPr>
        <w:spacing w:after="0" w:line="195" w:lineRule="exact"/>
        <w:rPr>
          <w:sz w:val="20"/>
          <w:szCs w:val="20"/>
          <w:color w:val="auto"/>
        </w:rPr>
      </w:pPr>
    </w:p>
    <w:p>
      <w:pPr>
        <w:jc w:val="both"/>
        <w:ind w:firstLine="490"/>
        <w:spacing w:after="0" w:line="262" w:lineRule="auto"/>
        <w:rPr>
          <w:sz w:val="20"/>
          <w:szCs w:val="20"/>
          <w:color w:val="auto"/>
        </w:rPr>
      </w:pPr>
      <w:r>
        <w:rPr>
          <w:rFonts w:ascii="Calibri" w:cs="Calibri" w:eastAsia="Calibri" w:hAnsi="Calibri"/>
          <w:sz w:val="20"/>
          <w:szCs w:val="20"/>
          <w:color w:val="auto"/>
        </w:rPr>
        <w:t>The issuance of one or more submarine patents may harm our business by causing substantial delays in our ability to introduce a product candidate into the United States market.</w:t>
      </w:r>
    </w:p>
    <w:p>
      <w:pPr>
        <w:spacing w:after="0" w:line="193" w:lineRule="exact"/>
        <w:rPr>
          <w:sz w:val="20"/>
          <w:szCs w:val="20"/>
          <w:color w:val="auto"/>
        </w:rPr>
      </w:pPr>
    </w:p>
    <w:p>
      <w:pPr>
        <w:jc w:val="both"/>
        <w:spacing w:after="0" w:line="262" w:lineRule="auto"/>
        <w:rPr>
          <w:sz w:val="20"/>
          <w:szCs w:val="20"/>
          <w:color w:val="auto"/>
        </w:rPr>
      </w:pPr>
      <w:r>
        <w:rPr>
          <w:rFonts w:ascii="Calibri" w:cs="Calibri" w:eastAsia="Calibri" w:hAnsi="Calibri"/>
          <w:sz w:val="20"/>
          <w:szCs w:val="20"/>
          <w:b w:val="1"/>
          <w:bCs w:val="1"/>
          <w:i w:val="1"/>
          <w:iCs w:val="1"/>
          <w:color w:val="auto"/>
        </w:rPr>
        <w:t>We may not identify relevant patents or may incorrectly interpret the relevance, scope or expiration of a patent, which might adversely affect our ability to develop and market our product.</w:t>
      </w:r>
    </w:p>
    <w:p>
      <w:pPr>
        <w:spacing w:after="0" w:line="197"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211"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or pipeline molecules. We may incorrectly determine that our product is not covered by a third-party patent.</w:t>
      </w:r>
    </w:p>
    <w:p>
      <w:pPr>
        <w:spacing w:after="0" w:line="212" w:lineRule="exact"/>
        <w:rPr>
          <w:sz w:val="20"/>
          <w:szCs w:val="20"/>
          <w:color w:val="auto"/>
        </w:rPr>
      </w:pPr>
    </w:p>
    <w:p>
      <w:pPr>
        <w:jc w:val="both"/>
        <w:ind w:firstLine="490"/>
        <w:spacing w:after="0" w:line="244" w:lineRule="auto"/>
        <w:rPr>
          <w:sz w:val="20"/>
          <w:szCs w:val="20"/>
          <w:color w:val="auto"/>
        </w:rPr>
      </w:pPr>
      <w:r>
        <w:rPr>
          <w:rFonts w:ascii="Calibri" w:cs="Calibri" w:eastAsia="Calibri" w:hAnsi="Calibri"/>
          <w:sz w:val="20"/>
          <w:szCs w:val="20"/>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w:t>
      </w:r>
    </w:p>
    <w:p>
      <w:pPr>
        <w:spacing w:after="0" w:line="214" w:lineRule="exact"/>
        <w:rPr>
          <w:sz w:val="20"/>
          <w:szCs w:val="20"/>
          <w:color w:val="auto"/>
        </w:rPr>
      </w:pPr>
    </w:p>
    <w:p>
      <w:pPr>
        <w:jc w:val="both"/>
        <w:spacing w:after="0" w:line="262" w:lineRule="auto"/>
        <w:rPr>
          <w:sz w:val="20"/>
          <w:szCs w:val="20"/>
          <w:color w:val="auto"/>
        </w:rPr>
      </w:pPr>
      <w:r>
        <w:rPr>
          <w:rFonts w:ascii="Calibri" w:cs="Calibri" w:eastAsia="Calibri" w:hAnsi="Calibri"/>
          <w:sz w:val="20"/>
          <w:szCs w:val="20"/>
          <w:b w:val="1"/>
          <w:bCs w:val="1"/>
          <w:i w:val="1"/>
          <w:iCs w:val="1"/>
          <w:color w:val="auto"/>
        </w:rPr>
        <w:t>Our failure to identify and correctly interpret relevant patents may negatively impact our ability to develop and market our product and product candidates.</w:t>
      </w:r>
    </w:p>
    <w:p>
      <w:pPr>
        <w:spacing w:after="0" w:line="197"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If we are unable to obtain and maintain effective patent rights for our product and product candidates, we may not be able to prevent competitors from using technologies we consider important in our successful development and commercialization of our product candidates, resulting in loss of any potential competitive advantage our patents may have otherwise afforded us.</w:t>
      </w:r>
    </w:p>
    <w:p>
      <w:pPr>
        <w:spacing w:after="0" w:line="206"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While our principal focus in matters relating to intellectual property is to avoid infringing the valid and enforceable rights of third parties, we also rely upon a combination of patents, trade secret protection and confidentiality agreements to protect our own intellectual property related to our product candidates and development programs. Our ability to enjoy any competitive advantages afforded by our own intellectual property depends in large part on our ability to obtain and maintain patents and other intellectual property protection in the United States and in other countries with respect to various proprietary elements of our product candidates, such as, for example, our product formulations and processes for manufacturing our product and product candidates and our ability to maintain and control the confidentiality of our trade secrets and confidential information critical to our business.</w:t>
      </w:r>
    </w:p>
    <w:p>
      <w:pPr>
        <w:spacing w:after="0" w:line="219"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We have sought to protect our proprietary position by filing patent applications in the United States and abroad related to our product and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There is no guarantee that any patent application we file will result in an issued patent having claims that protect our product and product candidates. Additionally, while the basic requirements for patentability are similar across jurisdictions, each jurisdiction has its own specific requirements for patentability. We cannot guarantee that we will obtain identical or similar patent protection covering our product and product candidates in all jurisdictions where we file patent applications.</w:t>
      </w:r>
    </w:p>
    <w:p>
      <w:pPr>
        <w:spacing w:after="0" w:line="216" w:lineRule="exact"/>
        <w:rPr>
          <w:sz w:val="20"/>
          <w:szCs w:val="20"/>
          <w:color w:val="auto"/>
        </w:rPr>
      </w:pPr>
    </w:p>
    <w:p>
      <w:pPr>
        <w:jc w:val="both"/>
        <w:ind w:firstLine="490"/>
        <w:spacing w:after="0" w:line="258" w:lineRule="auto"/>
        <w:rPr>
          <w:sz w:val="20"/>
          <w:szCs w:val="20"/>
          <w:color w:val="auto"/>
        </w:rPr>
      </w:pPr>
      <w:r>
        <w:rPr>
          <w:rFonts w:ascii="Calibri" w:cs="Calibri" w:eastAsia="Calibri" w:hAnsi="Calibri"/>
          <w:sz w:val="19"/>
          <w:szCs w:val="19"/>
          <w:color w:val="auto"/>
        </w:rPr>
        <w:t>The patent positions of oncology companies generally are highly uncertain and involve complex legal and factual questions. As a result, the patent applications that we own or license may fail to result in issued patents with claims that cover our product candidates in the United States or in other foreign countries for many reasons. There is no assurance that all potentially relevant prior art relating to our patents and patent applications has been found, considered or cited during patent prosecution, which can be used to invalidate a patent or prevent a patent from issuing from a pending patent application. Even if patents do successfully issue, and even if such patents cover our product candidates, third parties may challenge their validity, enforceability or scope, which may result in such patent claims being narrowed, found unenforceable or invalidated. Our patents and patent applications, even if they are unchallenged, may not adequately</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53</w:t>
      </w:r>
    </w:p>
    <w:p>
      <w:pPr>
        <w:sectPr>
          <w:pgSz w:w="12240" w:h="15840" w:orient="portrait"/>
          <w:cols w:equalWidth="0" w:num="1">
            <w:col w:w="11160"/>
          </w:cols>
          <w:pgMar w:left="540" w:top="532" w:right="540" w:bottom="9" w:gutter="0" w:footer="0" w:header="0"/>
          <w:type w:val="continuous"/>
        </w:sectPr>
      </w:pPr>
    </w:p>
    <w:bookmarkStart w:id="55" w:name="page56"/>
    <w:bookmarkEnd w:id="55"/>
    <w:p>
      <w:pPr>
        <w:jc w:val="both"/>
        <w:spacing w:after="0" w:line="251" w:lineRule="auto"/>
        <w:rPr>
          <w:sz w:val="20"/>
          <w:szCs w:val="20"/>
          <w:color w:val="auto"/>
        </w:rPr>
      </w:pPr>
      <w:r>
        <w:rPr>
          <w:rFonts w:ascii="Calibri" w:cs="Calibri" w:eastAsia="Calibri" w:hAnsi="Calibri"/>
          <w:sz w:val="20"/>
          <w:szCs w:val="20"/>
          <w:color w:val="auto"/>
        </w:rPr>
        <w:t>protect our intellectual property, provide exclusivity for our product candidates or prevent others from designing around our claims. Any of these outcomes could impair our ability to prevent competitors from using the technologies claimed in any patents issued to us, which may have an adverse impact on our business.</w:t>
      </w:r>
    </w:p>
    <w:p>
      <w:pPr>
        <w:spacing w:after="0" w:line="206" w:lineRule="exact"/>
        <w:rPr>
          <w:sz w:val="20"/>
          <w:szCs w:val="20"/>
          <w:color w:val="auto"/>
        </w:rPr>
      </w:pPr>
    </w:p>
    <w:p>
      <w:pPr>
        <w:jc w:val="both"/>
        <w:ind w:firstLine="490"/>
        <w:spacing w:after="0" w:line="254" w:lineRule="auto"/>
        <w:rPr>
          <w:sz w:val="20"/>
          <w:szCs w:val="20"/>
          <w:color w:val="auto"/>
        </w:rPr>
      </w:pPr>
      <w:r>
        <w:rPr>
          <w:rFonts w:ascii="Calibri" w:cs="Calibri" w:eastAsia="Calibri" w:hAnsi="Calibri"/>
          <w:sz w:val="19"/>
          <w:szCs w:val="19"/>
          <w:color w:val="auto"/>
        </w:rPr>
        <w:t>In addition, changes to United States patent laws provide additional procedures for third parties to challenge the validity of issued patents based on patent applications filed after March 15, 2013. If the breadth or strength of protection provided by the patents and patent applications we hold or pursue with respect to our current or future product candidates is challenged, then it could threaten our ability to prevent competitive products using our proprietary technology. Further, because patent applications in the United States and most other countries are confidential for a period of time, typically for 18 months after filing, we cannot be certain that we were the first to either (i) file any patent application related to our product candidates or (ii) invent any of the inventions claimed in our patents or patent applications. Furthermore, for applications filed before March 16, 2013 or patents issuing from such applications, an interference proceeding can be provoked by a third party or instituted by the USPTO to determine who was the first to invent any of the subject matter covered by the patent claims of our applications and patents. As of March 16, 2013, the United States transitioned to a “first-to-file” system for deciding which party should be granted a patent when two or more patent applications claiming the same invention are filed by different parties. A third party that files a patent application in the USPTO before we do, could therefore be awarded a patent covering an invention of ours even if we had made the invention before it was made by the third party. The change to “first-to-file” from “first-to-invent” is one of the changes to the patent laws of the United States resulting from the Leahy-Smith America Invents Act (the “Leahy-Smith Act”), signed into law on September 16, 2011. Among some of the other significant changes to the patent laws are changes that limit where a patentee may file a patent infringement suit and provide opportunities for third parties to challenge any issued patent in the USPTO. It is not yet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16"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Patents granted by the European Patent Office may be opposed by any person within nine months from the publication of their grant and, in addition, may be challenged before national courts at any time. If the breadth or strength of protection provided by the patents and patent applications we hold, license or pursue with respect to our product candidates is threatened, it could threaten our ability to prevent third parties from using the same technologies that we use in our product candidates.</w:t>
      </w:r>
    </w:p>
    <w:p>
      <w:pPr>
        <w:spacing w:after="0" w:line="212"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granted at the time the new system began and granted thereafter, are subject to the jurisdiction of the UPC, unless actively opted out. This was a significant change in European patent practice, and deciding whether to opt-in or opt-out of Unitary Patent practice entails strategic and cost considerations. The UPC provides third parties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w:t>
      </w:r>
    </w:p>
    <w:p>
      <w:pPr>
        <w:spacing w:after="0" w:line="220" w:lineRule="exact"/>
        <w:rPr>
          <w:sz w:val="20"/>
          <w:szCs w:val="20"/>
          <w:color w:val="auto"/>
        </w:rPr>
      </w:pPr>
    </w:p>
    <w:p>
      <w:pPr>
        <w:jc w:val="both"/>
        <w:ind w:firstLine="490"/>
        <w:spacing w:after="0" w:line="244" w:lineRule="auto"/>
        <w:rPr>
          <w:sz w:val="20"/>
          <w:szCs w:val="20"/>
          <w:color w:val="auto"/>
        </w:rPr>
      </w:pPr>
      <w:r>
        <w:rPr>
          <w:rFonts w:ascii="Calibri" w:cs="Calibri" w:eastAsia="Calibri" w:hAnsi="Calibri"/>
          <w:sz w:val="20"/>
          <w:szCs w:val="20"/>
          <w:color w:val="auto"/>
        </w:rPr>
        <w:t>We have issued patents and have filed patent applications, which are currently pending, covering various aspects of our product and product candidates. We cannot offer any assurances about which, if any, patents will issue, the breadth of any such patent or whether any issued patents will be found invalid and unenforceable or will be threatened or infringed by third parties. Any successful actions by third parties to challenge the validity or enforceability of any patents, which may issue to us could deprive us of the ability to prevent others from using the technologies claimed in such issued patents. Further, if we encounter delays in regulatory approvals, the period of time during which we could market a product candidate under patent protection could be reduced.</w:t>
      </w:r>
    </w:p>
    <w:p>
      <w:pPr>
        <w:spacing w:after="0" w:line="215"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Because competitors may be able to develop their own proprietary technologies, it is uncertain whether any of our issued patents or pending patent applications would cover the products of any competitors. The product and patent landscape is highly uncertain and we cannot predict whether our patent filings will afford us a competitive advantage against third parties or if our product will avoid infringement of third-party patents.</w:t>
      </w:r>
    </w:p>
    <w:p>
      <w:pPr>
        <w:spacing w:after="0" w:line="210" w:lineRule="exact"/>
        <w:rPr>
          <w:sz w:val="20"/>
          <w:szCs w:val="20"/>
          <w:color w:val="auto"/>
        </w:rPr>
      </w:pPr>
    </w:p>
    <w:p>
      <w:pPr>
        <w:jc w:val="both"/>
        <w:spacing w:after="0" w:line="251" w:lineRule="auto"/>
        <w:rPr>
          <w:sz w:val="20"/>
          <w:szCs w:val="20"/>
          <w:color w:val="auto"/>
        </w:rPr>
      </w:pPr>
      <w:r>
        <w:rPr>
          <w:rFonts w:ascii="Calibri" w:cs="Calibri" w:eastAsia="Calibri" w:hAnsi="Calibri"/>
          <w:sz w:val="20"/>
          <w:szCs w:val="20"/>
          <w:b w:val="1"/>
          <w:bCs w:val="1"/>
          <w:i w:val="1"/>
          <w:iCs w:val="1"/>
          <w:color w:val="auto"/>
        </w:rPr>
        <w:t>Obtaining and maintaining our patent protection depends on compliance with various procedural requirements, document submissions, fee payment and other requirements imposed by governmental patent agencies. Our patent protection could be reduced or eliminated for non-compliance with these requirements.</w:t>
      </w:r>
    </w:p>
    <w:p>
      <w:pPr>
        <w:spacing w:after="0" w:line="208" w:lineRule="exact"/>
        <w:rPr>
          <w:sz w:val="20"/>
          <w:szCs w:val="20"/>
          <w:color w:val="auto"/>
        </w:rPr>
      </w:pPr>
    </w:p>
    <w:p>
      <w:pPr>
        <w:jc w:val="both"/>
        <w:ind w:firstLine="490"/>
        <w:spacing w:after="0" w:line="262" w:lineRule="auto"/>
        <w:rPr>
          <w:sz w:val="20"/>
          <w:szCs w:val="20"/>
          <w:color w:val="auto"/>
        </w:rPr>
      </w:pPr>
      <w:r>
        <w:rPr>
          <w:rFonts w:ascii="Calibri" w:cs="Calibri" w:eastAsia="Calibri" w:hAnsi="Calibri"/>
          <w:sz w:val="20"/>
          <w:szCs w:val="20"/>
          <w:color w:val="auto"/>
        </w:rPr>
        <w:t>The USPTO and various foreign governmental patent agencies require compliance with a number of procedural, documentary, fee payment and other provisions during the patent process. In many cases, an inadvertent lapse can be cured by payment of a late fee or by</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54</w:t>
      </w:r>
    </w:p>
    <w:p>
      <w:pPr>
        <w:sectPr>
          <w:pgSz w:w="12240" w:h="15840" w:orient="portrait"/>
          <w:cols w:equalWidth="0" w:num="1">
            <w:col w:w="11160"/>
          </w:cols>
          <w:pgMar w:left="540" w:top="532" w:right="540" w:bottom="9" w:gutter="0" w:footer="0" w:header="0"/>
          <w:type w:val="continuous"/>
        </w:sectPr>
      </w:pPr>
    </w:p>
    <w:bookmarkStart w:id="56" w:name="page57"/>
    <w:bookmarkEnd w:id="56"/>
    <w:p>
      <w:pPr>
        <w:jc w:val="both"/>
        <w:spacing w:after="0" w:line="251" w:lineRule="auto"/>
        <w:rPr>
          <w:sz w:val="20"/>
          <w:szCs w:val="20"/>
          <w:color w:val="auto"/>
        </w:rPr>
      </w:pPr>
      <w:r>
        <w:rPr>
          <w:rFonts w:ascii="Calibri" w:cs="Calibri" w:eastAsia="Calibri" w:hAnsi="Calibri"/>
          <w:sz w:val="20"/>
          <w:szCs w:val="20"/>
          <w:color w:val="auto"/>
        </w:rPr>
        <w:t>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We may not be able to protect our intellectual property rights throughout the world.</w:t>
      </w:r>
    </w:p>
    <w:p>
      <w:pPr>
        <w:spacing w:after="0" w:line="241" w:lineRule="exact"/>
        <w:rPr>
          <w:sz w:val="20"/>
          <w:szCs w:val="20"/>
          <w:color w:val="auto"/>
        </w:rPr>
      </w:pPr>
    </w:p>
    <w:p>
      <w:pPr>
        <w:jc w:val="both"/>
        <w:ind w:firstLine="490"/>
        <w:spacing w:after="0" w:line="256" w:lineRule="auto"/>
        <w:rPr>
          <w:sz w:val="20"/>
          <w:szCs w:val="20"/>
          <w:color w:val="auto"/>
        </w:rPr>
      </w:pPr>
      <w:r>
        <w:rPr>
          <w:rFonts w:ascii="Calibri" w:cs="Calibri" w:eastAsia="Calibri" w:hAnsi="Calibri"/>
          <w:sz w:val="19"/>
          <w:szCs w:val="19"/>
          <w:color w:val="auto"/>
        </w:rPr>
        <w:t>Filing, prosecuting, defending and enforcing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may choose not to file patent applications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importing products made using our inventions into the United States or other jurisdictions. Competitors may use our technologies in jurisdictions where we have not obtained patent protection to develop their own products and may also export infringing products to territories where we have patent protection, but the ability to enforce our patents is not as strong as that in the United States. These products may compete with our product and our patents or other intellectual property rights may not be effective or sufficient to prevent them from competing.</w:t>
      </w:r>
    </w:p>
    <w:p>
      <w:pPr>
        <w:spacing w:after="0" w:line="207"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Governments of foreign countries may force us to license our patents to third parties on terms that are not commercially reasonable or acceptable to us. Accordingly, our efforts to enforce our intellectual property rights around the world may be inadequate to obtain a significant commercial advantage from the intellectual property that we develop or license.</w:t>
      </w:r>
    </w:p>
    <w:p>
      <w:pPr>
        <w:spacing w:after="0" w:line="216" w:lineRule="exact"/>
        <w:rPr>
          <w:sz w:val="20"/>
          <w:szCs w:val="20"/>
          <w:color w:val="auto"/>
        </w:rPr>
      </w:pPr>
    </w:p>
    <w:p>
      <w:pPr>
        <w:jc w:val="both"/>
        <w:spacing w:after="0" w:line="263" w:lineRule="auto"/>
        <w:rPr>
          <w:sz w:val="20"/>
          <w:szCs w:val="20"/>
          <w:color w:val="auto"/>
        </w:rPr>
      </w:pPr>
      <w:r>
        <w:rPr>
          <w:rFonts w:ascii="Calibri" w:cs="Calibri" w:eastAsia="Calibri" w:hAnsi="Calibri"/>
          <w:sz w:val="20"/>
          <w:szCs w:val="20"/>
          <w:b w:val="1"/>
          <w:bCs w:val="1"/>
          <w:i w:val="1"/>
          <w:iCs w:val="1"/>
          <w:color w:val="auto"/>
        </w:rPr>
        <w:t>If we are unable to maintain effective (non-patent) proprietary rights for our product and product candidates, we may not be able to compete effectively in our markets.</w:t>
      </w:r>
    </w:p>
    <w:p>
      <w:pPr>
        <w:spacing w:after="0" w:line="195" w:lineRule="exact"/>
        <w:rPr>
          <w:sz w:val="20"/>
          <w:szCs w:val="20"/>
          <w:color w:val="auto"/>
        </w:rPr>
      </w:pPr>
    </w:p>
    <w:p>
      <w:pPr>
        <w:jc w:val="both"/>
        <w:ind w:firstLine="490"/>
        <w:spacing w:after="0" w:line="241" w:lineRule="auto"/>
        <w:rPr>
          <w:sz w:val="20"/>
          <w:szCs w:val="20"/>
          <w:color w:val="auto"/>
        </w:rPr>
      </w:pPr>
      <w:r>
        <w:rPr>
          <w:rFonts w:ascii="Calibri" w:cs="Calibri" w:eastAsia="Calibri" w:hAnsi="Calibri"/>
          <w:sz w:val="20"/>
          <w:szCs w:val="20"/>
          <w:color w:val="auto"/>
        </w:rPr>
        <w:t>While we have filed patent applications to protect certain aspects of our own proprietary formulation and process developments, we also rely on trade secret protection and confidentiality agreements to protect proprietary scientific, business and technical information and know-how that is not or may not be patentable or that we elect not to patent. However, confidential information and trade secrets can be difficult to protect. Moreover, the information embodied in our trade secrets and confidential information may be independently and legitimately developed or discovered by third parties without any improper use of or reference to information or trade secrets. We seek to protect the scientific, technical and business information supporting our operations, as well as the confidential information relating specifically to our product candidates by entering into confidentiality agreements with parties to whom we need to disclose our confidential information, for example, our employees, consultants, scientific advisors, board members, contractors, potential collaborators and investors. However, we cannot be certain that such agreements have been entered into with all relevant parties.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While we have confidence in these individuals, organizations and systems, agreements or security measures may be breached, and we may not have adequate remedies for any breach. Our confidential information and trade secrets thus may become known by our competitors in ways we cannot prove or remedy.</w:t>
      </w:r>
    </w:p>
    <w:p>
      <w:pPr>
        <w:spacing w:after="0" w:line="226" w:lineRule="exact"/>
        <w:rPr>
          <w:sz w:val="20"/>
          <w:szCs w:val="20"/>
          <w:color w:val="auto"/>
        </w:rPr>
      </w:pPr>
    </w:p>
    <w:p>
      <w:pPr>
        <w:jc w:val="both"/>
        <w:ind w:firstLine="489"/>
        <w:spacing w:after="0" w:line="257" w:lineRule="auto"/>
        <w:rPr>
          <w:sz w:val="20"/>
          <w:szCs w:val="20"/>
          <w:color w:val="auto"/>
        </w:rPr>
      </w:pPr>
      <w:r>
        <w:rPr>
          <w:rFonts w:ascii="Calibri" w:cs="Calibri" w:eastAsia="Calibri" w:hAnsi="Calibri"/>
          <w:sz w:val="19"/>
          <w:szCs w:val="19"/>
          <w:color w:val="auto"/>
        </w:rPr>
        <w:t>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We cannot guarantee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 We cannot guarantee that our employees, former</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55</w:t>
      </w:r>
    </w:p>
    <w:p>
      <w:pPr>
        <w:sectPr>
          <w:pgSz w:w="12240" w:h="15840" w:orient="portrait"/>
          <w:cols w:equalWidth="0" w:num="1">
            <w:col w:w="11160"/>
          </w:cols>
          <w:pgMar w:left="540" w:top="532" w:right="540" w:bottom="9" w:gutter="0" w:footer="0" w:header="0"/>
          <w:type w:val="continuous"/>
        </w:sectPr>
      </w:pPr>
    </w:p>
    <w:bookmarkStart w:id="57" w:name="page58"/>
    <w:bookmarkEnd w:id="57"/>
    <w:p>
      <w:pPr>
        <w:jc w:val="both"/>
        <w:spacing w:after="0" w:line="262" w:lineRule="auto"/>
        <w:rPr>
          <w:sz w:val="20"/>
          <w:szCs w:val="20"/>
          <w:color w:val="auto"/>
        </w:rPr>
      </w:pPr>
      <w:r>
        <w:rPr>
          <w:rFonts w:ascii="Calibri" w:cs="Calibri" w:eastAsia="Calibri" w:hAnsi="Calibri"/>
          <w:sz w:val="20"/>
          <w:szCs w:val="20"/>
          <w:color w:val="auto"/>
        </w:rPr>
        <w:t>employees or consultants will not file patent applications claiming our inventions. Because of the “first-to-file” laws in the United States and the E.U., such unauthorized patent application filings may defeat our attempts to obtain patents on our own inventions.</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We may be subject to claims challenging the inventorship of our patent filings and other intellectual property.</w:t>
      </w:r>
    </w:p>
    <w:p>
      <w:pPr>
        <w:spacing w:after="0" w:line="240"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Although we are not currently aware of any claims challenging the inventorship of our patent applications or ownership of our intellectual property, we may in the future be subject to claims that former employees, collaborators or other third parties have an interest in our patent applications or patents we may be granted or other intellectual property as an inventor or co-inventor. For example, we may have inventorship or ownership disputes arise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20" w:lineRule="exact"/>
        <w:rPr>
          <w:sz w:val="20"/>
          <w:szCs w:val="20"/>
          <w:color w:val="auto"/>
        </w:rPr>
      </w:pPr>
    </w:p>
    <w:p>
      <w:pPr>
        <w:jc w:val="both"/>
        <w:spacing w:after="0" w:line="263" w:lineRule="auto"/>
        <w:rPr>
          <w:sz w:val="20"/>
          <w:szCs w:val="20"/>
          <w:color w:val="auto"/>
        </w:rPr>
      </w:pPr>
      <w:r>
        <w:rPr>
          <w:rFonts w:ascii="Calibri" w:cs="Calibri" w:eastAsia="Calibri" w:hAnsi="Calibri"/>
          <w:sz w:val="20"/>
          <w:szCs w:val="20"/>
          <w:b w:val="1"/>
          <w:bCs w:val="1"/>
          <w:i w:val="1"/>
          <w:iCs w:val="1"/>
          <w:color w:val="auto"/>
        </w:rPr>
        <w:t>We or the third parties upon whom we depend on may be adversely affected by earthquakes, wildfires or other natural disasters and our business continuity and disaster recovery plans may not adequately protect us from a serious disaster.</w:t>
      </w:r>
    </w:p>
    <w:p>
      <w:pPr>
        <w:spacing w:after="0" w:line="195"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Our corporate headquarters and laboratory are located in the San Francisco Bay Area and in Southern California (Camarillo), respectively. These locations have in the past experienced severe earthquakes, floods, wildfires and other natural disasters. Wildfires have been increasing in intensity and frequency in recent years. We do not carry earthquake insurance. Earthquakes, wildfires or other natural disasters could severely disrupt our operations or those of our collaboration partners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The continuation of the war in Ukraine and conflicts in the Middle East may exacerbate certain risks we face.</w:t>
      </w:r>
    </w:p>
    <w:p>
      <w:pPr>
        <w:spacing w:after="0" w:line="241"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The war between Russia and Ukraine and the global response, including the imposition of sanctions by the United States and other countries, could create or exacerbate risks facing our business. Conflicts in the Middle East may also increase the risks facing our business. We have evaluated our operations and partner contracts, and we currently do not expect either conflict to directly have a significant effect on our financial condition or results of operations. However, if the war between Russia and Ukraine or conflicts in the Middle East escalate or expand, risks that we have identified in this Annual Report on Form 10-K may be materially increased. For example, if our supply arrangements or clinical operations are disrupted due to expanded sanctions or involvement of, and adverse impacts on, countries where we have operations or relationships, our business could be materially disrupted. Further, the use of cyberattacks could expand as part of the ongoing conflicts, which could adversely affect our ability to maintain or enhance our cybersecurity measures. These and other risks are described more fully in this “Risk Factors” section.</w:t>
      </w:r>
    </w:p>
    <w:p>
      <w:pPr>
        <w:spacing w:after="0" w:line="220" w:lineRule="exact"/>
        <w:rPr>
          <w:sz w:val="20"/>
          <w:szCs w:val="20"/>
          <w:color w:val="auto"/>
        </w:rPr>
      </w:pPr>
    </w:p>
    <w:p>
      <w:pPr>
        <w:jc w:val="both"/>
        <w:spacing w:after="0" w:line="251" w:lineRule="auto"/>
        <w:rPr>
          <w:sz w:val="20"/>
          <w:szCs w:val="20"/>
          <w:color w:val="auto"/>
        </w:rPr>
      </w:pPr>
      <w:r>
        <w:rPr>
          <w:rFonts w:ascii="Calibri" w:cs="Calibri" w:eastAsia="Calibri" w:hAnsi="Calibri"/>
          <w:sz w:val="20"/>
          <w:szCs w:val="20"/>
          <w:b w:val="1"/>
          <w:bCs w:val="1"/>
          <w:i w:val="1"/>
          <w:iCs w:val="1"/>
          <w:color w:val="auto"/>
        </w:rPr>
        <w:t>We incur significant increased costs as a result of operating as a public company, and our management is required to devote substantial time to compliance initiatives. We may fail to comply with the rules that apply to public companies, including Section 404 of the Sarbanes-Oxley Act of 2002, which could result in sanctions or other penalties that would harm our business.</w:t>
      </w:r>
    </w:p>
    <w:p>
      <w:pPr>
        <w:spacing w:after="0" w:line="208" w:lineRule="exact"/>
        <w:rPr>
          <w:sz w:val="20"/>
          <w:szCs w:val="20"/>
          <w:color w:val="auto"/>
        </w:rPr>
      </w:pPr>
    </w:p>
    <w:p>
      <w:pPr>
        <w:jc w:val="both"/>
        <w:ind w:firstLine="490"/>
        <w:spacing w:after="0" w:line="256" w:lineRule="auto"/>
        <w:rPr>
          <w:sz w:val="20"/>
          <w:szCs w:val="20"/>
          <w:color w:val="auto"/>
        </w:rPr>
      </w:pPr>
      <w:r>
        <w:rPr>
          <w:rFonts w:ascii="Calibri" w:cs="Calibri" w:eastAsia="Calibri" w:hAnsi="Calibri"/>
          <w:sz w:val="19"/>
          <w:szCs w:val="19"/>
          <w:color w:val="auto"/>
        </w:rPr>
        <w:t>We incur significant legal, accounting and other expenses as a public company, including costs resulting from public company reporting obligations under the Securities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must devote a substantial amount of time to ensure that we maintain compliance with all of these requirements. Moreover, the reporting requirements, rules and regulations have increased our legal and financial compliance costs and make some activities more time consuming and costly. Any changes we have made, and may make in the future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may also make it more difficult for us to attract and retain qualified persons to serve on our board of directors or</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56</w:t>
      </w:r>
    </w:p>
    <w:p>
      <w:pPr>
        <w:sectPr>
          <w:pgSz w:w="12240" w:h="15840" w:orient="portrait"/>
          <w:cols w:equalWidth="0" w:num="1">
            <w:col w:w="11160"/>
          </w:cols>
          <w:pgMar w:left="540" w:top="532" w:right="540" w:bottom="9" w:gutter="0" w:footer="0" w:header="0"/>
          <w:type w:val="continuous"/>
        </w:sectPr>
      </w:pPr>
    </w:p>
    <w:bookmarkStart w:id="58" w:name="page59"/>
    <w:bookmarkEnd w:id="58"/>
    <w:p>
      <w:pPr>
        <w:jc w:val="both"/>
        <w:spacing w:after="0" w:line="262" w:lineRule="auto"/>
        <w:rPr>
          <w:sz w:val="20"/>
          <w:szCs w:val="20"/>
          <w:color w:val="auto"/>
        </w:rPr>
      </w:pPr>
      <w:r>
        <w:rPr>
          <w:rFonts w:ascii="Calibri" w:cs="Calibri" w:eastAsia="Calibri" w:hAnsi="Calibri"/>
          <w:sz w:val="20"/>
          <w:szCs w:val="20"/>
          <w:color w:val="auto"/>
        </w:rPr>
        <w:t>board committees or to serve as executive officers, or to obtain certain types of insurance, including directors’ and officers’ insurance, on acceptable terms.</w:t>
      </w:r>
    </w:p>
    <w:p>
      <w:pPr>
        <w:spacing w:after="0" w:line="195" w:lineRule="exact"/>
        <w:rPr>
          <w:sz w:val="20"/>
          <w:szCs w:val="20"/>
          <w:color w:val="auto"/>
        </w:rPr>
      </w:pPr>
    </w:p>
    <w:p>
      <w:pPr>
        <w:jc w:val="both"/>
        <w:ind w:firstLine="490"/>
        <w:spacing w:after="0" w:line="241" w:lineRule="auto"/>
        <w:rPr>
          <w:sz w:val="20"/>
          <w:szCs w:val="20"/>
          <w:color w:val="auto"/>
        </w:rPr>
      </w:pPr>
      <w:r>
        <w:rPr>
          <w:rFonts w:ascii="Calibri" w:cs="Calibri" w:eastAsia="Calibri" w:hAnsi="Calibri"/>
          <w:sz w:val="20"/>
          <w:szCs w:val="20"/>
          <w:color w:val="auto"/>
        </w:rPr>
        <w:t>We are subject to Section 404 of The Sarbanes-Oxley Act of 2002 (“Section 404”), and the related rules of the SEC, which generally require our management and independent registered public accounting firm to report on the effectiveness of our internal control over financial reporting.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For example, as described in our 2024 Form 10-K, our management concluded that our internal control over financial reporting was not effective as of December 31, 2024 due to a material weakness in the operating effectiveness of our procedures related to our documentation and review of certain inventory account reconciliations. We are taking steps to remediate this material weakness and to strengthen our internal control over financial reporting, which include additional training and enhancement of our documentation and retention procedures, particularly as they relate to our inventory account reconciliations. However, the deficient inventory account reconciliations control was decommissioned concurrent with the UDENYCA Sale that closed on April 11, 2025, leaving no opportunity to formally retest the operating effectiveness of the control during the current period.</w:t>
      </w:r>
    </w:p>
    <w:p>
      <w:pPr>
        <w:spacing w:after="0" w:line="226" w:lineRule="exact"/>
        <w:rPr>
          <w:sz w:val="20"/>
          <w:szCs w:val="20"/>
          <w:color w:val="auto"/>
        </w:rPr>
      </w:pPr>
    </w:p>
    <w:p>
      <w:pPr>
        <w:jc w:val="both"/>
        <w:ind w:firstLine="490"/>
        <w:spacing w:after="0" w:line="251" w:lineRule="auto"/>
        <w:rPr>
          <w:sz w:val="20"/>
          <w:szCs w:val="20"/>
          <w:color w:val="auto"/>
        </w:rPr>
      </w:pPr>
      <w:r>
        <w:rPr>
          <w:rFonts w:ascii="Calibri" w:cs="Calibri" w:eastAsia="Calibri" w:hAnsi="Calibri"/>
          <w:sz w:val="20"/>
          <w:szCs w:val="20"/>
          <w:color w:val="auto"/>
        </w:rPr>
        <w:t>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206"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Stockholder activism, the current political environment and the current high level of government intervention and regulatory reform may also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 consuming and costly. For 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218" w:lineRule="exact"/>
        <w:rPr>
          <w:sz w:val="20"/>
          <w:szCs w:val="20"/>
          <w:color w:val="auto"/>
        </w:rPr>
      </w:pPr>
    </w:p>
    <w:p>
      <w:pPr>
        <w:jc w:val="both"/>
        <w:spacing w:after="0" w:line="250" w:lineRule="auto"/>
        <w:rPr>
          <w:sz w:val="20"/>
          <w:szCs w:val="20"/>
          <w:color w:val="auto"/>
        </w:rPr>
      </w:pPr>
      <w:r>
        <w:rPr>
          <w:rFonts w:ascii="Calibri" w:cs="Calibri" w:eastAsia="Calibri" w:hAnsi="Calibri"/>
          <w:sz w:val="20"/>
          <w:szCs w:val="20"/>
          <w:b w:val="1"/>
          <w:bCs w:val="1"/>
          <w:i w:val="1"/>
          <w:iCs w:val="1"/>
          <w:color w:val="auto"/>
        </w:rPr>
        <w:t>Our information technology systems, or those used by our third-party CROs or other contractors or consultants, may fail or suffer security breaches and geopolitical tensions or conflicts, such as the ongoing war in Ukraine or conflicts in the Middle East, may create a heightened risk of cyberattacks.</w:t>
      </w:r>
    </w:p>
    <w:p>
      <w:pPr>
        <w:spacing w:after="0" w:line="211" w:lineRule="exact"/>
        <w:rPr>
          <w:sz w:val="20"/>
          <w:szCs w:val="20"/>
          <w:color w:val="auto"/>
        </w:rPr>
      </w:pPr>
    </w:p>
    <w:p>
      <w:pPr>
        <w:jc w:val="both"/>
        <w:ind w:firstLine="490"/>
        <w:spacing w:after="0" w:line="245" w:lineRule="auto"/>
        <w:rPr>
          <w:sz w:val="20"/>
          <w:szCs w:val="20"/>
          <w:color w:val="auto"/>
        </w:rPr>
      </w:pPr>
      <w:r>
        <w:rPr>
          <w:rFonts w:ascii="Calibri" w:cs="Calibri" w:eastAsia="Calibri" w:hAnsi="Calibri"/>
          <w:sz w:val="20"/>
          <w:szCs w:val="20"/>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preclinical and clinical trial data, and personal information (collectively, “Confidential Information”) of customers and our employees and contractors. It is critical that we do so in a secure manner to maintain the confidentiality and integrity of such Confidential Information.</w:t>
      </w:r>
    </w:p>
    <w:p>
      <w:pPr>
        <w:spacing w:after="0" w:line="214" w:lineRule="exact"/>
        <w:rPr>
          <w:sz w:val="20"/>
          <w:szCs w:val="20"/>
          <w:color w:val="auto"/>
        </w:rPr>
      </w:pPr>
    </w:p>
    <w:p>
      <w:pPr>
        <w:jc w:val="both"/>
        <w:ind w:firstLine="490"/>
        <w:spacing w:after="0" w:line="245" w:lineRule="auto"/>
        <w:rPr>
          <w:sz w:val="20"/>
          <w:szCs w:val="20"/>
          <w:color w:val="auto"/>
        </w:rPr>
      </w:pPr>
      <w:r>
        <w:rPr>
          <w:rFonts w:ascii="Calibri" w:cs="Calibri" w:eastAsia="Calibri" w:hAnsi="Calibri"/>
          <w:sz w:val="20"/>
          <w:szCs w:val="20"/>
          <w:color w:val="auto"/>
        </w:rPr>
        <w:t>Despite the implementation of security measures, our information technology systems as well as those of our third-party collaborators, consultants, contractors, suppliers, and service providers, may be vulnerable to damage from physical or electronic break-ins, computer viruses, misconfigurations, “bugs” or other vulnerabilities, “phishing” attacks, malware, ransomware, denial of service and other cyberattacks or disruptive incidents that could result in unauthorized access to, use or disclosure of, corruption of, or loss of Confidential Information, and could subject us to significant liabilities and regulatory and enforcement actions, and reputational damage.</w:t>
      </w:r>
    </w:p>
    <w:p>
      <w:pPr>
        <w:spacing w:after="0" w:line="214"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In addition, geopolitical tensions or conflicts, such as the war between Russia and Ukraine or the conflicts in the Middle East, may create a heightened risk of cyberattacks. We have also outsourced elements of our information technology infrastructure, and as a result a number of third-party vendors may or could have access to our Confidential Information. If we or any of our third-party collaborators or service providers were to experience any material failure or security breach, it could result in a material disruption of our development programs, reputation, and business operations. For example, the loss of clinical study data from completed or ongoing clinical studies could result in delays in any regulatory approval or clearance efforts and significantly increase our costs to recover or reproduce the data, and subsequently commercialize the product.</w:t>
      </w:r>
    </w:p>
    <w:p>
      <w:pPr>
        <w:spacing w:after="0" w:line="220" w:lineRule="exact"/>
        <w:rPr>
          <w:sz w:val="20"/>
          <w:szCs w:val="20"/>
          <w:color w:val="auto"/>
        </w:rPr>
      </w:pPr>
    </w:p>
    <w:p>
      <w:pPr>
        <w:jc w:val="both"/>
        <w:ind w:firstLine="490"/>
        <w:spacing w:after="0" w:line="269" w:lineRule="auto"/>
        <w:rPr>
          <w:sz w:val="20"/>
          <w:szCs w:val="20"/>
          <w:color w:val="auto"/>
        </w:rPr>
      </w:pPr>
      <w:r>
        <w:rPr>
          <w:rFonts w:ascii="Calibri" w:cs="Calibri" w:eastAsia="Calibri" w:hAnsi="Calibri"/>
          <w:sz w:val="19"/>
          <w:szCs w:val="19"/>
          <w:color w:val="auto"/>
        </w:rPr>
        <w:t>We and certain of our service providers are from time to time subject to cyberattacks and security incidents. While we do not believe that we have experienced any significant system failure, accident or security breach to date, if we or our third-party collaborators, consultants, contractors, suppliers, or service providers were to suffer an attack or breach, for example, that resulted in the unauthorized</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57</w:t>
      </w:r>
    </w:p>
    <w:p>
      <w:pPr>
        <w:sectPr>
          <w:pgSz w:w="12240" w:h="15840" w:orient="portrait"/>
          <w:cols w:equalWidth="0" w:num="1">
            <w:col w:w="11160"/>
          </w:cols>
          <w:pgMar w:left="540" w:top="532" w:right="540" w:bottom="9" w:gutter="0" w:footer="0" w:header="0"/>
          <w:type w:val="continuous"/>
        </w:sectPr>
      </w:pPr>
    </w:p>
    <w:bookmarkStart w:id="59" w:name="page60"/>
    <w:bookmarkEnd w:id="59"/>
    <w:p>
      <w:pPr>
        <w:jc w:val="both"/>
        <w:spacing w:after="0" w:line="244" w:lineRule="auto"/>
        <w:rPr>
          <w:sz w:val="20"/>
          <w:szCs w:val="20"/>
          <w:color w:val="auto"/>
        </w:rPr>
      </w:pPr>
      <w:r>
        <w:rPr>
          <w:rFonts w:ascii="Calibri" w:cs="Calibri" w:eastAsia="Calibri" w:hAnsi="Calibri"/>
          <w:sz w:val="20"/>
          <w:szCs w:val="20"/>
          <w:color w:val="auto"/>
        </w:rPr>
        <w:t>access to or use or disclosure of Confidential Information, we may have to notify individuals, collaborators, government authorities, and the media, and may be subject to investigations, civil penalties, administrative and enforcement actions, and litigation, any of which could harm our business and reputation. Likewise, we rely on our third-party CROs and other third parties to conduct clinical studies, and similar events relating to their computer systems could also have a material adverse effect on our business. There can also be no assurance that our and our service providers’ cybersecurity risk management program and processes, including policies, controls or procedures, will be fully implemented, complied with or effective in protecting our systems, networks and Confidential Information.</w:t>
      </w:r>
    </w:p>
    <w:p>
      <w:pPr>
        <w:spacing w:after="0" w:line="216" w:lineRule="exact"/>
        <w:rPr>
          <w:sz w:val="20"/>
          <w:szCs w:val="20"/>
          <w:color w:val="auto"/>
        </w:rPr>
      </w:pPr>
    </w:p>
    <w:p>
      <w:pPr>
        <w:jc w:val="both"/>
        <w:ind w:firstLine="490"/>
        <w:spacing w:after="0" w:line="257" w:lineRule="auto"/>
        <w:rPr>
          <w:sz w:val="20"/>
          <w:szCs w:val="20"/>
          <w:color w:val="auto"/>
        </w:rPr>
      </w:pPr>
      <w:r>
        <w:rPr>
          <w:rFonts w:ascii="Calibri" w:cs="Calibri" w:eastAsia="Calibri" w:hAnsi="Calibri"/>
          <w:sz w:val="19"/>
          <w:szCs w:val="19"/>
          <w:color w:val="auto"/>
        </w:rPr>
        <w:t>Attacks upon information technology systems are increasing in their frequency, levels of persistence, sophistication and intensity, and are being conducted by sophisticated and organized groups and individuals with a wide range of motives and expertise. Further, the continued hybrid working environment has generally increased the attack surface available to criminals, as more companies and individuals work online and work remotely, and as such, the risk of a cybersecurity incident potentially occurring, and our investment in risk mitigations against such incidents, is increasing.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202"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To the extent that any disruption or security breach were to result in a loss of, or damage to, our data or systems, or inappropriate or unauthorized access to or disclosure or use of Confidential Information, we could incur liability and suffer reputational harm, and the development and commercialization of our product and product candidates could be delayed. Federal, state and international laws and regulations can expose us to enforcement actions and investigations by regulatory authorities, and potentially result in regulatory penalties, fines and significant legal liability, if our information technology security efforts fail. We may also be exposed to a risk of loss or litigation and potential liability, which could materially and adversely affect our business, results of operations or financial condition. Our insurance policies may not be adequate to compensate us for the potential losses arising from such disruptions, failure, or security breach. In addition, such insurance may not be available to us in the future on economically reasonable terms, or at all. Further, our insurance may not cover all claims made against us and defending a suit, regardless of its merit, could be costly, divert management attention, and harm our reputation.</w:t>
      </w:r>
    </w:p>
    <w:p>
      <w:pPr>
        <w:spacing w:after="0" w:line="217" w:lineRule="exact"/>
        <w:rPr>
          <w:sz w:val="20"/>
          <w:szCs w:val="20"/>
          <w:color w:val="auto"/>
        </w:rPr>
      </w:pPr>
    </w:p>
    <w:p>
      <w:pPr>
        <w:jc w:val="both"/>
        <w:spacing w:after="0" w:line="247" w:lineRule="auto"/>
        <w:rPr>
          <w:sz w:val="20"/>
          <w:szCs w:val="20"/>
          <w:color w:val="auto"/>
        </w:rPr>
      </w:pPr>
      <w:r>
        <w:rPr>
          <w:rFonts w:ascii="Calibri" w:cs="Calibri" w:eastAsia="Calibri" w:hAnsi="Calibri"/>
          <w:sz w:val="20"/>
          <w:szCs w:val="20"/>
          <w:b w:val="1"/>
          <w:bCs w:val="1"/>
          <w:i w:val="1"/>
          <w:iCs w:val="1"/>
          <w:color w:val="auto"/>
        </w:rPr>
        <w:t>We are subject to governmental regulation and other legal obligations related to privacy, data protection and information security. Compliance with these requirements could result in additional costs and liabilities to us or inhibit our ability to collect and process data, and the failure to comply with such requirements could have a material adverse effect on our business, financial condition or results of operations.</w:t>
      </w:r>
    </w:p>
    <w:p>
      <w:pPr>
        <w:spacing w:after="0" w:line="214"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Compliance with these privacy and data security requirements is rigorous and time-intensive and may increase our cost of doing business. Any failure or perceived failure by us to comply with federal, state or foreign laws or regulations, our internal policies and procedures or our contracts governing our processing of personal information could result in negative publicity, fines and penalties, litigation and reputational harm, which could materially and adversely affect our business, financial condition and results of operations.</w:t>
      </w:r>
    </w:p>
    <w:p>
      <w:pPr>
        <w:spacing w:after="0" w:line="218"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In the United States, we and our partners may be subject to numerous federal and state laws and regulations, including state data breach notification laws, state health information privacy laws, and federal and state consumer protection laws and regulations, that govern the collection, use, disclosure, and protection of health-related and other personal information could apply to our operations or the operations of our partners. In addition, we may obtain health information from third parties (including research institutions from which we obtain clinical trial data) that are subject to privacy and security requirements under the HIPAA. Depending on the facts and circumstances, we could be subject to criminal penalties if we knowingly obtain, use, or disclose individually identifiable health information maintained by a HIPAA covered entity in a manner that is not authorized or permitted by HIPAA.</w:t>
      </w:r>
    </w:p>
    <w:p>
      <w:pPr>
        <w:spacing w:after="0" w:line="219" w:lineRule="exact"/>
        <w:rPr>
          <w:sz w:val="20"/>
          <w:szCs w:val="20"/>
          <w:color w:val="auto"/>
        </w:rPr>
      </w:pPr>
    </w:p>
    <w:p>
      <w:pPr>
        <w:jc w:val="both"/>
        <w:ind w:firstLine="490"/>
        <w:spacing w:after="0" w:line="264" w:lineRule="auto"/>
        <w:rPr>
          <w:sz w:val="20"/>
          <w:szCs w:val="20"/>
          <w:color w:val="auto"/>
        </w:rPr>
      </w:pPr>
      <w:r>
        <w:rPr>
          <w:rFonts w:ascii="Calibri" w:cs="Calibri" w:eastAsia="Calibri" w:hAnsi="Calibri"/>
          <w:sz w:val="19"/>
          <w:szCs w:val="19"/>
          <w:color w:val="auto"/>
        </w:rPr>
        <w:t>Even when HIPAA does not apply, according to the Federal Trade Commission (“FTC”), failing to take appropriate steps to keep consumers’ personal information secure constitutes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58</w:t>
      </w:r>
    </w:p>
    <w:p>
      <w:pPr>
        <w:sectPr>
          <w:pgSz w:w="12240" w:h="15840" w:orient="portrait"/>
          <w:cols w:equalWidth="0" w:num="1">
            <w:col w:w="11160"/>
          </w:cols>
          <w:pgMar w:left="540" w:top="532" w:right="540" w:bottom="9" w:gutter="0" w:footer="0" w:header="0"/>
          <w:type w:val="continuous"/>
        </w:sectPr>
      </w:pPr>
    </w:p>
    <w:bookmarkStart w:id="60" w:name="page61"/>
    <w:bookmarkEnd w:id="60"/>
    <w:p>
      <w:pPr>
        <w:jc w:val="both"/>
        <w:spacing w:after="0" w:line="244" w:lineRule="auto"/>
        <w:rPr>
          <w:sz w:val="20"/>
          <w:szCs w:val="20"/>
          <w:color w:val="auto"/>
        </w:rPr>
      </w:pPr>
      <w:r>
        <w:rPr>
          <w:rFonts w:ascii="Calibri" w:cs="Calibri" w:eastAsia="Calibri" w:hAnsi="Calibri"/>
          <w:sz w:val="20"/>
          <w:szCs w:val="20"/>
          <w:color w:val="auto"/>
        </w:rPr>
        <w:t>security and reduce vulnerabilities. The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Additionally, federal and state consumer protection laws are increasingly being applied by the FTC and states’ attorneys general to regulate the collection, use, storage, and disclosure of personal information, through websites or otherwise, and to regulate the presentation of website content.</w:t>
      </w:r>
    </w:p>
    <w:p>
      <w:pPr>
        <w:spacing w:after="0" w:line="216"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In addition, state laws govern the privacy and security of personal information in certain circumstances, many of which differ from each other in significant ways and may not have the same requirements, thus complicating compliance efforts. By way of example, California enacted the California Consumer Privacy Act as amended by the California Privacy Rights Act (collectively, the “CCPA”), which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business and financial condition.</w:t>
      </w:r>
    </w:p>
    <w:p>
      <w:pPr>
        <w:spacing w:after="0" w:line="215" w:lineRule="exact"/>
        <w:rPr>
          <w:sz w:val="20"/>
          <w:szCs w:val="20"/>
          <w:color w:val="auto"/>
        </w:rPr>
      </w:pPr>
    </w:p>
    <w:p>
      <w:pPr>
        <w:jc w:val="both"/>
        <w:ind w:firstLine="490"/>
        <w:spacing w:after="0" w:line="254" w:lineRule="auto"/>
        <w:rPr>
          <w:sz w:val="20"/>
          <w:szCs w:val="20"/>
          <w:color w:val="auto"/>
        </w:rPr>
      </w:pPr>
      <w:r>
        <w:rPr>
          <w:rFonts w:ascii="Calibri" w:cs="Calibri" w:eastAsia="Calibri" w:hAnsi="Calibri"/>
          <w:sz w:val="19"/>
          <w:szCs w:val="19"/>
          <w:color w:val="auto"/>
        </w:rPr>
        <w:t>In addition, the regulatory framework for the receipt, collection, processing, use, safeguarding, sharing and transfer of personal data is rapidly evolving and is likely to remain uncertain for the foreseeable future as new global privacy rules are being enacted and existing ones are being updated and strengthened. For example, on May 25, 2018, the General Data Protection Regulation (“GDPR”) took effect. The GDPR is applicable in each EEA member state and applies to companies established in the EEA as well as companies that collect and use personal data to offer goods or services to, or monitor the behavior of, individuals in the EEA, including, for example, through the conduct of clinical trials. GDPR introduces more stringent data protection obligations for processors and controllers of personal data. Among other things, the GDPR requires the establishment of a lawful basis for the processing of data, includes requirements relating to the consent of the individuals to whom the personal data relates, including detailed notices for clinical trial subjects and investigators, as well as requirements regarding the security of personal data and notification of data processing obligations or security incidents to appropriate data protection authorities or data subjects.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Penalties and fines for failure to comply with GDPR are significant, including fines of up to €20 million or 4% of the total worldwide annual turnover of a non-compliant undertaking, whichever is higher. In addition to fines, a breach of the GDPR may result in regulatory investigations, reputational damage, orders to cease/ change our data processing activities, enforcement notices, assessment notices (for a compulsory audit) and/ or civil claims (including class actions).</w:t>
      </w:r>
    </w:p>
    <w:p>
      <w:pPr>
        <w:spacing w:after="0" w:line="200" w:lineRule="exact"/>
        <w:rPr>
          <w:sz w:val="20"/>
          <w:szCs w:val="20"/>
          <w:color w:val="auto"/>
        </w:rPr>
      </w:pPr>
    </w:p>
    <w:p>
      <w:pPr>
        <w:spacing w:after="0" w:line="254"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Further, since the beginning of 2021, we have also been subject to the United Kingdom General Data Protection Regulation and Data Protection Act 2018, which collectively imposes separate but similar obligations to those under the GDPR and comparable penalties, including fines of up to £17.5 million or 4% of a noncompliant undertaking’s global annual revenue for the preceding financial year, whichever is greater. On October 12, 2023, the U.K. Extension to the DPF came into effect (as approved by the U.K. government), as a data transfer mechanism from the U.K. to U.S. entities self-certified under the DPF. Other foreign jurisdictions are increasingly implementing or developing their own privacy regimes with complex and onerous compliance obligations and robust regulatory enforcement powers. As we continue to expand into other foreign countries and jurisdictions, we may be subject to additional laws and regulations that may affect how we conduct business.</w:t>
      </w:r>
    </w:p>
    <w:p>
      <w:pPr>
        <w:spacing w:after="0" w:line="215" w:lineRule="exact"/>
        <w:rPr>
          <w:sz w:val="20"/>
          <w:szCs w:val="20"/>
          <w:color w:val="auto"/>
        </w:rPr>
      </w:pPr>
    </w:p>
    <w:p>
      <w:pPr>
        <w:jc w:val="both"/>
        <w:ind w:firstLine="490"/>
        <w:spacing w:after="0" w:line="270" w:lineRule="auto"/>
        <w:rPr>
          <w:sz w:val="20"/>
          <w:szCs w:val="20"/>
          <w:color w:val="auto"/>
        </w:rPr>
      </w:pPr>
      <w:r>
        <w:rPr>
          <w:rFonts w:ascii="Calibri" w:cs="Calibri" w:eastAsia="Calibri" w:hAnsi="Calibri"/>
          <w:sz w:val="19"/>
          <w:szCs w:val="19"/>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59</w:t>
      </w:r>
    </w:p>
    <w:p>
      <w:pPr>
        <w:sectPr>
          <w:pgSz w:w="12240" w:h="15840" w:orient="portrait"/>
          <w:cols w:equalWidth="0" w:num="1">
            <w:col w:w="11160"/>
          </w:cols>
          <w:pgMar w:left="540" w:top="532" w:right="540" w:bottom="9" w:gutter="0" w:footer="0" w:header="0"/>
          <w:type w:val="continuous"/>
        </w:sectPr>
      </w:pPr>
    </w:p>
    <w:bookmarkStart w:id="61" w:name="page62"/>
    <w:bookmarkEnd w:id="61"/>
    <w:p>
      <w:pPr>
        <w:jc w:val="both"/>
        <w:spacing w:after="0" w:line="251" w:lineRule="auto"/>
        <w:rPr>
          <w:sz w:val="20"/>
          <w:szCs w:val="20"/>
          <w:color w:val="auto"/>
        </w:rPr>
      </w:pPr>
      <w:r>
        <w:rPr>
          <w:rFonts w:ascii="Calibri" w:cs="Calibri" w:eastAsia="Calibri" w:hAnsi="Calibri"/>
          <w:sz w:val="20"/>
          <w:szCs w:val="20"/>
          <w:color w:val="auto"/>
        </w:rPr>
        <w:t>employees, representatives, contractors, consultants or other third parties to comply with such requirements or adequately address privacy and security concerns, even if unfounded, could result in additional cost and liability to us, damage our reputation, and have a material adverse effect on our business, financial condition and results of operations.</w:t>
      </w: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We may be negatively impacted by continued inflation.</w:t>
      </w:r>
    </w:p>
    <w:p>
      <w:pPr>
        <w:spacing w:after="0" w:line="241" w:lineRule="exact"/>
        <w:rPr>
          <w:sz w:val="20"/>
          <w:szCs w:val="20"/>
          <w:color w:val="auto"/>
        </w:rPr>
      </w:pPr>
    </w:p>
    <w:p>
      <w:pPr>
        <w:jc w:val="both"/>
        <w:ind w:firstLine="490"/>
        <w:spacing w:after="0" w:line="244" w:lineRule="auto"/>
        <w:rPr>
          <w:sz w:val="20"/>
          <w:szCs w:val="20"/>
          <w:color w:val="auto"/>
        </w:rPr>
      </w:pPr>
      <w:r>
        <w:rPr>
          <w:rFonts w:ascii="Calibri" w:cs="Calibri" w:eastAsia="Calibri" w:hAnsi="Calibri"/>
          <w:sz w:val="20"/>
          <w:szCs w:val="20"/>
          <w:color w:val="auto"/>
        </w:rPr>
        <w:t>We may be adversely impacted by continued increases in inflation. Current and future inflation may be driven by the following factors: supply chain disruptions, increased tariffs and retaliatory tariffs, increased costs of transportation, increased input costs such as the cost of fuel, shortages, and governmental stimulus or fiscal policies. Continuing increases in inflation could impact the overall demand for our product, our costs for labor and materials and the size of any margins we are able to realize on our revenues. This would have a material and adverse impact on our business, financial position, results of operations and cash flows. Inflation may also result in higher interest rates, which in turn would result in higher interest expense related to our variable rate indebtedness.</w:t>
      </w:r>
    </w:p>
    <w:p>
      <w:pPr>
        <w:spacing w:after="0" w:line="213" w:lineRule="exact"/>
        <w:rPr>
          <w:sz w:val="20"/>
          <w:szCs w:val="20"/>
          <w:color w:val="auto"/>
        </w:rPr>
      </w:pPr>
    </w:p>
    <w:p>
      <w:pPr>
        <w:jc w:val="both"/>
        <w:spacing w:after="0" w:line="263" w:lineRule="auto"/>
        <w:rPr>
          <w:sz w:val="20"/>
          <w:szCs w:val="20"/>
          <w:color w:val="auto"/>
        </w:rPr>
      </w:pPr>
      <w:r>
        <w:rPr>
          <w:rFonts w:ascii="Calibri" w:cs="Calibri" w:eastAsia="Calibri" w:hAnsi="Calibri"/>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95" w:lineRule="exact"/>
        <w:rPr>
          <w:sz w:val="20"/>
          <w:szCs w:val="20"/>
          <w:color w:val="auto"/>
        </w:rPr>
      </w:pPr>
    </w:p>
    <w:p>
      <w:pPr>
        <w:jc w:val="both"/>
        <w:ind w:firstLine="490"/>
        <w:spacing w:after="0" w:line="241" w:lineRule="auto"/>
        <w:rPr>
          <w:sz w:val="20"/>
          <w:szCs w:val="20"/>
          <w:color w:val="auto"/>
        </w:rPr>
      </w:pPr>
      <w:r>
        <w:rPr>
          <w:rFonts w:ascii="Calibri" w:cs="Calibri" w:eastAsia="Calibri" w:hAnsi="Calibri"/>
          <w:sz w:val="20"/>
          <w:szCs w:val="20"/>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1B.  </w:t>
      </w:r>
      <w:r>
        <w:rPr>
          <w:rFonts w:ascii="Calibri" w:cs="Calibri" w:eastAsia="Calibri" w:hAnsi="Calibri"/>
          <w:sz w:val="20"/>
          <w:szCs w:val="20"/>
          <w:b w:val="1"/>
          <w:bCs w:val="1"/>
          <w:i w:val="1"/>
          <w:iCs w:val="1"/>
          <w:color w:val="auto"/>
        </w:rPr>
        <w:t>Unresolved Staff Comments</w:t>
      </w:r>
    </w:p>
    <w:p>
      <w:pPr>
        <w:spacing w:after="0" w:line="120"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Not applicable.</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1C.  </w:t>
      </w:r>
      <w:r>
        <w:rPr>
          <w:rFonts w:ascii="Calibri" w:cs="Calibri" w:eastAsia="Calibri" w:hAnsi="Calibri"/>
          <w:sz w:val="20"/>
          <w:szCs w:val="20"/>
          <w:b w:val="1"/>
          <w:bCs w:val="1"/>
          <w:i w:val="1"/>
          <w:iCs w:val="1"/>
          <w:color w:val="auto"/>
        </w:rPr>
        <w:t>Cybersecurity</w:t>
      </w:r>
    </w:p>
    <w:p>
      <w:pPr>
        <w:spacing w:after="0" w:line="12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Cybersecurity Risk Management and Strategy</w:t>
      </w:r>
    </w:p>
    <w:p>
      <w:pPr>
        <w:spacing w:after="0" w:line="120"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We have developed and implemented a cybersecurity risk management program intended to protect the confidentiality, integrity, and availability of our critical systems and information. Our cybersecurity risk management program is designed to align with industry standards and incorporates best practices such as the National Institute of Standards and Technology (“NIST”) Cybersecurity Framework. This does not imply that we meet any particular technical standards, specifications, or requirements, only that we use the NIST as a guide to help us identify, assess, and manage cybersecurity risks relevant to our business.</w:t>
      </w:r>
    </w:p>
    <w:p>
      <w:pPr>
        <w:spacing w:after="0" w:line="216" w:lineRule="exact"/>
        <w:rPr>
          <w:sz w:val="20"/>
          <w:szCs w:val="20"/>
          <w:color w:val="auto"/>
        </w:rPr>
      </w:pPr>
    </w:p>
    <w:p>
      <w:pPr>
        <w:jc w:val="both"/>
        <w:ind w:firstLine="720"/>
        <w:spacing w:after="0" w:line="250" w:lineRule="auto"/>
        <w:rPr>
          <w:sz w:val="20"/>
          <w:szCs w:val="20"/>
          <w:color w:val="auto"/>
        </w:rPr>
      </w:pPr>
      <w:r>
        <w:rPr>
          <w:rFonts w:ascii="Calibri" w:cs="Calibri" w:eastAsia="Calibri" w:hAnsi="Calibri"/>
          <w:sz w:val="20"/>
          <w:szCs w:val="20"/>
          <w:color w:val="auto"/>
        </w:rPr>
        <w:t>We have also established an interdisciplinary Cybersecurity Incident Response Team (“CIRT”), which is responsible for our incident response plan, our security controls, and for assessing incidents reported by our information technology security team. In addition, our cybersecurity risk management program includes:</w:t>
      </w:r>
    </w:p>
    <w:p>
      <w:pPr>
        <w:spacing w:after="0" w:line="90" w:lineRule="exact"/>
        <w:rPr>
          <w:sz w:val="20"/>
          <w:szCs w:val="20"/>
          <w:color w:val="auto"/>
        </w:rPr>
      </w:pPr>
    </w:p>
    <w:p>
      <w:pPr>
        <w:ind w:left="1080" w:hanging="353"/>
        <w:spacing w:after="0"/>
        <w:tabs>
          <w:tab w:leader="none" w:pos="1080" w:val="left"/>
        </w:tabs>
        <w:numPr>
          <w:ilvl w:val="0"/>
          <w:numId w:val="41"/>
        </w:numPr>
        <w:rPr>
          <w:rFonts w:ascii="Calibri" w:cs="Calibri" w:eastAsia="Calibri" w:hAnsi="Calibri"/>
          <w:sz w:val="20"/>
          <w:szCs w:val="20"/>
          <w:color w:val="auto"/>
        </w:rPr>
      </w:pPr>
      <w:r>
        <w:rPr>
          <w:rFonts w:ascii="Calibri" w:cs="Calibri" w:eastAsia="Calibri" w:hAnsi="Calibri"/>
          <w:sz w:val="20"/>
          <w:szCs w:val="20"/>
          <w:color w:val="auto"/>
        </w:rPr>
        <w:t>Monitoring and evaluation of our vulnerability performance.</w:t>
      </w:r>
    </w:p>
    <w:p>
      <w:pPr>
        <w:spacing w:after="0" w:line="118" w:lineRule="exact"/>
        <w:rPr>
          <w:rFonts w:ascii="Calibri" w:cs="Calibri" w:eastAsia="Calibri" w:hAnsi="Calibri"/>
          <w:sz w:val="20"/>
          <w:szCs w:val="20"/>
          <w:color w:val="auto"/>
        </w:rPr>
      </w:pPr>
    </w:p>
    <w:p>
      <w:pPr>
        <w:jc w:val="both"/>
        <w:ind w:left="1080" w:hanging="353"/>
        <w:spacing w:after="0" w:line="251" w:lineRule="auto"/>
        <w:tabs>
          <w:tab w:leader="none" w:pos="1080" w:val="left"/>
        </w:tabs>
        <w:numPr>
          <w:ilvl w:val="0"/>
          <w:numId w:val="41"/>
        </w:numPr>
        <w:rPr>
          <w:rFonts w:ascii="Calibri" w:cs="Calibri" w:eastAsia="Calibri" w:hAnsi="Calibri"/>
          <w:sz w:val="20"/>
          <w:szCs w:val="20"/>
          <w:color w:val="auto"/>
        </w:rPr>
      </w:pPr>
      <w:r>
        <w:rPr>
          <w:rFonts w:ascii="Calibri" w:cs="Calibri" w:eastAsia="Calibri" w:hAnsi="Calibri"/>
          <w:sz w:val="20"/>
          <w:szCs w:val="20"/>
          <w:color w:val="auto"/>
        </w:rPr>
        <w:t>Implementation of processes to oversee and identify risks from cybersecurity threats associated with our use of third-party service providers that have access to our critical systems and information. For any agreements with service providers that do not contain acceptable protections, we are working to put them in place on an ongoing basis.</w:t>
      </w:r>
    </w:p>
    <w:p>
      <w:pPr>
        <w:spacing w:after="0" w:line="87" w:lineRule="exact"/>
        <w:rPr>
          <w:rFonts w:ascii="Calibri" w:cs="Calibri" w:eastAsia="Calibri" w:hAnsi="Calibri"/>
          <w:sz w:val="20"/>
          <w:szCs w:val="20"/>
          <w:color w:val="auto"/>
        </w:rPr>
      </w:pPr>
    </w:p>
    <w:p>
      <w:pPr>
        <w:jc w:val="both"/>
        <w:ind w:left="1080" w:hanging="353"/>
        <w:spacing w:after="0" w:line="247" w:lineRule="auto"/>
        <w:tabs>
          <w:tab w:leader="none" w:pos="1080" w:val="left"/>
        </w:tabs>
        <w:numPr>
          <w:ilvl w:val="0"/>
          <w:numId w:val="41"/>
        </w:numPr>
        <w:rPr>
          <w:rFonts w:ascii="Calibri" w:cs="Calibri" w:eastAsia="Calibri" w:hAnsi="Calibri"/>
          <w:sz w:val="20"/>
          <w:szCs w:val="20"/>
          <w:color w:val="auto"/>
        </w:rPr>
      </w:pPr>
      <w:r>
        <w:rPr>
          <w:rFonts w:ascii="Calibri" w:cs="Calibri" w:eastAsia="Calibri" w:hAnsi="Calibri"/>
          <w:sz w:val="20"/>
          <w:szCs w:val="20"/>
          <w:color w:val="auto"/>
        </w:rPr>
        <w:t>Risk assessments designed to help identify material cybersecurity risks to our critical systems, information, products, services, and our broader enterprise information technology environment. We use a third-party consultant to provide us with advisory, project execution, and operational support in connection with cybersecurity and to conduct NIST assessments and vulnerability evaluations.</w:t>
      </w:r>
    </w:p>
    <w:p>
      <w:pPr>
        <w:spacing w:after="0" w:line="91" w:lineRule="exact"/>
        <w:rPr>
          <w:rFonts w:ascii="Calibri" w:cs="Calibri" w:eastAsia="Calibri" w:hAnsi="Calibri"/>
          <w:sz w:val="20"/>
          <w:szCs w:val="20"/>
          <w:color w:val="auto"/>
        </w:rPr>
      </w:pPr>
    </w:p>
    <w:p>
      <w:pPr>
        <w:ind w:left="1080" w:hanging="353"/>
        <w:spacing w:after="0"/>
        <w:tabs>
          <w:tab w:leader="none" w:pos="1080" w:val="left"/>
        </w:tabs>
        <w:numPr>
          <w:ilvl w:val="0"/>
          <w:numId w:val="41"/>
        </w:numPr>
        <w:rPr>
          <w:rFonts w:ascii="Calibri" w:cs="Calibri" w:eastAsia="Calibri" w:hAnsi="Calibri"/>
          <w:sz w:val="20"/>
          <w:szCs w:val="20"/>
          <w:color w:val="auto"/>
        </w:rPr>
      </w:pPr>
      <w:r>
        <w:rPr>
          <w:rFonts w:ascii="Calibri" w:cs="Calibri" w:eastAsia="Calibri" w:hAnsi="Calibri"/>
          <w:sz w:val="20"/>
          <w:szCs w:val="20"/>
          <w:color w:val="auto"/>
        </w:rPr>
        <w:t>Cybersecurity awareness training of our employees, contractors, incident response personnel, and senior management.</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60</w:t>
      </w:r>
    </w:p>
    <w:p>
      <w:pPr>
        <w:sectPr>
          <w:pgSz w:w="12240" w:h="15840" w:orient="portrait"/>
          <w:cols w:equalWidth="0" w:num="1">
            <w:col w:w="11160"/>
          </w:cols>
          <w:pgMar w:left="540" w:top="532" w:right="540" w:bottom="9" w:gutter="0" w:footer="0" w:header="0"/>
          <w:type w:val="continuous"/>
        </w:sectPr>
      </w:pPr>
    </w:p>
    <w:bookmarkStart w:id="62" w:name="page63"/>
    <w:bookmarkEnd w:id="62"/>
    <w:p>
      <w:pPr>
        <w:jc w:val="both"/>
        <w:ind w:firstLine="720"/>
        <w:spacing w:after="0" w:line="245" w:lineRule="auto"/>
        <w:rPr>
          <w:sz w:val="20"/>
          <w:szCs w:val="20"/>
          <w:color w:val="auto"/>
        </w:rPr>
      </w:pPr>
      <w:r>
        <w:rPr>
          <w:rFonts w:ascii="Calibri" w:cs="Calibri" w:eastAsia="Calibri" w:hAnsi="Calibri"/>
          <w:sz w:val="20"/>
          <w:szCs w:val="20"/>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titled “Risk Factor— Our information technology systems, or those used by our third-party CROs or other contractors or consultants, may fail or suffer security breaches and geopolitical tensions or conflicts, such as the ongoing war in Ukraine or conflicts in the Middle East, may create a heightened risk of cyberattacks.”</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Cybersecurity Governance</w:t>
      </w:r>
    </w:p>
    <w:p>
      <w:pPr>
        <w:spacing w:after="0" w:line="241"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Risk assessment and oversight are an integral part of our governance and management processes. Our Board of Directors encourages management to promote a culture that incorporates risk management into our corporate strategy and day-to-day business operations. Our Board considers cybersecurity risk as part of its risk oversight function and oversees management’s implementation of our cybersecurity risk management program.</w:t>
      </w:r>
    </w:p>
    <w:p>
      <w:pPr>
        <w:spacing w:after="0" w:line="211"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Management discusses strategic and operational risks at regular management meetings and conducts specific strategic planning and review sessions throughout the year. Throughout the year, senior management reviews these risks, including with respect to cybersecurity, at meetings with the Board of Directors or the Audit Committee from time to time as part of management presentations that focus on particular business functions, operations or strategies and presents the steps taken by management to mitigate or eliminate such risks. We have implemented a risk-based approach to identify and assess the cybersecurity threats that could adversely affect our business, data or information systems that we use or own.</w:t>
      </w:r>
    </w:p>
    <w:p>
      <w:pPr>
        <w:spacing w:after="0" w:line="216"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Our Head of Information Technology is primarily responsible for our cybersecurity risk management program and oversees the day-to-day administration of our cybersecurity program. He has over 20 years of experience leading information technology functions, including more than 15 years overseeing cybersecurity programs. The Head of Information Technology supervises both our internal cybersecurity personnel and our retained external cybersecurity consultants in consultation with the CIRT. In addition to our Head of Information Technology, the CIRT includes our Chief Financial Officer and Chief Legal Officer. As key members of our management team, all members of our CIRT each have significant risk management experience. Key members of our information technology management team collectively possess over 45 years of hands-on experience in implementing a diverse array of cybersecurity initiatives. Their expertise spans both cloud and on-premise IT infrastructure and applications/systems, cultivated through extensive engagement across various regulated environments.</w:t>
      </w:r>
    </w:p>
    <w:p>
      <w:pPr>
        <w:spacing w:after="0" w:line="222"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2.  </w:t>
      </w:r>
      <w:r>
        <w:rPr>
          <w:rFonts w:ascii="Calibri" w:cs="Calibri" w:eastAsia="Calibri" w:hAnsi="Calibri"/>
          <w:sz w:val="20"/>
          <w:szCs w:val="20"/>
          <w:b w:val="1"/>
          <w:bCs w:val="1"/>
          <w:i w:val="1"/>
          <w:iCs w:val="1"/>
          <w:color w:val="auto"/>
        </w:rPr>
        <w:t>Properties</w:t>
      </w:r>
    </w:p>
    <w:p>
      <w:pPr>
        <w:spacing w:after="0" w:line="241"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Our headquarters are located in Redwood City, California, where we occupy office space under a lease that will expire in September 2027. Our analytical and process development laboratory is located in Camarillo, California under a lease that expires in May 2027, and contains a one-time option to extend the lease term for five years.</w:t>
      </w:r>
    </w:p>
    <w:p>
      <w:pPr>
        <w:spacing w:after="0" w:line="206" w:lineRule="exact"/>
        <w:rPr>
          <w:sz w:val="20"/>
          <w:szCs w:val="20"/>
          <w:color w:val="auto"/>
        </w:rPr>
      </w:pPr>
    </w:p>
    <w:p>
      <w:pPr>
        <w:jc w:val="both"/>
        <w:ind w:firstLine="720"/>
        <w:spacing w:after="0" w:line="250" w:lineRule="auto"/>
        <w:rPr>
          <w:sz w:val="20"/>
          <w:szCs w:val="20"/>
          <w:color w:val="auto"/>
        </w:rPr>
      </w:pPr>
      <w:r>
        <w:rPr>
          <w:rFonts w:ascii="Calibri" w:cs="Calibri" w:eastAsia="Calibri" w:hAnsi="Calibri"/>
          <w:sz w:val="20"/>
          <w:szCs w:val="20"/>
          <w:color w:val="auto"/>
        </w:rPr>
        <w:t>We believe that our existing facilities are adequate for our current needs. In conjunction with the expiration of our leases or changes in our business, we may exercise our renewal option or look for additional or alternate space for our operations. We believe that suitable additional or alternative space will be available in the future on commercially reasonable terms.</w:t>
      </w:r>
    </w:p>
    <w:p>
      <w:pPr>
        <w:spacing w:after="0" w:line="21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3.  </w:t>
      </w:r>
      <w:r>
        <w:rPr>
          <w:rFonts w:ascii="Calibri" w:cs="Calibri" w:eastAsia="Calibri" w:hAnsi="Calibri"/>
          <w:sz w:val="20"/>
          <w:szCs w:val="20"/>
          <w:b w:val="1"/>
          <w:bCs w:val="1"/>
          <w:i w:val="1"/>
          <w:iCs w:val="1"/>
          <w:color w:val="auto"/>
        </w:rPr>
        <w:t>Legal Proceedings</w:t>
      </w:r>
    </w:p>
    <w:p>
      <w:pPr>
        <w:spacing w:after="0" w:line="240"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The information called for by this Item is incorporated herein by reference to Item 8. “Financial Statements and Supplementary Data,” Note 9, “Commitments and Contingencies.”</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4.  </w:t>
      </w:r>
      <w:r>
        <w:rPr>
          <w:rFonts w:ascii="Calibri" w:cs="Calibri" w:eastAsia="Calibri" w:hAnsi="Calibri"/>
          <w:sz w:val="20"/>
          <w:szCs w:val="20"/>
          <w:b w:val="1"/>
          <w:bCs w:val="1"/>
          <w:i w:val="1"/>
          <w:iCs w:val="1"/>
          <w:color w:val="auto"/>
        </w:rPr>
        <w:t>Mine Safety Disclosures</w:t>
      </w:r>
    </w:p>
    <w:p>
      <w:pPr>
        <w:spacing w:after="0" w:line="240"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Not applicable.</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61</w:t>
      </w:r>
    </w:p>
    <w:p>
      <w:pPr>
        <w:sectPr>
          <w:pgSz w:w="12240" w:h="15840" w:orient="portrait"/>
          <w:cols w:equalWidth="0" w:num="1">
            <w:col w:w="11160"/>
          </w:cols>
          <w:pgMar w:left="540" w:top="532" w:right="540" w:bottom="9" w:gutter="0" w:footer="0" w:header="0"/>
          <w:type w:val="continuous"/>
        </w:sectPr>
      </w:pPr>
    </w:p>
    <w:bookmarkStart w:id="63" w:name="page64"/>
    <w:bookmarkEnd w:id="63"/>
    <w:p>
      <w:pPr>
        <w:jc w:val="center"/>
        <w:spacing w:after="0"/>
        <w:rPr>
          <w:sz w:val="20"/>
          <w:szCs w:val="20"/>
          <w:color w:val="auto"/>
        </w:rPr>
      </w:pPr>
      <w:r>
        <w:rPr>
          <w:rFonts w:ascii="Calibri" w:cs="Calibri" w:eastAsia="Calibri" w:hAnsi="Calibri"/>
          <w:sz w:val="20"/>
          <w:szCs w:val="20"/>
          <w:b w:val="1"/>
          <w:bCs w:val="1"/>
          <w:color w:val="auto"/>
        </w:rPr>
        <w:t>PART II</w:t>
      </w:r>
    </w:p>
    <w:p>
      <w:pPr>
        <w:spacing w:after="0" w:line="23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5.  </w:t>
      </w:r>
      <w:r>
        <w:rPr>
          <w:rFonts w:ascii="Calibri" w:cs="Calibri" w:eastAsia="Calibri" w:hAnsi="Calibri"/>
          <w:sz w:val="20"/>
          <w:szCs w:val="20"/>
          <w:b w:val="1"/>
          <w:bCs w:val="1"/>
          <w:i w:val="1"/>
          <w:iCs w:val="1"/>
          <w:color w:val="auto"/>
        </w:rPr>
        <w:t>Market for Registrant’s Common Equity, Related Stockholder Matters and Issuer Purchases of Equity Securities</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Market Information</w:t>
      </w:r>
    </w:p>
    <w:p>
      <w:pPr>
        <w:spacing w:after="0" w:line="240" w:lineRule="exact"/>
        <w:rPr>
          <w:sz w:val="20"/>
          <w:szCs w:val="20"/>
          <w:color w:val="auto"/>
        </w:rPr>
      </w:pPr>
    </w:p>
    <w:p>
      <w:pPr>
        <w:jc w:val="both"/>
        <w:ind w:firstLine="720"/>
        <w:spacing w:after="0" w:line="263" w:lineRule="auto"/>
        <w:rPr>
          <w:sz w:val="20"/>
          <w:szCs w:val="20"/>
          <w:color w:val="auto"/>
        </w:rPr>
      </w:pPr>
      <w:r>
        <w:rPr>
          <w:rFonts w:ascii="Calibri" w:cs="Calibri" w:eastAsia="Calibri" w:hAnsi="Calibri"/>
          <w:sz w:val="20"/>
          <w:szCs w:val="20"/>
          <w:color w:val="auto"/>
        </w:rPr>
        <w:t>Our common stock has been listed on The Nasdaq Global Market under the symbol “CHRS” since November 6, 2014. As of February 28, 2026, there were approximately 82 stockholders of record of our common stock.</w:t>
      </w:r>
    </w:p>
    <w:p>
      <w:pPr>
        <w:spacing w:after="0" w:line="19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Dividends</w:t>
      </w:r>
    </w:p>
    <w:p>
      <w:pPr>
        <w:spacing w:after="0" w:line="241" w:lineRule="exact"/>
        <w:rPr>
          <w:sz w:val="20"/>
          <w:szCs w:val="20"/>
          <w:color w:val="auto"/>
        </w:rPr>
      </w:pPr>
    </w:p>
    <w:p>
      <w:pPr>
        <w:jc w:val="both"/>
        <w:ind w:right="20" w:firstLine="720"/>
        <w:spacing w:after="0" w:line="262" w:lineRule="auto"/>
        <w:rPr>
          <w:sz w:val="20"/>
          <w:szCs w:val="20"/>
          <w:color w:val="auto"/>
        </w:rPr>
      </w:pPr>
      <w:r>
        <w:rPr>
          <w:rFonts w:ascii="Calibri" w:cs="Calibri" w:eastAsia="Calibri" w:hAnsi="Calibri"/>
          <w:sz w:val="20"/>
          <w:szCs w:val="20"/>
          <w:color w:val="auto"/>
        </w:rPr>
        <w:t>We have never declared or paid any cash dividends on our capital stock and do not anticipate paying cash dividends in the foreseeable future.</w:t>
      </w:r>
    </w:p>
    <w:p>
      <w:pPr>
        <w:spacing w:after="0" w:line="19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Stock Performance Graph</w:t>
      </w:r>
    </w:p>
    <w:p>
      <w:pPr>
        <w:spacing w:after="0" w:line="241"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We are a smaller reporting company as defined by Rule 12b - 2 of the Exchange Act, and in Item 10(f)(1) of Regulation S-K, therefore this disclosure item is not applicable.</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Recent Sales of Unregistered Equity Securities</w:t>
      </w:r>
    </w:p>
    <w:p>
      <w:pPr>
        <w:spacing w:after="0" w:line="240"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On October 20, 2025, the Company entered into a securities purchase agreement with certain accredited investors pursuant to which the Company sold to the investors: (i) an aggregate of 4,634,995 shares of the Company’s common stock, par value $0.0001 per share (the “PIPE Shares”), and (ii) warrants (the “PIPE Warrants”) to purchase an aggregate of 463,498 shares of common stock, for an aggregate purchase price of approximately $8.0 million. The purchase price for each PIPE Share, inclusive of a PIPE Warrant, was $1.726. Each PIPE Warrant entitles the holder to purchase shares of common stock at an exercise price of $0.01 per share, subject to adjustment in the event of stock dividends, stock splits, reorganizations or similar events affecting the Company’s common stock. The PIPE Warrants are exercisable at any time on or after the date of issuance and on or prior to October 21, 2030. As of December 31, 2025, no PIPE Warrants had been exercised.</w:t>
      </w:r>
    </w:p>
    <w:p>
      <w:pPr>
        <w:spacing w:after="0" w:line="216"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The PIPE Shares and the PIPE Warrants were offered and sold in reliance upon the exemption from registration provided by Section 4(a)(2) of the Securities Act of 1933, as amended. Each investor represented to the Company that it was an “accredited investor” as defined in Rule 501(a) of Regulation D under the Securities Act. No placement agent or underwriter was engaged in connection with the Private Placement. The Company reimbursed Bering Partners III, L.P. for $25,000 in legal fees incurred in connection with the Private Placement.</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Issuer Purchases of Equity Securities</w:t>
      </w:r>
    </w:p>
    <w:p>
      <w:pPr>
        <w:spacing w:after="0" w:line="241" w:lineRule="exact"/>
        <w:rPr>
          <w:sz w:val="20"/>
          <w:szCs w:val="20"/>
          <w:color w:val="auto"/>
        </w:rPr>
      </w:pPr>
    </w:p>
    <w:p>
      <w:pPr>
        <w:jc w:val="both"/>
        <w:ind w:firstLine="720"/>
        <w:spacing w:after="0" w:line="250" w:lineRule="auto"/>
        <w:rPr>
          <w:sz w:val="20"/>
          <w:szCs w:val="20"/>
          <w:color w:val="auto"/>
        </w:rPr>
      </w:pPr>
      <w:r>
        <w:rPr>
          <w:rFonts w:ascii="Calibri" w:cs="Calibri" w:eastAsia="Calibri" w:hAnsi="Calibri"/>
          <w:sz w:val="20"/>
          <w:szCs w:val="20"/>
          <w:color w:val="auto"/>
        </w:rPr>
        <w:t>We did not repurchase any of our equity securities during the fourth quarter ended December 31, 2025. A total of 0 shares were surrendered to Coherus in the fourth quarter of 2025, to satisfy minimum tax withholding obligations in connection with the vesting or exercise of stock-based awards.</w:t>
      </w:r>
    </w:p>
    <w:p>
      <w:pPr>
        <w:spacing w:after="0" w:line="21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6.  [Reserved]</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62</w:t>
      </w:r>
    </w:p>
    <w:p>
      <w:pPr>
        <w:sectPr>
          <w:pgSz w:w="12240" w:h="15840" w:orient="portrait"/>
          <w:cols w:equalWidth="0" w:num="1">
            <w:col w:w="11160"/>
          </w:cols>
          <w:pgMar w:left="540" w:top="531" w:right="540" w:bottom="9" w:gutter="0" w:footer="0" w:header="0"/>
          <w:type w:val="continuous"/>
        </w:sectPr>
      </w:pPr>
    </w:p>
    <w:bookmarkStart w:id="64" w:name="page65"/>
    <w:bookmarkEnd w:id="64"/>
    <w:p>
      <w:pPr>
        <w:spacing w:after="0"/>
        <w:rPr>
          <w:sz w:val="20"/>
          <w:szCs w:val="20"/>
          <w:color w:val="auto"/>
        </w:rPr>
      </w:pPr>
      <w:r>
        <w:rPr>
          <w:rFonts w:ascii="Calibri" w:cs="Calibri" w:eastAsia="Calibri" w:hAnsi="Calibri"/>
          <w:sz w:val="20"/>
          <w:szCs w:val="20"/>
          <w:b w:val="1"/>
          <w:bCs w:val="1"/>
          <w:color w:val="auto"/>
        </w:rPr>
        <w:t>Item 7.  Management’s Discussion and Analysis of Financial Condition and Results of Operations</w:t>
      </w:r>
    </w:p>
    <w:p>
      <w:pPr>
        <w:spacing w:after="0" w:line="240" w:lineRule="exact"/>
        <w:rPr>
          <w:sz w:val="20"/>
          <w:szCs w:val="20"/>
          <w:color w:val="auto"/>
        </w:rPr>
      </w:pPr>
    </w:p>
    <w:p>
      <w:pPr>
        <w:jc w:val="both"/>
        <w:ind w:firstLine="720"/>
        <w:spacing w:after="0" w:line="257" w:lineRule="auto"/>
        <w:rPr>
          <w:sz w:val="20"/>
          <w:szCs w:val="20"/>
          <w:color w:val="auto"/>
        </w:rPr>
      </w:pPr>
      <w:r>
        <w:rPr>
          <w:rFonts w:ascii="Calibri" w:cs="Calibri" w:eastAsia="Calibri" w:hAnsi="Calibri"/>
          <w:sz w:val="19"/>
          <w:szCs w:val="19"/>
          <w:i w:val="1"/>
          <w:iCs w:val="1"/>
          <w:color w:val="auto"/>
        </w:rPr>
        <w:t>The following discussion should be read in conjunction with the consolidated financial statements and notes thereto included elsewhere in this Annual Report on Form 10 - K (“Form 10 - K”). This Form 10 - K, including the following sections, contains forward-looking statements within the meaning of the federal securities laws. These statements are subject to risks and uncertainties that could cause actual results and events to differ materially from those expressed or implied by such forward-looking statements. For a detailed discussion of these risks and uncertainties, see the “Risk Factors” section in Item 1A of this Form 10 - K. We caution the reader not to place undue reliance on these forward-looking statements, which reflect management’s analysis only as of the date of this Form 10 - K. We undertake no obligation to update forward-looking statements, which reflect events or circumstances occurring after the date of this Form 10 - K.</w:t>
      </w:r>
    </w:p>
    <w:p>
      <w:pPr>
        <w:spacing w:after="0" w:line="210"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i w:val="1"/>
          <w:iCs w:val="1"/>
          <w:color w:val="auto"/>
        </w:rPr>
        <w:t>As described below, on April 11, 2025, we sold the UDENYCA Business, which represented the last and most significant divestiture of the Company’s biosimilar businesses, which comprised the UDENYCA, YUSIMRY and CIMERLI franchises; therefore, the strategic shift criteria had been met. As a result, the assets, liabilities, and results of the biosimilar businesses were classified to discontinued operations in our Form 10-K herein. As such, we have retrospectively reclassified all assets, liabilities, and results of the biosimilar businesses as discontinued operations in the following discussion and adjusted all references to the assets, liabilities, and results of our biosimilar businesses accordingly.</w:t>
      </w: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Overview</w:t>
      </w:r>
    </w:p>
    <w:p>
      <w:pPr>
        <w:spacing w:after="0" w:line="241" w:lineRule="exact"/>
        <w:rPr>
          <w:sz w:val="20"/>
          <w:szCs w:val="20"/>
          <w:color w:val="auto"/>
        </w:rPr>
      </w:pPr>
    </w:p>
    <w:p>
      <w:pPr>
        <w:jc w:val="both"/>
        <w:ind w:firstLine="720"/>
        <w:spacing w:after="0" w:line="258" w:lineRule="auto"/>
        <w:rPr>
          <w:sz w:val="20"/>
          <w:szCs w:val="20"/>
          <w:color w:val="auto"/>
        </w:rPr>
      </w:pPr>
      <w:r>
        <w:rPr>
          <w:rFonts w:ascii="Calibri" w:cs="Calibri" w:eastAsia="Calibri" w:hAnsi="Calibri"/>
          <w:sz w:val="19"/>
          <w:szCs w:val="19"/>
          <w:color w:val="auto"/>
        </w:rPr>
        <w:t>We are a fully integrated commercial-stage innovative oncology company with an approved next-generation programmed death receptor-1 inhibitor, LOQTORZI® (toripalimab-tpzi), and a pipeline that includes two mid-stage clinical candidates targeting liver, head and neck, colorectal and other cancers. Our strategy is to grow sales of LOQTORZI in NPC and advance the development of new indications for LOQTORZI in combination with both our pipeline candidates as well as our partners, driving sales multiples and synergies from proprietary combinations. On May 29, 2025, we changed our corporate name from “Coherus BioSciences, Inc.” to “Coherus Oncology, Inc.” to better align with our exclusive focus on proprietary innovative immuno-oncology medicines following the completion of the recent divestitures of our biosimilar businesses and the transition to an exclusive focus on overcoming immune resistance in cancer with novel drugs.</w:t>
      </w:r>
    </w:p>
    <w:p>
      <w:pPr>
        <w:spacing w:after="0" w:line="204"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We previously owned UDENYCA (pegfilgrastim-cbqv), which was launched commercially in a pre-filled syringe presentation in the United States in January 2019, followed by the launch of UDENYCA in an autoinjector presentation in May 2023 and the launch of UDENYCA ONBODY in February 2024. On December 2, 2024, we entered into the UDENYCA Purchase Agreement, pursuant to which the Company agreed to divest the UDENYCA Business to Intas. On April 11, 2025, we completed the divestiture of the UDENYCA Business to Intas for upfront, all-cash consideration of $483.4 million, inclusive of $118.4 million for UDENYCA product inventory. Intas has designated Accord to purchase the physical assets, including product inventory. We are eligible to receive two additional payments of $37.5 million each (together, the “Earnout Payments”). The first such payment is payable by Intas to us if net sales (as defined in the UDENYCA Purchase Agreement, “Net Sales”) of UDENYCA for four consecutive fiscal quarters from July 1, 2025 through September 30, 2026 are equal to or greater than $300 million, and the second such payment is payable by Intas to us if Net Sales of UDENYCA for four consecutive fiscal quarters from July 1, 2025 through March 31, 2027 are equal to or greater than $350 million.</w:t>
      </w:r>
    </w:p>
    <w:p>
      <w:pPr>
        <w:spacing w:after="0" w:line="219"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The UDENYCA Sale represented the last and most significant divestiture of our biosimilar businesses, which comprised the UDENYCA, YUSIMRY and CIMERLI franchises; therefore, the strategic shift criteria had been met and discontinued operations presentation has been included in the consolidated financial statements for all periods presented.</w:t>
      </w:r>
    </w:p>
    <w:p>
      <w:pPr>
        <w:spacing w:after="0" w:line="207"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On October 27, 2023, we announced that LOQTORZI was approved by the FDA in combination with cisplatin and gemcitabine for the first-line treatment of adults with metastatic or recurrent locally advanced NPC, and as monotherapy for the treatment of adults with recurrent unresectable, or metastatic NPC with disease progression on or after platinum-containing chemotherapy. LOQTORZI is an anti-PD-1 antibody that we developed in collaboration with Junshi Biosciences that is currently the only immune checkpoint inhibitor approved by the FDA for the treatment of these indications that is commercially available in the United States. We announced the launch of LOQTORZI in the U.S. on January 2, 2024. Further evaluation of LOQTORZI is expected through multiple current and planned clinical studies by us, Junshi Biosciences and our biopharma partners.</w:t>
      </w:r>
    </w:p>
    <w:p>
      <w:pPr>
        <w:spacing w:after="0" w:line="218"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We have a depth of scientific expertise, an experienced and robust manufacturing know-how and oncology clinical, regulatory, market access, sales, key account management and medical affairs capabilities in the United States, which has supported the commercialization of LOQTORZI. We expect to further leverage these capabilities as we continue to advance our immuno-oncology franchise.</w:t>
      </w:r>
    </w:p>
    <w:p>
      <w:pPr>
        <w:spacing w:after="0" w:line="213"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We primarily operate in the United States and partner with companies that operate in other countries.</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63</w:t>
      </w:r>
    </w:p>
    <w:p>
      <w:pPr>
        <w:sectPr>
          <w:pgSz w:w="12240" w:h="15840" w:orient="portrait"/>
          <w:cols w:equalWidth="0" w:num="1">
            <w:col w:w="11160"/>
          </w:cols>
          <w:pgMar w:left="540" w:top="531" w:right="540" w:bottom="9" w:gutter="0" w:footer="0" w:header="0"/>
          <w:type w:val="continuous"/>
        </w:sectPr>
      </w:pPr>
    </w:p>
    <w:bookmarkStart w:id="65" w:name="page66"/>
    <w:bookmarkEnd w:id="65"/>
    <w:p>
      <w:pPr>
        <w:spacing w:after="0"/>
        <w:rPr>
          <w:sz w:val="20"/>
          <w:szCs w:val="20"/>
          <w:color w:val="auto"/>
        </w:rPr>
      </w:pPr>
      <w:r>
        <w:rPr>
          <w:rFonts w:ascii="Calibri" w:cs="Calibri" w:eastAsia="Calibri" w:hAnsi="Calibri"/>
          <w:sz w:val="20"/>
          <w:szCs w:val="20"/>
          <w:b w:val="1"/>
          <w:bCs w:val="1"/>
          <w:color w:val="auto"/>
        </w:rPr>
        <w:t>UDENYCA Sale</w:t>
      </w:r>
    </w:p>
    <w:p>
      <w:pPr>
        <w:spacing w:after="0" w:line="240" w:lineRule="exact"/>
        <w:rPr>
          <w:sz w:val="20"/>
          <w:szCs w:val="20"/>
          <w:color w:val="auto"/>
        </w:rPr>
      </w:pPr>
    </w:p>
    <w:p>
      <w:pPr>
        <w:jc w:val="both"/>
        <w:ind w:firstLine="490"/>
        <w:spacing w:after="0" w:line="257" w:lineRule="auto"/>
        <w:rPr>
          <w:sz w:val="20"/>
          <w:szCs w:val="20"/>
          <w:color w:val="auto"/>
        </w:rPr>
      </w:pPr>
      <w:r>
        <w:rPr>
          <w:rFonts w:ascii="Calibri" w:cs="Calibri" w:eastAsia="Calibri" w:hAnsi="Calibri"/>
          <w:sz w:val="19"/>
          <w:szCs w:val="19"/>
          <w:color w:val="auto"/>
        </w:rPr>
        <w:t>On December 2, 2024, we entered into the UDENYCA Purchase Agreement by and between us and Intas. Pursuant to the terms and subject to the conditions set forth in the UDENYCA Purchase Agreement, we agreed to divest the UDENYCA Business to Intas for $483.4 million in cash, inclusive of $118.4 million of UDENYCA product inventory, subject to downward adjustment by the amount of inventory delivered at the closing of the UDENYCA Sale less than the Inventory Target. In addition, we are also eligible to receive two additional Earnout Payments of $37.5 million each, provided that certain minimum UDENYCA Net Sales thresholds are met during specified periods after the closing of the UDENYCA Sale. The first such payment is payable by Intas to us if net sales of UDENYCA for four consecutive fiscal quarters within the first five full fiscal quarters following the consummation of the UDENYCA Sale are equal to or greater than $300 million, and the second such payment is payable by Intas to us if net sales of UDENYCA for four consecutive fiscal quarters within the first seven full fiscal quarters following the consummation of the UDENYCA Sale are equal to or greater than $350 million.</w:t>
      </w:r>
    </w:p>
    <w:p>
      <w:pPr>
        <w:spacing w:after="0" w:line="202" w:lineRule="exact"/>
        <w:rPr>
          <w:sz w:val="20"/>
          <w:szCs w:val="20"/>
          <w:color w:val="auto"/>
        </w:rPr>
      </w:pPr>
    </w:p>
    <w:p>
      <w:pPr>
        <w:jc w:val="both"/>
        <w:ind w:firstLine="490"/>
        <w:spacing w:after="0" w:line="245" w:lineRule="auto"/>
        <w:rPr>
          <w:sz w:val="20"/>
          <w:szCs w:val="20"/>
          <w:color w:val="auto"/>
        </w:rPr>
      </w:pPr>
      <w:r>
        <w:rPr>
          <w:rFonts w:ascii="Calibri" w:cs="Calibri" w:eastAsia="Calibri" w:hAnsi="Calibri"/>
          <w:sz w:val="20"/>
          <w:szCs w:val="20"/>
          <w:color w:val="auto"/>
        </w:rPr>
        <w:t>Our board of directors unanimously approved and declared the UDENYCA Purchase Agreement and the transactions contemplated thereby, including the UDENYCA Sale, to be in the best interest of the Company and its stockholders, and resolved to recommend that the our stockholders adopt the UDENYCA Purchase Agreement. There was a vote of our stockholders at a special stockholder meeting on March 11, 2025 where our stockholders approved the UDENYCA Sale, the UDENYCA Purchase Agreement and the other transactions and ancillary documents contemplated by the Asset Purchase Agreement. The transactions contemplated thereby closed on April 11, 2025.</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Product and Product Candidates</w:t>
      </w:r>
    </w:p>
    <w:p>
      <w:pPr>
        <w:spacing w:after="0" w:line="241"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Our portfolio includes the following product and product candidates:</w:t>
      </w:r>
    </w:p>
    <w:p>
      <w:pPr>
        <w:spacing w:after="0" w:line="249" w:lineRule="exact"/>
        <w:rPr>
          <w:sz w:val="20"/>
          <w:szCs w:val="20"/>
          <w:color w:val="auto"/>
        </w:rPr>
      </w:pPr>
    </w:p>
    <w:p>
      <w:pPr>
        <w:jc w:val="both"/>
        <w:ind w:left="1080" w:hanging="353"/>
        <w:spacing w:after="0" w:line="242" w:lineRule="auto"/>
        <w:tabs>
          <w:tab w:leader="none" w:pos="1080" w:val="left"/>
        </w:tabs>
        <w:numPr>
          <w:ilvl w:val="0"/>
          <w:numId w:val="42"/>
        </w:numPr>
        <w:rPr>
          <w:rFonts w:ascii="Symbol" w:cs="Symbol" w:eastAsia="Symbol" w:hAnsi="Symbol"/>
          <w:sz w:val="20"/>
          <w:szCs w:val="20"/>
          <w:color w:val="auto"/>
        </w:rPr>
      </w:pPr>
      <w:r>
        <w:rPr>
          <w:rFonts w:ascii="Calibri" w:cs="Calibri" w:eastAsia="Calibri" w:hAnsi="Calibri"/>
          <w:sz w:val="20"/>
          <w:szCs w:val="20"/>
          <w:color w:val="auto"/>
        </w:rPr>
        <w:t>LOQTORZI was developed for its ability to block PD-1 interactions with its ligands, PD-L1 and PD-L2, by binding to the FG loop on the PD-1 receptor. We believe blocking PD-1 interactions with PD-L1 and PD-L2 can help to promote the immune system’s ability to attack and kill tumor cells. On October 27, 2023, we announced that LOQTORZI was approved by the FDA in combination with cisplatin and gemcitabine for the first-line treatment of adults with metastatic or recurrent locally advanced NPC, and as monotherapy for the treatment of adults with recurrent, unresectable, or metastatic NPC with disease progression on or after platinum-containing chemotherapy. LOQTORZI is an anti-PD-1 antibody that we developed in collaboration with Junshi Biosciences. We announced the launch of LOQTORZI in the U.S. on January 2, 2024.</w:t>
      </w:r>
    </w:p>
    <w:p>
      <w:pPr>
        <w:spacing w:after="0" w:line="216" w:lineRule="exact"/>
        <w:rPr>
          <w:rFonts w:ascii="Symbol" w:cs="Symbol" w:eastAsia="Symbol" w:hAnsi="Symbol"/>
          <w:sz w:val="20"/>
          <w:szCs w:val="20"/>
          <w:color w:val="auto"/>
        </w:rPr>
      </w:pPr>
    </w:p>
    <w:p>
      <w:pPr>
        <w:jc w:val="both"/>
        <w:ind w:left="1080"/>
        <w:spacing w:after="0" w:line="243" w:lineRule="auto"/>
        <w:rPr>
          <w:rFonts w:ascii="Symbol" w:cs="Symbol" w:eastAsia="Symbol" w:hAnsi="Symbol"/>
          <w:sz w:val="20"/>
          <w:szCs w:val="20"/>
          <w:color w:val="auto"/>
        </w:rPr>
      </w:pPr>
      <w:r>
        <w:rPr>
          <w:rFonts w:ascii="Calibri" w:cs="Calibri" w:eastAsia="Calibri" w:hAnsi="Calibri"/>
          <w:sz w:val="20"/>
          <w:szCs w:val="20"/>
          <w:color w:val="auto"/>
        </w:rPr>
        <w:t>On December 11, 2023 we announced that NCCN updated the clinical practice guidelines for NPC to include LOQTORZI as a preferred, category 1 first-line treatment option for adults with metastatic or recurrent locally advanced NPC when used in combination with cisplatin and gemcitabine. On November 26, 2024, NCCN made a further update to the clinical practice guidelines for NPC to specify that LOQTORZI is the only preferred category 1 first-line treatment option for adults with metastatic or recurrent locally advanced NPC when used in combination with cisplatin and gemcitabine. The guidelines also recommend LOQTORZI monotherapy as the only preferred treatment in subsequent lines of therapy with disease progression on or after a platinum-containing therapy.</w:t>
      </w:r>
    </w:p>
    <w:p>
      <w:pPr>
        <w:spacing w:after="0" w:line="218" w:lineRule="exact"/>
        <w:rPr>
          <w:rFonts w:ascii="Symbol" w:cs="Symbol" w:eastAsia="Symbol" w:hAnsi="Symbol"/>
          <w:sz w:val="20"/>
          <w:szCs w:val="20"/>
          <w:color w:val="auto"/>
        </w:rPr>
      </w:pPr>
    </w:p>
    <w:p>
      <w:pPr>
        <w:jc w:val="both"/>
        <w:ind w:left="1080"/>
        <w:spacing w:after="0" w:line="241" w:lineRule="auto"/>
        <w:rPr>
          <w:rFonts w:ascii="Symbol" w:cs="Symbol" w:eastAsia="Symbol" w:hAnsi="Symbol"/>
          <w:sz w:val="20"/>
          <w:szCs w:val="20"/>
          <w:color w:val="auto"/>
        </w:rPr>
      </w:pPr>
      <w:r>
        <w:rPr>
          <w:rFonts w:ascii="Calibri" w:cs="Calibri" w:eastAsia="Calibri" w:hAnsi="Calibri"/>
          <w:sz w:val="20"/>
          <w:szCs w:val="20"/>
          <w:color w:val="auto"/>
        </w:rPr>
        <w:t>Further evaluation of LOQTORZI is expected through multiple current and planned clinical studies by us and our partners. We have a post marketing commitment study active and enrolling patients in locations in the U.S. and Canada in order to further evaluate the safety and efficacy of toripalimab in combination with chemotherapy (cisplatin and gemcitabine) in patients with advanced NPC (clinicaltrials.gov identifier# NCT06457503). Junshi Biosciences has an active multiregional Phase 3 clinical study evaluating the treatment of LOQTORZI with its investigational anti-BTLA antibody in LS-SCLC (clinicaltrials.gov identifier# NCT06095583). INOVIO Pharmaceuticals, Inc. plans a randomized Phase 3 study of INO-3112 and toripalimab in locally advanced, high risk HPV16/18+ oropharyngeal squamous cell carcinoma. Cancer Research Institute is evaluating toripalimab in combination with ENB Therapeutics’ investigational agent ENB-003 in its Phase 2 trial titled, “Immunotherapy Platform Study in Platinum Resistant High Grade Serous Ovarian Cancer (IPROC)” (clinicaltrials.gov identifier# NCT04918186) that is being performed in collaboration with Canadian Cancer Trials Group. STORM Therapeutics, Ltd. is evaluating its METTL3 inhibitor STC-15 in combination with LOQTORZI in a Phase 1b/2 study (clinicaltrials.gov identifier# NCT06975293) for the treatment of non-small cell lung cancer, head and neck squamous cell carcinoma, melanoma, and endometrial cancer. On June 27, 2024, we entered into a license Agreement with Apotex, pursuant to which, we granted to Apotex the Canada License Agreement. On October 23, 2025, Health Canada approved LOQTORZI for the treatment of recurrent unresectable or metastatic NPC.</w:t>
      </w:r>
    </w:p>
    <w:p>
      <w:pPr>
        <w:spacing w:after="0" w:line="234" w:lineRule="exact"/>
        <w:rPr>
          <w:rFonts w:ascii="Symbol" w:cs="Symbol" w:eastAsia="Symbol" w:hAnsi="Symbol"/>
          <w:sz w:val="20"/>
          <w:szCs w:val="20"/>
          <w:color w:val="auto"/>
        </w:rPr>
      </w:pPr>
    </w:p>
    <w:p>
      <w:pPr>
        <w:jc w:val="both"/>
        <w:ind w:left="1080" w:hanging="353"/>
        <w:spacing w:after="0" w:line="245" w:lineRule="auto"/>
        <w:tabs>
          <w:tab w:leader="none" w:pos="1080" w:val="left"/>
        </w:tabs>
        <w:numPr>
          <w:ilvl w:val="0"/>
          <w:numId w:val="42"/>
        </w:numPr>
        <w:rPr>
          <w:rFonts w:ascii="Symbol" w:cs="Symbol" w:eastAsia="Symbol" w:hAnsi="Symbol"/>
          <w:sz w:val="20"/>
          <w:szCs w:val="20"/>
          <w:color w:val="auto"/>
        </w:rPr>
      </w:pPr>
      <w:r>
        <w:rPr>
          <w:rFonts w:ascii="Calibri" w:cs="Calibri" w:eastAsia="Calibri" w:hAnsi="Calibri"/>
          <w:sz w:val="20"/>
          <w:szCs w:val="20"/>
          <w:color w:val="auto"/>
        </w:rPr>
        <w:t>Casdozokitug (CHS-388, formerly SRF388), is an investigational recombinant human IgG1 monoclonal antibody targeting IL-27, an immune regulatory cytokine, or protein that is overexpressed in certain cancers, including hepatocellular, lung and renal cell carcinoma. IL-27 is a cytokine secreted by macrophages and antigen presenting cells that plays an important</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64</w:t>
      </w:r>
    </w:p>
    <w:p>
      <w:pPr>
        <w:sectPr>
          <w:pgSz w:w="12240" w:h="15840" w:orient="portrait"/>
          <w:cols w:equalWidth="0" w:num="1">
            <w:col w:w="11160"/>
          </w:cols>
          <w:pgMar w:left="540" w:top="531" w:right="540" w:bottom="9" w:gutter="0" w:footer="0" w:header="0"/>
          <w:type w:val="continuous"/>
        </w:sectPr>
      </w:pPr>
    </w:p>
    <w:bookmarkStart w:id="66" w:name="page67"/>
    <w:bookmarkEnd w:id="66"/>
    <w:p>
      <w:pPr>
        <w:jc w:val="both"/>
        <w:ind w:left="1080"/>
        <w:spacing w:after="0" w:line="243" w:lineRule="auto"/>
        <w:rPr>
          <w:sz w:val="20"/>
          <w:szCs w:val="20"/>
          <w:color w:val="auto"/>
        </w:rPr>
      </w:pPr>
      <w:r>
        <w:rPr>
          <w:rFonts w:ascii="Calibri" w:cs="Calibri" w:eastAsia="Calibri" w:hAnsi="Calibri"/>
          <w:sz w:val="20"/>
          <w:szCs w:val="20"/>
          <w:color w:val="auto"/>
        </w:rPr>
        <w:t>physiological role in suppressing the immune system, as evidenced by its ability to resolve tissue inflammation. In addition, IL-27 is highly expressed during pregnancy and its expression is correlated with maternal-fetal tolerance. Due to its immune regulatory nature, there is a rationale for inhibiting IL-27 to treat cancer, as this approach will influence the activity of multiple types of immune cells that are necessary to recognize and attack a tumor. Casdozokitug received orphan drug designation from the FDA for the treatment of HCC in October 2020. Casdozokitug is currently being evaluated in an ongoing randomized Phase 2 clinical study in HCC evaluating casdozokitug in combination with toripalimab and bevacizumab (clinicaltrials.gov identifier# NCT06679985).</w:t>
      </w:r>
    </w:p>
    <w:p>
      <w:pPr>
        <w:spacing w:after="0" w:line="229" w:lineRule="exact"/>
        <w:rPr>
          <w:sz w:val="20"/>
          <w:szCs w:val="20"/>
          <w:color w:val="auto"/>
        </w:rPr>
      </w:pPr>
    </w:p>
    <w:p>
      <w:pPr>
        <w:jc w:val="both"/>
        <w:ind w:left="1080" w:hanging="353"/>
        <w:spacing w:after="0" w:line="241" w:lineRule="auto"/>
        <w:tabs>
          <w:tab w:leader="none" w:pos="1080" w:val="left"/>
        </w:tabs>
        <w:numPr>
          <w:ilvl w:val="0"/>
          <w:numId w:val="43"/>
        </w:numPr>
        <w:rPr>
          <w:rFonts w:ascii="Symbol" w:cs="Symbol" w:eastAsia="Symbol" w:hAnsi="Symbol"/>
          <w:sz w:val="20"/>
          <w:szCs w:val="20"/>
          <w:color w:val="auto"/>
        </w:rPr>
      </w:pPr>
      <w:r>
        <w:rPr>
          <w:rFonts w:ascii="Calibri" w:cs="Calibri" w:eastAsia="Calibri" w:hAnsi="Calibri"/>
          <w:sz w:val="20"/>
          <w:szCs w:val="20"/>
          <w:color w:val="auto"/>
        </w:rPr>
        <w:t>Tagmokitug (CHS-114, formerly SRF114), is an investigational human afucosylated IgG1 monoclonal antibody selectively targeting CCR8, a chemokine receptor highly expressed on regulatory T cells (“Treg cells”) in the tumor microenvironment. Tagmokitug is designed as a cytolytic antibody to cause depletion of intra-tumoral Treg cells, important regulators of immune suppression and tolerance, through ADCC, or ADCP or both. Tagmokitug has shown anti-tumor activity as monotherapy and in combination with anti-PD-1 antibodies in preclinical models. We are currently evaluating tagmokitug in combination with toripalimab in a Phase 1b clinical study in second-line HNSCC (clinicaltrials.gov identifier# NCT05635643). We also have an ongoing Phase 1b/2a clinical study of tagmokitug in combination with toripalimab and/or other treatments in participants with advanced solid tumors with the first cohorts evaluating upper GI adenocarcinoma, esophageal squamous cell cancer and microsatellite stable colorectal cancer (clinicaltrials.gov identifier# NCT06657144).</w:t>
      </w:r>
    </w:p>
    <w:p>
      <w:pPr>
        <w:spacing w:after="0" w:line="220" w:lineRule="exact"/>
        <w:rPr>
          <w:rFonts w:ascii="Symbol" w:cs="Symbol" w:eastAsia="Symbol" w:hAnsi="Symbol"/>
          <w:sz w:val="20"/>
          <w:szCs w:val="20"/>
          <w:color w:val="auto"/>
        </w:rPr>
      </w:pPr>
    </w:p>
    <w:p>
      <w:pPr>
        <w:jc w:val="both"/>
        <w:ind w:left="1080"/>
        <w:spacing w:after="0" w:line="245" w:lineRule="auto"/>
        <w:rPr>
          <w:rFonts w:ascii="Symbol" w:cs="Symbol" w:eastAsia="Symbol" w:hAnsi="Symbol"/>
          <w:sz w:val="20"/>
          <w:szCs w:val="20"/>
          <w:color w:val="auto"/>
        </w:rPr>
      </w:pPr>
      <w:r>
        <w:rPr>
          <w:rFonts w:ascii="Calibri" w:cs="Calibri" w:eastAsia="Calibri" w:hAnsi="Calibri"/>
          <w:sz w:val="20"/>
          <w:szCs w:val="20"/>
          <w:color w:val="auto"/>
        </w:rPr>
        <w:t>On February 4, 2026, we announced a clinical supply agreement with Janssen Research &amp; Development, LLC, to evaluate tagmokitug in combination with pasritamig, a T-cell engaging bispecific antibody, in a Phase 1b clinical study in patients with metastatic castration-resistant prostate cancer. Under the terms of the clinical supply agreement, Janssen will provide pasritamig to us, and we will be the sponsor of the Phase 1b clinical trial. Janssen and us each retain all commercial rights to our respective compounds, including as monotherapy or as combination treatments.</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License Agreement with Junshi Biosciences</w:t>
      </w:r>
    </w:p>
    <w:p>
      <w:pPr>
        <w:spacing w:after="0" w:line="241"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On February 1, 2021, we entered into the Collaboration Agreement with Junshi Biosciences for the co-development and commercialization of LOQTORZI, Junshi Biosciences’ anti-PD-1 antibody in the United States and Canada.</w:t>
      </w:r>
    </w:p>
    <w:p>
      <w:pPr>
        <w:spacing w:after="0" w:line="195"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Under the terms of the Collaboration Agreement, we paid $150.0 million upfront for exclusive rights to LOQTORZI in the United States and Canada. We obtained the right to conduct all commercial activities of LOQTORZI in the United States and Canada. We have paid $25.0 million for the achievement of certain milestones, and we pay a royalty in the low twenty percent range on net sales of LOQTORZI. On June 27, 2024, we entered into the Canada License Agreement pursuant to which, we granted to Apotex an exclusive license under our rights to toripalimab to commercialize toripalimab within Canada. Apotex received Health Canada approval for LOQTORZI for the treatment of recurrent unresectable or metastatic nasopharyngeal cancer in October 2025.</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Financial Operations Overview</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Discontinued Operations</w:t>
      </w:r>
    </w:p>
    <w:p>
      <w:pPr>
        <w:spacing w:after="0" w:line="240"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The UDENYCA Sale represented the last and most significant divestiture of the Company’s biosimilar businesses, which comprised the UDENYCA, YUSIMRY and CIMERLI franchises; therefore, the strategic shift criteria had been met and discontinued operations presentation has been included in the consolidated financial statements for all periods presented.</w:t>
      </w: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Revenue</w:t>
      </w:r>
    </w:p>
    <w:p>
      <w:pPr>
        <w:spacing w:after="0" w:line="243"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LOQTORZI was approved in October 2023 and was launched in the United States in January 2024.</w:t>
      </w:r>
    </w:p>
    <w:p>
      <w:pPr>
        <w:spacing w:after="0" w:line="23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Cost of Goods Sold</w:t>
      </w:r>
    </w:p>
    <w:p>
      <w:pPr>
        <w:spacing w:after="0" w:line="241"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Cost of goods sold consists primarily of third-party manufacturing, distribution, royalties and certain overhead costs. Cost of goods sold includes a royalty in the low twenty percent range on net sales of LOQTORZI.</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65</w:t>
      </w:r>
    </w:p>
    <w:p>
      <w:pPr>
        <w:sectPr>
          <w:pgSz w:w="12240" w:h="15840" w:orient="portrait"/>
          <w:cols w:equalWidth="0" w:num="1">
            <w:col w:w="11160"/>
          </w:cols>
          <w:pgMar w:left="540" w:top="532" w:right="540" w:bottom="9" w:gutter="0" w:footer="0" w:header="0"/>
          <w:type w:val="continuous"/>
        </w:sectPr>
      </w:pPr>
    </w:p>
    <w:bookmarkStart w:id="67" w:name="page68"/>
    <w:bookmarkEnd w:id="67"/>
    <w:p>
      <w:pPr>
        <w:spacing w:after="0"/>
        <w:rPr>
          <w:sz w:val="20"/>
          <w:szCs w:val="20"/>
          <w:color w:val="auto"/>
        </w:rPr>
      </w:pPr>
      <w:r>
        <w:rPr>
          <w:rFonts w:ascii="Calibri" w:cs="Calibri" w:eastAsia="Calibri" w:hAnsi="Calibri"/>
          <w:sz w:val="20"/>
          <w:szCs w:val="20"/>
          <w:b w:val="1"/>
          <w:bCs w:val="1"/>
          <w:i w:val="1"/>
          <w:iCs w:val="1"/>
          <w:color w:val="auto"/>
        </w:rPr>
        <w:t>Research and Development Expense</w:t>
      </w:r>
    </w:p>
    <w:p>
      <w:pPr>
        <w:spacing w:after="0" w:line="240"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Research and development expense represents costs incurred to conduct research, such as the discovery and development of our product candidates. We recognize all research and development costs as they are incurred. We currently track research and development costs incurred on a product candidate basis only for external research and development expenses. Our external research and development expense consists primarily of:</w:t>
      </w:r>
    </w:p>
    <w:p>
      <w:pPr>
        <w:spacing w:after="0" w:line="223" w:lineRule="exact"/>
        <w:rPr>
          <w:sz w:val="20"/>
          <w:szCs w:val="20"/>
          <w:color w:val="auto"/>
        </w:rPr>
      </w:pPr>
    </w:p>
    <w:p>
      <w:pPr>
        <w:ind w:left="1080" w:hanging="353"/>
        <w:spacing w:after="0" w:line="251" w:lineRule="auto"/>
        <w:tabs>
          <w:tab w:leader="none" w:pos="1080" w:val="left"/>
        </w:tabs>
        <w:numPr>
          <w:ilvl w:val="0"/>
          <w:numId w:val="44"/>
        </w:numPr>
        <w:rPr>
          <w:rFonts w:ascii="Symbol" w:cs="Symbol" w:eastAsia="Symbol" w:hAnsi="Symbol"/>
          <w:sz w:val="20"/>
          <w:szCs w:val="20"/>
          <w:color w:val="auto"/>
        </w:rPr>
      </w:pPr>
      <w:r>
        <w:rPr>
          <w:rFonts w:ascii="Calibri" w:cs="Calibri" w:eastAsia="Calibri" w:hAnsi="Calibri"/>
          <w:sz w:val="20"/>
          <w:szCs w:val="20"/>
          <w:color w:val="auto"/>
        </w:rPr>
        <w:t>expense incurred under agreements with collaborators, consultants, third-party CROs, and investigative sites where a substantial portion of our preclinical studies and all of our clinical trials are conducted;</w:t>
      </w:r>
    </w:p>
    <w:p>
      <w:pPr>
        <w:spacing w:after="0" w:line="157" w:lineRule="exact"/>
        <w:rPr>
          <w:rFonts w:ascii="Symbol" w:cs="Symbol" w:eastAsia="Symbol" w:hAnsi="Symbol"/>
          <w:sz w:val="20"/>
          <w:szCs w:val="20"/>
          <w:color w:val="auto"/>
        </w:rPr>
      </w:pPr>
    </w:p>
    <w:p>
      <w:pPr>
        <w:ind w:left="1080" w:right="20" w:hanging="353"/>
        <w:spacing w:after="0" w:line="251" w:lineRule="auto"/>
        <w:tabs>
          <w:tab w:leader="none" w:pos="1080" w:val="left"/>
        </w:tabs>
        <w:numPr>
          <w:ilvl w:val="0"/>
          <w:numId w:val="44"/>
        </w:numPr>
        <w:rPr>
          <w:rFonts w:ascii="Symbol" w:cs="Symbol" w:eastAsia="Symbol" w:hAnsi="Symbol"/>
          <w:sz w:val="20"/>
          <w:szCs w:val="20"/>
          <w:color w:val="auto"/>
        </w:rPr>
      </w:pPr>
      <w:r>
        <w:rPr>
          <w:rFonts w:ascii="Calibri" w:cs="Calibri" w:eastAsia="Calibri" w:hAnsi="Calibri"/>
          <w:sz w:val="20"/>
          <w:szCs w:val="20"/>
          <w:color w:val="auto"/>
        </w:rPr>
        <w:t>costs of manufacturing preclinical study and clinical trial supplies and other materials from CMOs, and related costs associated with release and stability testing;</w:t>
      </w:r>
    </w:p>
    <w:p>
      <w:pPr>
        <w:spacing w:after="0" w:line="157" w:lineRule="exact"/>
        <w:rPr>
          <w:rFonts w:ascii="Symbol" w:cs="Symbol" w:eastAsia="Symbol" w:hAnsi="Symbol"/>
          <w:sz w:val="20"/>
          <w:szCs w:val="20"/>
          <w:color w:val="auto"/>
        </w:rPr>
      </w:pPr>
    </w:p>
    <w:p>
      <w:pPr>
        <w:ind w:left="1080" w:hanging="353"/>
        <w:spacing w:after="0" w:line="251" w:lineRule="auto"/>
        <w:tabs>
          <w:tab w:leader="none" w:pos="1080" w:val="left"/>
        </w:tabs>
        <w:numPr>
          <w:ilvl w:val="0"/>
          <w:numId w:val="44"/>
        </w:numPr>
        <w:rPr>
          <w:rFonts w:ascii="Symbol" w:cs="Symbol" w:eastAsia="Symbol" w:hAnsi="Symbol"/>
          <w:sz w:val="20"/>
          <w:szCs w:val="20"/>
          <w:color w:val="auto"/>
        </w:rPr>
      </w:pPr>
      <w:r>
        <w:rPr>
          <w:rFonts w:ascii="Calibri" w:cs="Calibri" w:eastAsia="Calibri" w:hAnsi="Calibri"/>
          <w:sz w:val="20"/>
          <w:szCs w:val="20"/>
          <w:color w:val="auto"/>
        </w:rPr>
        <w:t>costs associated with manufacturing process development activities, analytical activities and pre-launch inventory manufactured prior to regulatory approval being obtained or deemed to be probable; and</w:t>
      </w:r>
    </w:p>
    <w:p>
      <w:pPr>
        <w:spacing w:after="0" w:line="157" w:lineRule="exact"/>
        <w:rPr>
          <w:rFonts w:ascii="Symbol" w:cs="Symbol" w:eastAsia="Symbol" w:hAnsi="Symbol"/>
          <w:sz w:val="20"/>
          <w:szCs w:val="20"/>
          <w:color w:val="auto"/>
        </w:rPr>
      </w:pPr>
    </w:p>
    <w:p>
      <w:pPr>
        <w:ind w:left="1080" w:hanging="353"/>
        <w:spacing w:after="0"/>
        <w:tabs>
          <w:tab w:leader="none" w:pos="1080" w:val="left"/>
        </w:tabs>
        <w:numPr>
          <w:ilvl w:val="0"/>
          <w:numId w:val="44"/>
        </w:numPr>
        <w:rPr>
          <w:rFonts w:ascii="Symbol" w:cs="Symbol" w:eastAsia="Symbol" w:hAnsi="Symbol"/>
          <w:sz w:val="20"/>
          <w:szCs w:val="20"/>
          <w:color w:val="auto"/>
        </w:rPr>
      </w:pPr>
      <w:r>
        <w:rPr>
          <w:rFonts w:ascii="Calibri" w:cs="Calibri" w:eastAsia="Calibri" w:hAnsi="Calibri"/>
          <w:sz w:val="20"/>
          <w:szCs w:val="20"/>
          <w:color w:val="auto"/>
        </w:rPr>
        <w:t>upfront and certain milestone payments related to licensing and collaboration agreements.</w:t>
      </w:r>
    </w:p>
    <w:p>
      <w:pPr>
        <w:spacing w:after="0" w:line="229"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Internal costs are associated with activities performed by our research and development organization and generally benefit multiple programs. These costs are not separately allocated by product candidate. Unallocated, internal research and development costs consist primarily of:</w:t>
      </w:r>
    </w:p>
    <w:p>
      <w:pPr>
        <w:spacing w:after="0" w:line="218" w:lineRule="exact"/>
        <w:rPr>
          <w:sz w:val="20"/>
          <w:szCs w:val="20"/>
          <w:color w:val="auto"/>
        </w:rPr>
      </w:pPr>
    </w:p>
    <w:p>
      <w:pPr>
        <w:ind w:left="1080" w:hanging="353"/>
        <w:spacing w:after="0"/>
        <w:tabs>
          <w:tab w:leader="none" w:pos="1080" w:val="left"/>
        </w:tabs>
        <w:numPr>
          <w:ilvl w:val="0"/>
          <w:numId w:val="45"/>
        </w:numPr>
        <w:rPr>
          <w:rFonts w:ascii="Symbol" w:cs="Symbol" w:eastAsia="Symbol" w:hAnsi="Symbol"/>
          <w:sz w:val="20"/>
          <w:szCs w:val="20"/>
          <w:color w:val="auto"/>
        </w:rPr>
      </w:pPr>
      <w:r>
        <w:rPr>
          <w:rFonts w:ascii="Calibri" w:cs="Calibri" w:eastAsia="Calibri" w:hAnsi="Calibri"/>
          <w:sz w:val="20"/>
          <w:szCs w:val="20"/>
          <w:color w:val="auto"/>
        </w:rPr>
        <w:t>personnel-related expense, which include salaries, benefits and stock-based compensation; and</w:t>
      </w:r>
    </w:p>
    <w:p>
      <w:pPr>
        <w:spacing w:after="0" w:line="178" w:lineRule="exact"/>
        <w:rPr>
          <w:rFonts w:ascii="Symbol" w:cs="Symbol" w:eastAsia="Symbol" w:hAnsi="Symbol"/>
          <w:sz w:val="20"/>
          <w:szCs w:val="20"/>
          <w:color w:val="auto"/>
        </w:rPr>
      </w:pPr>
    </w:p>
    <w:p>
      <w:pPr>
        <w:ind w:left="1080" w:hanging="353"/>
        <w:spacing w:after="0" w:line="253" w:lineRule="auto"/>
        <w:tabs>
          <w:tab w:leader="none" w:pos="1080" w:val="left"/>
        </w:tabs>
        <w:numPr>
          <w:ilvl w:val="0"/>
          <w:numId w:val="45"/>
        </w:numPr>
        <w:rPr>
          <w:rFonts w:ascii="Symbol" w:cs="Symbol" w:eastAsia="Symbol" w:hAnsi="Symbol"/>
          <w:sz w:val="20"/>
          <w:szCs w:val="20"/>
          <w:color w:val="auto"/>
        </w:rPr>
      </w:pPr>
      <w:r>
        <w:rPr>
          <w:rFonts w:ascii="Calibri" w:cs="Calibri" w:eastAsia="Calibri" w:hAnsi="Calibri"/>
          <w:sz w:val="20"/>
          <w:szCs w:val="20"/>
          <w:color w:val="auto"/>
        </w:rPr>
        <w:t>facilities and other allocated expense, which include direct and allocated expense for rent and maintenance of facilities, depreciation and amortization of leasehold improvements and equipment, laboratory and other supplies.</w:t>
      </w:r>
    </w:p>
    <w:p>
      <w:pPr>
        <w:spacing w:after="0" w:line="202"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The process of conducting the necessary clinical research to obtain regulatory approval is costly and time consuming. Furthermore, in the past, we have entered into collaborations with third parties to participate in the development and commercialization of our product candidates, and we may enter into additional collaborations in the future. In situations in which third parties have substantial influence over the development activities for product candidates, the estimated completion dates are not fully under our control. For example, our partners in licensed territories may exert considerable influence on the regulatory filing process globally. Therefore, we cannot forecast with any degree of certainty the duration and completion costs of these or other current or future clinical trials of our product candidates. We may never succeed in achieving regulatory approval for any of our pipeline product candidates. In addition, we may enter into other collaboration arrangements for our other product candidates, which could affect our development plans or capital requirements.</w:t>
      </w:r>
    </w:p>
    <w:p>
      <w:pPr>
        <w:spacing w:after="0" w:line="222" w:lineRule="exact"/>
        <w:rPr>
          <w:sz w:val="20"/>
          <w:szCs w:val="20"/>
          <w:color w:val="auto"/>
        </w:rPr>
      </w:pPr>
    </w:p>
    <w:p>
      <w:pPr>
        <w:jc w:val="both"/>
        <w:ind w:firstLine="720"/>
        <w:spacing w:after="0" w:line="263" w:lineRule="auto"/>
        <w:rPr>
          <w:sz w:val="20"/>
          <w:szCs w:val="20"/>
          <w:color w:val="auto"/>
        </w:rPr>
      </w:pPr>
      <w:r>
        <w:rPr>
          <w:rFonts w:ascii="Calibri" w:cs="Calibri" w:eastAsia="Calibri" w:hAnsi="Calibri"/>
          <w:sz w:val="20"/>
          <w:szCs w:val="20"/>
          <w:color w:val="auto"/>
        </w:rPr>
        <w:t>The following table summarizes our research and development expense from continuing operations incurred during the respective periods: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Clinical Stage as of</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right"/>
              <w:ind w:right="62"/>
              <w:spacing w:after="0"/>
              <w:rPr>
                <w:sz w:val="20"/>
                <w:szCs w:val="20"/>
                <w:color w:val="auto"/>
              </w:rPr>
            </w:pPr>
            <w:r>
              <w:rPr>
                <w:rFonts w:ascii="Calibri" w:cs="Calibri" w:eastAsia="Calibri" w:hAnsi="Calibri"/>
                <w:sz w:val="16"/>
                <w:szCs w:val="16"/>
                <w:b w:val="1"/>
                <w:bCs w:val="1"/>
                <w:color w:val="auto"/>
                <w:w w:val="98"/>
              </w:rPr>
              <w:t>Year Ended December 31,</w:t>
            </w:r>
          </w:p>
        </w:tc>
      </w:tr>
      <w:tr>
        <w:trPr>
          <w:trHeight w:val="186"/>
        </w:trPr>
        <w:tc>
          <w:tcPr>
            <w:tcW w:w="6480" w:type="dxa"/>
            <w:vAlign w:val="bottom"/>
            <w:tcBorders>
              <w:bottom w:val="single" w:sz="8" w:color="E5E5E5"/>
            </w:tcBorders>
          </w:tcPr>
          <w:p>
            <w:pPr>
              <w:spacing w:after="0" w:line="187" w:lineRule="exact"/>
              <w:rPr>
                <w:sz w:val="20"/>
                <w:szCs w:val="20"/>
                <w:color w:val="auto"/>
              </w:rPr>
            </w:pPr>
            <w:r>
              <w:rPr>
                <w:rFonts w:ascii="Calibri" w:cs="Calibri" w:eastAsia="Calibri" w:hAnsi="Calibri"/>
                <w:sz w:val="16"/>
                <w:szCs w:val="16"/>
                <w:b w:val="1"/>
                <w:bCs w:val="1"/>
                <w:color w:val="auto"/>
              </w:rPr>
              <w:t>(in thousands)</w:t>
            </w:r>
          </w:p>
        </w:tc>
        <w:tc>
          <w:tcPr>
            <w:tcW w:w="660" w:type="dxa"/>
            <w:vAlign w:val="bottom"/>
            <w:tcBorders>
              <w:bottom w:val="single" w:sz="8" w:color="E5E5E5"/>
            </w:tcBorders>
          </w:tcPr>
          <w:p>
            <w:pPr>
              <w:spacing w:after="0"/>
              <w:rPr>
                <w:sz w:val="16"/>
                <w:szCs w:val="16"/>
                <w:color w:val="auto"/>
              </w:rPr>
            </w:pPr>
          </w:p>
        </w:tc>
        <w:tc>
          <w:tcPr>
            <w:tcW w:w="1840" w:type="dxa"/>
            <w:vAlign w:val="bottom"/>
            <w:tcBorders>
              <w:bottom w:val="single" w:sz="8" w:color="auto"/>
            </w:tcBorders>
          </w:tcPr>
          <w:p>
            <w:pPr>
              <w:jc w:val="center"/>
              <w:spacing w:after="0" w:line="187" w:lineRule="exact"/>
              <w:rPr>
                <w:sz w:val="20"/>
                <w:szCs w:val="20"/>
                <w:color w:val="auto"/>
              </w:rPr>
            </w:pPr>
            <w:r>
              <w:rPr>
                <w:rFonts w:ascii="Calibri" w:cs="Calibri" w:eastAsia="Calibri" w:hAnsi="Calibri"/>
                <w:sz w:val="16"/>
                <w:szCs w:val="16"/>
                <w:b w:val="1"/>
                <w:bCs w:val="1"/>
                <w:color w:val="auto"/>
                <w:w w:val="99"/>
              </w:rPr>
              <w:t>December 31, 2025</w:t>
            </w:r>
          </w:p>
        </w:tc>
        <w:tc>
          <w:tcPr>
            <w:tcW w:w="20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04"/>
              <w:spacing w:after="0" w:line="187" w:lineRule="exact"/>
              <w:rPr>
                <w:sz w:val="20"/>
                <w:szCs w:val="20"/>
                <w:color w:val="auto"/>
              </w:rPr>
            </w:pPr>
            <w:r>
              <w:rPr>
                <w:rFonts w:ascii="Calibri" w:cs="Calibri" w:eastAsia="Calibri" w:hAnsi="Calibri"/>
                <w:sz w:val="16"/>
                <w:szCs w:val="16"/>
                <w:b w:val="1"/>
                <w:bCs w:val="1"/>
                <w:color w:val="auto"/>
              </w:rPr>
              <w:t>2025</w:t>
            </w:r>
          </w:p>
        </w:tc>
        <w:tc>
          <w:tcPr>
            <w:tcW w:w="20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2"/>
              <w:spacing w:after="0" w:line="187" w:lineRule="exact"/>
              <w:rPr>
                <w:sz w:val="20"/>
                <w:szCs w:val="20"/>
                <w:color w:val="auto"/>
              </w:rPr>
            </w:pPr>
            <w:r>
              <w:rPr>
                <w:rFonts w:ascii="Calibri" w:cs="Calibri" w:eastAsia="Calibri" w:hAnsi="Calibri"/>
                <w:sz w:val="16"/>
                <w:szCs w:val="16"/>
                <w:b w:val="1"/>
                <w:bCs w:val="1"/>
                <w:color w:val="auto"/>
              </w:rPr>
              <w:t>2024</w:t>
            </w:r>
          </w:p>
        </w:tc>
      </w:tr>
      <w:tr>
        <w:trPr>
          <w:trHeight w:val="236"/>
        </w:trPr>
        <w:tc>
          <w:tcPr>
            <w:tcW w:w="6480" w:type="dxa"/>
            <w:vAlign w:val="bottom"/>
            <w:shd w:val="clear" w:color="auto" w:fill="E5E5E5"/>
          </w:tcPr>
          <w:p>
            <w:pPr>
              <w:spacing w:after="0" w:line="235" w:lineRule="exact"/>
              <w:rPr>
                <w:sz w:val="20"/>
                <w:szCs w:val="20"/>
                <w:color w:val="auto"/>
              </w:rPr>
            </w:pPr>
            <w:r>
              <w:rPr>
                <w:rFonts w:ascii="Calibri" w:cs="Calibri" w:eastAsia="Calibri" w:hAnsi="Calibri"/>
                <w:sz w:val="20"/>
                <w:szCs w:val="20"/>
                <w:color w:val="auto"/>
              </w:rPr>
              <w:t>External costs incurred by product candidate:</w:t>
            </w:r>
          </w:p>
        </w:tc>
        <w:tc>
          <w:tcPr>
            <w:tcW w:w="660" w:type="dxa"/>
            <w:vAlign w:val="bottom"/>
            <w:shd w:val="clear" w:color="auto" w:fill="E5E5E5"/>
          </w:tcPr>
          <w:p>
            <w:pPr>
              <w:spacing w:after="0"/>
              <w:rPr>
                <w:sz w:val="20"/>
                <w:szCs w:val="20"/>
                <w:color w:val="auto"/>
              </w:rPr>
            </w:pPr>
          </w:p>
        </w:tc>
        <w:tc>
          <w:tcPr>
            <w:tcW w:w="184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00" w:type="dxa"/>
            <w:vAlign w:val="bottom"/>
            <w:shd w:val="clear" w:color="auto" w:fill="E5E5E5"/>
          </w:tcPr>
          <w:p>
            <w:pPr>
              <w:spacing w:after="0"/>
              <w:rPr>
                <w:sz w:val="20"/>
                <w:szCs w:val="20"/>
                <w:color w:val="auto"/>
              </w:rPr>
            </w:pPr>
          </w:p>
        </w:tc>
        <w:tc>
          <w:tcPr>
            <w:tcW w:w="80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680" w:type="dxa"/>
            <w:vAlign w:val="bottom"/>
            <w:shd w:val="clear" w:color="auto" w:fill="E5E5E5"/>
          </w:tcPr>
          <w:p>
            <w:pPr>
              <w:spacing w:after="0"/>
              <w:rPr>
                <w:sz w:val="20"/>
                <w:szCs w:val="20"/>
                <w:color w:val="auto"/>
              </w:rPr>
            </w:pPr>
          </w:p>
        </w:tc>
      </w:tr>
      <w:tr>
        <w:trPr>
          <w:trHeight w:val="245"/>
        </w:trPr>
        <w:tc>
          <w:tcPr>
            <w:tcW w:w="6480" w:type="dxa"/>
            <w:vAlign w:val="bottom"/>
          </w:tcPr>
          <w:p>
            <w:pPr>
              <w:ind w:left="120"/>
              <w:spacing w:after="0"/>
              <w:rPr>
                <w:sz w:val="20"/>
                <w:szCs w:val="20"/>
                <w:color w:val="auto"/>
              </w:rPr>
            </w:pPr>
            <w:r>
              <w:rPr>
                <w:rFonts w:ascii="Calibri" w:cs="Calibri" w:eastAsia="Calibri" w:hAnsi="Calibri"/>
                <w:sz w:val="20"/>
                <w:szCs w:val="20"/>
                <w:color w:val="auto"/>
              </w:rPr>
              <w:t>Casdozokitug</w:t>
            </w:r>
          </w:p>
        </w:tc>
        <w:tc>
          <w:tcPr>
            <w:tcW w:w="2500" w:type="dxa"/>
            <w:vAlign w:val="bottom"/>
            <w:gridSpan w:val="2"/>
          </w:tcPr>
          <w:p>
            <w:pPr>
              <w:ind w:left="660"/>
              <w:spacing w:after="0"/>
              <w:rPr>
                <w:sz w:val="20"/>
                <w:szCs w:val="20"/>
                <w:color w:val="auto"/>
              </w:rPr>
            </w:pPr>
            <w:r>
              <w:rPr>
                <w:rFonts w:ascii="Calibri" w:cs="Calibri" w:eastAsia="Calibri" w:hAnsi="Calibri"/>
                <w:sz w:val="20"/>
                <w:szCs w:val="20"/>
                <w:color w:val="auto"/>
              </w:rPr>
              <w:t>Clinical trials</w:t>
            </w:r>
          </w:p>
        </w:tc>
        <w:tc>
          <w:tcPr>
            <w:tcW w:w="320" w:type="dxa"/>
            <w:vAlign w:val="bottom"/>
            <w:gridSpan w:val="3"/>
          </w:tcPr>
          <w:p>
            <w:pPr>
              <w:jc w:val="right"/>
              <w:spacing w:after="0"/>
              <w:rPr>
                <w:sz w:val="20"/>
                <w:szCs w:val="20"/>
                <w:color w:val="auto"/>
              </w:rPr>
            </w:pPr>
            <w:r>
              <w:rPr>
                <w:rFonts w:ascii="Calibri" w:cs="Calibri" w:eastAsia="Calibri" w:hAnsi="Calibri"/>
                <w:sz w:val="20"/>
                <w:szCs w:val="20"/>
                <w:color w:val="auto"/>
              </w:rPr>
              <w:t>$</w:t>
            </w:r>
          </w:p>
        </w:tc>
        <w:tc>
          <w:tcPr>
            <w:tcW w:w="800" w:type="dxa"/>
            <w:vAlign w:val="bottom"/>
          </w:tcPr>
          <w:p>
            <w:pPr>
              <w:jc w:val="right"/>
              <w:spacing w:after="0"/>
              <w:rPr>
                <w:sz w:val="20"/>
                <w:szCs w:val="20"/>
                <w:color w:val="auto"/>
              </w:rPr>
            </w:pPr>
            <w:r>
              <w:rPr>
                <w:rFonts w:ascii="Calibri" w:cs="Calibri" w:eastAsia="Calibri" w:hAnsi="Calibri"/>
                <w:sz w:val="20"/>
                <w:szCs w:val="20"/>
                <w:color w:val="auto"/>
              </w:rPr>
              <w:t>31,098</w:t>
            </w:r>
          </w:p>
        </w:tc>
        <w:tc>
          <w:tcPr>
            <w:tcW w:w="380" w:type="dxa"/>
            <w:vAlign w:val="bottom"/>
            <w:gridSpan w:val="3"/>
          </w:tcPr>
          <w:p>
            <w:pPr>
              <w:jc w:val="right"/>
              <w:spacing w:after="0"/>
              <w:rPr>
                <w:sz w:val="20"/>
                <w:szCs w:val="20"/>
                <w:color w:val="auto"/>
              </w:rPr>
            </w:pPr>
            <w:r>
              <w:rPr>
                <w:rFonts w:ascii="Calibri" w:cs="Calibri" w:eastAsia="Calibri" w:hAnsi="Calibri"/>
                <w:sz w:val="20"/>
                <w:szCs w:val="20"/>
                <w:color w:val="auto"/>
              </w:rPr>
              <w:t>$</w:t>
            </w:r>
          </w:p>
        </w:tc>
        <w:tc>
          <w:tcPr>
            <w:tcW w:w="680" w:type="dxa"/>
            <w:vAlign w:val="bottom"/>
          </w:tcPr>
          <w:p>
            <w:pPr>
              <w:jc w:val="right"/>
              <w:spacing w:after="0"/>
              <w:rPr>
                <w:sz w:val="20"/>
                <w:szCs w:val="20"/>
                <w:color w:val="auto"/>
              </w:rPr>
            </w:pPr>
            <w:r>
              <w:rPr>
                <w:rFonts w:ascii="Calibri" w:cs="Calibri" w:eastAsia="Calibri" w:hAnsi="Calibri"/>
                <w:sz w:val="20"/>
                <w:szCs w:val="20"/>
                <w:color w:val="auto"/>
              </w:rPr>
              <w:t>16,588</w:t>
            </w:r>
          </w:p>
        </w:tc>
      </w:tr>
      <w:tr>
        <w:trPr>
          <w:trHeight w:val="245"/>
        </w:trPr>
        <w:tc>
          <w:tcPr>
            <w:tcW w:w="648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Tagmokitug</w:t>
            </w:r>
          </w:p>
        </w:tc>
        <w:tc>
          <w:tcPr>
            <w:tcW w:w="2500" w:type="dxa"/>
            <w:vAlign w:val="bottom"/>
            <w:gridSpan w:val="2"/>
            <w:shd w:val="clear" w:color="auto" w:fill="E5E5E5"/>
          </w:tcPr>
          <w:p>
            <w:pPr>
              <w:ind w:left="660"/>
              <w:spacing w:after="0"/>
              <w:rPr>
                <w:sz w:val="20"/>
                <w:szCs w:val="20"/>
                <w:color w:val="auto"/>
              </w:rPr>
            </w:pPr>
            <w:r>
              <w:rPr>
                <w:rFonts w:ascii="Calibri" w:cs="Calibri" w:eastAsia="Calibri" w:hAnsi="Calibri"/>
                <w:sz w:val="20"/>
                <w:szCs w:val="20"/>
                <w:color w:val="auto"/>
              </w:rPr>
              <w:t>Clinical trials</w:t>
            </w:r>
          </w:p>
        </w:tc>
        <w:tc>
          <w:tcPr>
            <w:tcW w:w="2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8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27,773</w:t>
            </w:r>
          </w:p>
        </w:tc>
        <w:tc>
          <w:tcPr>
            <w:tcW w:w="2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6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7,847</w:t>
            </w:r>
          </w:p>
        </w:tc>
      </w:tr>
      <w:tr>
        <w:trPr>
          <w:trHeight w:val="246"/>
        </w:trPr>
        <w:tc>
          <w:tcPr>
            <w:tcW w:w="6480" w:type="dxa"/>
            <w:vAlign w:val="bottom"/>
          </w:tcPr>
          <w:p>
            <w:pPr>
              <w:ind w:left="120"/>
              <w:spacing w:after="0"/>
              <w:rPr>
                <w:sz w:val="20"/>
                <w:szCs w:val="20"/>
                <w:color w:val="auto"/>
              </w:rPr>
            </w:pPr>
            <w:r>
              <w:rPr>
                <w:rFonts w:ascii="Calibri" w:cs="Calibri" w:eastAsia="Calibri" w:hAnsi="Calibri"/>
                <w:sz w:val="20"/>
                <w:szCs w:val="20"/>
                <w:color w:val="auto"/>
              </w:rPr>
              <w:t>LOQTORZI</w:t>
            </w:r>
          </w:p>
        </w:tc>
        <w:tc>
          <w:tcPr>
            <w:tcW w:w="2500" w:type="dxa"/>
            <w:vAlign w:val="bottom"/>
            <w:gridSpan w:val="2"/>
          </w:tcPr>
          <w:p>
            <w:pPr>
              <w:ind w:left="660"/>
              <w:spacing w:after="0"/>
              <w:rPr>
                <w:sz w:val="20"/>
                <w:szCs w:val="20"/>
                <w:color w:val="auto"/>
              </w:rPr>
            </w:pPr>
            <w:r>
              <w:rPr>
                <w:rFonts w:ascii="Calibri" w:cs="Calibri" w:eastAsia="Calibri" w:hAnsi="Calibri"/>
                <w:sz w:val="20"/>
                <w:szCs w:val="20"/>
                <w:color w:val="auto"/>
              </w:rPr>
              <w:t>Approved (1)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color w:val="auto"/>
              </w:rPr>
              <w:t>7,470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alibri" w:cs="Calibri" w:eastAsia="Calibri" w:hAnsi="Calibri"/>
                <w:sz w:val="20"/>
                <w:szCs w:val="20"/>
                <w:color w:val="auto"/>
              </w:rPr>
              <w:t>13,290</w:t>
            </w:r>
          </w:p>
        </w:tc>
      </w:tr>
      <w:tr>
        <w:trPr>
          <w:trHeight w:val="245"/>
        </w:trPr>
        <w:tc>
          <w:tcPr>
            <w:tcW w:w="648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Other discontinued projects</w:t>
            </w:r>
          </w:p>
        </w:tc>
        <w:tc>
          <w:tcPr>
            <w:tcW w:w="2500" w:type="dxa"/>
            <w:vAlign w:val="bottom"/>
            <w:gridSpan w:val="2"/>
            <w:shd w:val="clear" w:color="auto" w:fill="E5E5E5"/>
          </w:tcPr>
          <w:p>
            <w:pPr>
              <w:ind w:left="660"/>
              <w:spacing w:after="0"/>
              <w:rPr>
                <w:sz w:val="20"/>
                <w:szCs w:val="20"/>
                <w:color w:val="auto"/>
              </w:rPr>
            </w:pPr>
            <w:r>
              <w:rPr>
                <w:rFonts w:ascii="Calibri" w:cs="Calibri" w:eastAsia="Calibri" w:hAnsi="Calibri"/>
                <w:sz w:val="20"/>
                <w:szCs w:val="20"/>
                <w:color w:val="auto"/>
              </w:rPr>
              <w:t>Discontinued (2)</w:t>
            </w:r>
          </w:p>
        </w:tc>
        <w:tc>
          <w:tcPr>
            <w:tcW w:w="2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8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2,454</w:t>
            </w:r>
          </w:p>
        </w:tc>
        <w:tc>
          <w:tcPr>
            <w:tcW w:w="2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6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2,305</w:t>
            </w:r>
          </w:p>
        </w:tc>
      </w:tr>
      <w:tr>
        <w:trPr>
          <w:trHeight w:val="245"/>
        </w:trPr>
        <w:tc>
          <w:tcPr>
            <w:tcW w:w="6480" w:type="dxa"/>
            <w:vAlign w:val="bottom"/>
          </w:tcPr>
          <w:p>
            <w:pPr>
              <w:ind w:left="120"/>
              <w:spacing w:after="0"/>
              <w:rPr>
                <w:sz w:val="20"/>
                <w:szCs w:val="20"/>
                <w:color w:val="auto"/>
              </w:rPr>
            </w:pPr>
            <w:r>
              <w:rPr>
                <w:rFonts w:ascii="Calibri" w:cs="Calibri" w:eastAsia="Calibri" w:hAnsi="Calibri"/>
                <w:sz w:val="20"/>
                <w:szCs w:val="20"/>
                <w:color w:val="auto"/>
              </w:rPr>
              <w:t>Other research and development expenses</w:t>
            </w: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color w:val="auto"/>
              </w:rPr>
              <w:t>25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Calibri" w:cs="Calibri" w:eastAsia="Calibri" w:hAnsi="Calibri"/>
                <w:sz w:val="20"/>
                <w:szCs w:val="20"/>
                <w:color w:val="auto"/>
              </w:rPr>
              <w:t>7,556</w:t>
            </w:r>
          </w:p>
        </w:tc>
      </w:tr>
      <w:tr>
        <w:trPr>
          <w:trHeight w:val="266"/>
        </w:trPr>
        <w:tc>
          <w:tcPr>
            <w:tcW w:w="6480" w:type="dxa"/>
            <w:vAlign w:val="bottom"/>
            <w:tcBorders>
              <w:bottom w:val="single" w:sz="8" w:color="E5E5E5"/>
            </w:tcBorders>
            <w:shd w:val="clear" w:color="auto" w:fill="E5E5E5"/>
          </w:tcPr>
          <w:p>
            <w:pPr>
              <w:ind w:left="120"/>
              <w:spacing w:after="0"/>
              <w:rPr>
                <w:sz w:val="20"/>
                <w:szCs w:val="20"/>
                <w:color w:val="auto"/>
              </w:rPr>
            </w:pPr>
            <w:r>
              <w:rPr>
                <w:rFonts w:ascii="Calibri" w:cs="Calibri" w:eastAsia="Calibri" w:hAnsi="Calibri"/>
                <w:sz w:val="20"/>
                <w:szCs w:val="20"/>
                <w:color w:val="auto"/>
              </w:rPr>
              <w:t>Internal costs</w:t>
            </w:r>
          </w:p>
        </w:tc>
        <w:tc>
          <w:tcPr>
            <w:tcW w:w="660" w:type="dxa"/>
            <w:vAlign w:val="bottom"/>
            <w:tcBorders>
              <w:bottom w:val="single" w:sz="8" w:color="E5E5E5"/>
            </w:tcBorders>
            <w:shd w:val="clear" w:color="auto" w:fill="E5E5E5"/>
          </w:tcPr>
          <w:p>
            <w:pPr>
              <w:spacing w:after="0"/>
              <w:rPr>
                <w:sz w:val="23"/>
                <w:szCs w:val="23"/>
                <w:color w:val="auto"/>
              </w:rPr>
            </w:pPr>
          </w:p>
        </w:tc>
        <w:tc>
          <w:tcPr>
            <w:tcW w:w="1840" w:type="dxa"/>
            <w:vAlign w:val="bottom"/>
            <w:tcBorders>
              <w:bottom w:val="single" w:sz="8" w:color="E5E5E5"/>
            </w:tcBorders>
            <w:shd w:val="clear" w:color="auto" w:fill="E5E5E5"/>
          </w:tcPr>
          <w:p>
            <w:pPr>
              <w:spacing w:after="0"/>
              <w:rPr>
                <w:sz w:val="23"/>
                <w:szCs w:val="23"/>
                <w:color w:val="auto"/>
              </w:rPr>
            </w:pPr>
          </w:p>
        </w:tc>
        <w:tc>
          <w:tcPr>
            <w:tcW w:w="200" w:type="dxa"/>
            <w:vAlign w:val="bottom"/>
            <w:tcBorders>
              <w:bottom w:val="single" w:sz="8" w:color="E5E5E5"/>
            </w:tcBorders>
            <w:shd w:val="clear" w:color="auto" w:fill="E5E5E5"/>
          </w:tcPr>
          <w:p>
            <w:pPr>
              <w:spacing w:after="0"/>
              <w:rPr>
                <w:sz w:val="23"/>
                <w:szCs w:val="23"/>
                <w:color w:val="auto"/>
              </w:rPr>
            </w:pPr>
          </w:p>
        </w:tc>
        <w:tc>
          <w:tcPr>
            <w:tcW w:w="20" w:type="dxa"/>
            <w:vAlign w:val="bottom"/>
            <w:tcBorders>
              <w:bottom w:val="single" w:sz="8" w:color="E5E5E5"/>
            </w:tcBorders>
            <w:shd w:val="clear" w:color="auto" w:fill="E5E5E5"/>
          </w:tcPr>
          <w:p>
            <w:pPr>
              <w:spacing w:after="0"/>
              <w:rPr>
                <w:sz w:val="23"/>
                <w:szCs w:val="23"/>
                <w:color w:val="auto"/>
              </w:rPr>
            </w:pPr>
          </w:p>
        </w:tc>
        <w:tc>
          <w:tcPr>
            <w:tcW w:w="100" w:type="dxa"/>
            <w:vAlign w:val="bottom"/>
            <w:tcBorders>
              <w:bottom w:val="single" w:sz="8" w:color="auto"/>
            </w:tcBorders>
            <w:shd w:val="clear" w:color="auto" w:fill="E5E5E5"/>
          </w:tcPr>
          <w:p>
            <w:pPr>
              <w:spacing w:after="0"/>
              <w:rPr>
                <w:sz w:val="23"/>
                <w:szCs w:val="23"/>
                <w:color w:val="auto"/>
              </w:rPr>
            </w:pPr>
          </w:p>
        </w:tc>
        <w:tc>
          <w:tcPr>
            <w:tcW w:w="80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40,068</w:t>
            </w:r>
          </w:p>
        </w:tc>
        <w:tc>
          <w:tcPr>
            <w:tcW w:w="200" w:type="dxa"/>
            <w:vAlign w:val="bottom"/>
            <w:tcBorders>
              <w:bottom w:val="single" w:sz="8" w:color="E5E5E5"/>
            </w:tcBorders>
            <w:shd w:val="clear" w:color="auto" w:fill="E5E5E5"/>
          </w:tcPr>
          <w:p>
            <w:pPr>
              <w:spacing w:after="0"/>
              <w:rPr>
                <w:sz w:val="23"/>
                <w:szCs w:val="23"/>
                <w:color w:val="auto"/>
              </w:rPr>
            </w:pPr>
          </w:p>
        </w:tc>
        <w:tc>
          <w:tcPr>
            <w:tcW w:w="20" w:type="dxa"/>
            <w:vAlign w:val="bottom"/>
            <w:tcBorders>
              <w:bottom w:val="single" w:sz="8" w:color="E5E5E5"/>
            </w:tcBorders>
            <w:shd w:val="clear" w:color="auto" w:fill="E5E5E5"/>
          </w:tcPr>
          <w:p>
            <w:pPr>
              <w:spacing w:after="0"/>
              <w:rPr>
                <w:sz w:val="23"/>
                <w:szCs w:val="23"/>
                <w:color w:val="auto"/>
              </w:rPr>
            </w:pPr>
          </w:p>
        </w:tc>
        <w:tc>
          <w:tcPr>
            <w:tcW w:w="160" w:type="dxa"/>
            <w:vAlign w:val="bottom"/>
            <w:tcBorders>
              <w:bottom w:val="single" w:sz="8" w:color="auto"/>
            </w:tcBorders>
            <w:shd w:val="clear" w:color="auto" w:fill="E5E5E5"/>
          </w:tcPr>
          <w:p>
            <w:pPr>
              <w:spacing w:after="0"/>
              <w:rPr>
                <w:sz w:val="23"/>
                <w:szCs w:val="23"/>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44,247</w:t>
            </w:r>
          </w:p>
        </w:tc>
      </w:tr>
      <w:tr>
        <w:trPr>
          <w:trHeight w:val="224"/>
        </w:trPr>
        <w:tc>
          <w:tcPr>
            <w:tcW w:w="6480" w:type="dxa"/>
            <w:vAlign w:val="bottom"/>
          </w:tcPr>
          <w:p>
            <w:pPr>
              <w:ind w:left="120"/>
              <w:spacing w:after="0" w:line="215" w:lineRule="exact"/>
              <w:rPr>
                <w:sz w:val="20"/>
                <w:szCs w:val="20"/>
                <w:color w:val="auto"/>
              </w:rPr>
            </w:pPr>
            <w:r>
              <w:rPr>
                <w:rFonts w:ascii="Calibri" w:cs="Calibri" w:eastAsia="Calibri" w:hAnsi="Calibri"/>
                <w:sz w:val="20"/>
                <w:szCs w:val="20"/>
                <w:color w:val="auto"/>
              </w:rPr>
              <w:t>Total research and development expenses from continuing operations</w:t>
            </w:r>
          </w:p>
        </w:tc>
        <w:tc>
          <w:tcPr>
            <w:tcW w:w="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20"/>
                <w:szCs w:val="20"/>
                <w:color w:val="auto"/>
                <w:w w:val="78"/>
              </w:rPr>
              <w:t>$</w:t>
            </w: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20"/>
                <w:szCs w:val="20"/>
                <w:color w:val="auto"/>
              </w:rPr>
              <w:t>108,888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20"/>
                <w:szCs w:val="20"/>
                <w:color w:val="auto"/>
                <w:w w:val="78"/>
              </w:rPr>
              <w:t>$</w:t>
            </w:r>
          </w:p>
        </w:tc>
        <w:tc>
          <w:tcPr>
            <w:tcW w:w="6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20"/>
                <w:szCs w:val="20"/>
                <w:color w:val="auto"/>
              </w:rPr>
              <w:t>91,833</w:t>
            </w:r>
          </w:p>
        </w:tc>
      </w:tr>
    </w:tbl>
    <w:p>
      <w:pPr>
        <w:spacing w:after="0" w:line="184" w:lineRule="exact"/>
        <w:rPr>
          <w:sz w:val="20"/>
          <w:szCs w:val="20"/>
          <w:color w:val="auto"/>
        </w:rPr>
      </w:pPr>
    </w:p>
    <w:p>
      <w:pPr>
        <w:jc w:val="both"/>
        <w:ind w:left="360" w:hanging="353"/>
        <w:spacing w:after="0" w:line="250" w:lineRule="auto"/>
        <w:tabs>
          <w:tab w:leader="none" w:pos="360" w:val="left"/>
        </w:tabs>
        <w:numPr>
          <w:ilvl w:val="0"/>
          <w:numId w:val="46"/>
        </w:numPr>
        <w:rPr>
          <w:rFonts w:ascii="Calibri" w:cs="Calibri" w:eastAsia="Calibri" w:hAnsi="Calibri"/>
          <w:sz w:val="16"/>
          <w:szCs w:val="16"/>
          <w:color w:val="auto"/>
        </w:rPr>
      </w:pPr>
      <w:r>
        <w:rPr>
          <w:rFonts w:ascii="Calibri" w:cs="Calibri" w:eastAsia="Calibri" w:hAnsi="Calibri"/>
          <w:sz w:val="16"/>
          <w:szCs w:val="16"/>
          <w:color w:val="auto"/>
        </w:rPr>
        <w:t>In October 2023, LOQTORZI was approved by the FDA in combination with cisplatin and gemcitabine for the first-line treatment of adults with metastatic or recurrent locally advanced NPC, and for LOQTORZI as monotherapy for the treatment of adults with recurrent, unresectable, or metastatic NPC with disease progression on or after platinum-containing chemotherapy.</w:t>
      </w:r>
    </w:p>
    <w:p>
      <w:pPr>
        <w:spacing w:after="0" w:line="95" w:lineRule="exact"/>
        <w:rPr>
          <w:rFonts w:ascii="Calibri" w:cs="Calibri" w:eastAsia="Calibri" w:hAnsi="Calibri"/>
          <w:sz w:val="16"/>
          <w:szCs w:val="16"/>
          <w:color w:val="auto"/>
        </w:rPr>
      </w:pPr>
    </w:p>
    <w:p>
      <w:pPr>
        <w:ind w:left="360" w:hanging="353"/>
        <w:spacing w:after="0" w:line="260" w:lineRule="auto"/>
        <w:tabs>
          <w:tab w:leader="none" w:pos="360" w:val="left"/>
        </w:tabs>
        <w:numPr>
          <w:ilvl w:val="0"/>
          <w:numId w:val="46"/>
        </w:numPr>
        <w:rPr>
          <w:rFonts w:ascii="Calibri" w:cs="Calibri" w:eastAsia="Calibri" w:hAnsi="Calibri"/>
          <w:sz w:val="16"/>
          <w:szCs w:val="16"/>
          <w:color w:val="auto"/>
        </w:rPr>
      </w:pPr>
      <w:r>
        <w:rPr>
          <w:rFonts w:ascii="Calibri" w:cs="Calibri" w:eastAsia="Calibri" w:hAnsi="Calibri"/>
          <w:sz w:val="16"/>
          <w:szCs w:val="16"/>
          <w:color w:val="auto"/>
        </w:rPr>
        <w:t>In 2025, this primarily includes $2.5 million for the net write down of an intangible asset not related to our current pipeline. The 2024 expenses primarily related to the TIGIT Program, which we terminated in January 2024.</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66</w:t>
      </w:r>
    </w:p>
    <w:p>
      <w:pPr>
        <w:sectPr>
          <w:pgSz w:w="12240" w:h="15840" w:orient="portrait"/>
          <w:cols w:equalWidth="0" w:num="1">
            <w:col w:w="11160"/>
          </w:cols>
          <w:pgMar w:left="540" w:top="531" w:right="540" w:bottom="9" w:gutter="0" w:footer="0" w:header="0"/>
          <w:type w:val="continuous"/>
        </w:sectPr>
      </w:pPr>
    </w:p>
    <w:bookmarkStart w:id="68" w:name="page69"/>
    <w:bookmarkEnd w:id="68"/>
    <w:p>
      <w:pPr>
        <w:spacing w:after="0"/>
        <w:rPr>
          <w:sz w:val="20"/>
          <w:szCs w:val="20"/>
          <w:color w:val="auto"/>
        </w:rPr>
      </w:pPr>
      <w:r>
        <w:rPr>
          <w:rFonts w:ascii="Calibri" w:cs="Calibri" w:eastAsia="Calibri" w:hAnsi="Calibri"/>
          <w:sz w:val="20"/>
          <w:szCs w:val="20"/>
          <w:b w:val="1"/>
          <w:bCs w:val="1"/>
          <w:i w:val="1"/>
          <w:iCs w:val="1"/>
          <w:color w:val="auto"/>
        </w:rPr>
        <w:t>Selling, General and Administrative Expense</w:t>
      </w:r>
    </w:p>
    <w:p>
      <w:pPr>
        <w:spacing w:after="0" w:line="240"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Selling, general and administrative expense consists primarily of personnel costs, allocated facilities costs and other expense for outside professional services, including legal, insurance, human resources, outside marketing, advertising, audit and accounting services, acquisition-related costs, and costs associated with establishing commercial capabilities in support of the commercialization of LOQTORZI. Personnel costs consist of salaries, benefits and stock-based compensation. Reimbursement of expenses from counterparties to the Transition Service Agreements (“TSAs”) are recorded as reductions to selling, general and administrative expense.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Interest Expense</w:t>
      </w:r>
    </w:p>
    <w:p>
      <w:pPr>
        <w:spacing w:after="0" w:line="240"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Interest expense consists primarily of interest incurred on our outstanding indebtedness, our Revenue Purchase and Sale Agreement, and non-cash interest related to the amortization of debt discount and debt issuance costs.</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Loss on Debt Extinguishment</w:t>
      </w:r>
    </w:p>
    <w:p>
      <w:pPr>
        <w:spacing w:after="0" w:line="241"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Loss on debt extinguishment consists of losses incurred related to the early repayment of debt obligations.</w:t>
      </w:r>
    </w:p>
    <w:p>
      <w:pPr>
        <w:spacing w:after="0" w:line="23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Other Income (Expense), Net</w:t>
      </w:r>
    </w:p>
    <w:p>
      <w:pPr>
        <w:spacing w:after="0" w:line="240"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Other income (expense), net consists primarily of interest earned on our cash and cash equivalents, non-cash accretion of discount on our investments in marketable securities, foreign exchange gains (losses) resulting from currency fluctuations, gains (losses) from financial instruments including the change in fair value of the Royalty Fee Derivative Liability, gains (losses) from disposal of long-lived assets, and income related to certain services provided under transition service agreements.</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Net Income from Discontinued Operations, Net of Tax</w:t>
      </w:r>
    </w:p>
    <w:p>
      <w:pPr>
        <w:spacing w:after="0" w:line="240"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Net income from discontinued operations, net of tax represents the activities of the divested biosimilar businesses, which comprised the UDENYCA, YUSIMRY and CIMERLI franchises, including gains recognized upon divestiture, interest expense and loss on debt extinguishment associated with debt and financial liabilities repaid in connection with divestitures, the change in fair value for the UDENYCA portion of the Royalty Fee Derivative Liability, and the tax provision for discontinued operations.</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Results of Operations</w:t>
      </w:r>
    </w:p>
    <w:p>
      <w:pPr>
        <w:spacing w:after="0" w:line="14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Comparison of Years Ended December 31, 2025 and 2024</w:t>
      </w:r>
    </w:p>
    <w:p>
      <w:pPr>
        <w:spacing w:after="0" w:line="12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Revenue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40"/>
              <w:spacing w:after="0"/>
              <w:rPr>
                <w:sz w:val="20"/>
                <w:szCs w:val="20"/>
                <w:color w:val="auto"/>
              </w:rPr>
            </w:pPr>
            <w:r>
              <w:rPr>
                <w:rFonts w:ascii="Calibri" w:cs="Calibri" w:eastAsia="Calibri" w:hAnsi="Calibri"/>
                <w:sz w:val="16"/>
                <w:szCs w:val="16"/>
                <w:b w:val="1"/>
                <w:bCs w:val="1"/>
                <w:color w:val="auto"/>
              </w:rPr>
              <w:t>Year Ended December 31,</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060" w:type="dxa"/>
            <w:vAlign w:val="bottom"/>
            <w:tcBorders>
              <w:bottom w:val="single" w:sz="8" w:color="E5E5E5"/>
            </w:tcBorders>
            <w:vMerge w:val="continue"/>
          </w:tcPr>
          <w:p>
            <w:pPr>
              <w:spacing w:after="0"/>
              <w:rPr>
                <w:sz w:val="16"/>
                <w:szCs w:val="16"/>
                <w:color w:val="auto"/>
              </w:rPr>
            </w:pPr>
          </w:p>
        </w:tc>
        <w:tc>
          <w:tcPr>
            <w:tcW w:w="30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5"/>
              <w:spacing w:after="0" w:line="187" w:lineRule="exact"/>
              <w:rPr>
                <w:sz w:val="20"/>
                <w:szCs w:val="20"/>
                <w:color w:val="auto"/>
              </w:rPr>
            </w:pPr>
            <w:r>
              <w:rPr>
                <w:rFonts w:ascii="Calibri" w:cs="Calibri" w:eastAsia="Calibri" w:hAnsi="Calibri"/>
                <w:sz w:val="16"/>
                <w:szCs w:val="16"/>
                <w:b w:val="1"/>
                <w:bCs w:val="1"/>
                <w:color w:val="auto"/>
              </w:rPr>
              <w:t>2025</w:t>
            </w:r>
          </w:p>
        </w:tc>
        <w:tc>
          <w:tcPr>
            <w:tcW w:w="30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5"/>
              <w:spacing w:after="0" w:line="187" w:lineRule="exact"/>
              <w:rPr>
                <w:sz w:val="20"/>
                <w:szCs w:val="20"/>
                <w:color w:val="auto"/>
              </w:rPr>
            </w:pPr>
            <w:r>
              <w:rPr>
                <w:rFonts w:ascii="Calibri" w:cs="Calibri" w:eastAsia="Calibri" w:hAnsi="Calibri"/>
                <w:sz w:val="16"/>
                <w:szCs w:val="16"/>
                <w:b w:val="1"/>
                <w:bCs w:val="1"/>
                <w:color w:val="auto"/>
              </w:rPr>
              <w:t>2024</w:t>
            </w:r>
          </w:p>
        </w:tc>
        <w:tc>
          <w:tcPr>
            <w:tcW w:w="30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5"/>
              <w:spacing w:after="0" w:line="187" w:lineRule="exact"/>
              <w:rPr>
                <w:sz w:val="20"/>
                <w:szCs w:val="20"/>
                <w:color w:val="auto"/>
              </w:rPr>
            </w:pPr>
            <w:r>
              <w:rPr>
                <w:rFonts w:ascii="Calibri" w:cs="Calibri" w:eastAsia="Calibri" w:hAnsi="Calibri"/>
                <w:sz w:val="16"/>
                <w:szCs w:val="16"/>
                <w:b w:val="1"/>
                <w:bCs w:val="1"/>
                <w:color w:val="auto"/>
              </w:rPr>
              <w:t>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60" w:type="dxa"/>
            <w:vAlign w:val="bottom"/>
            <w:shd w:val="clear" w:color="auto" w:fill="E5E5E5"/>
          </w:tcPr>
          <w:p>
            <w:pPr>
              <w:spacing w:after="0"/>
              <w:rPr>
                <w:sz w:val="20"/>
                <w:szCs w:val="20"/>
                <w:color w:val="auto"/>
              </w:rPr>
            </w:pPr>
            <w:r>
              <w:rPr>
                <w:rFonts w:ascii="Calibri" w:cs="Calibri" w:eastAsia="Calibri" w:hAnsi="Calibri"/>
                <w:sz w:val="18"/>
                <w:szCs w:val="18"/>
                <w:color w:val="auto"/>
              </w:rPr>
              <w:t>LOQTORZI</w:t>
            </w:r>
          </w:p>
        </w:tc>
        <w:tc>
          <w:tcPr>
            <w:tcW w:w="3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320" w:type="dxa"/>
            <w:vAlign w:val="bottom"/>
            <w:shd w:val="clear" w:color="auto" w:fill="E5E5E5"/>
          </w:tcPr>
          <w:p>
            <w:pPr>
              <w:jc w:val="right"/>
              <w:ind w:right="120"/>
              <w:spacing w:after="0" w:line="234" w:lineRule="exact"/>
              <w:rPr>
                <w:sz w:val="20"/>
                <w:szCs w:val="20"/>
                <w:color w:val="auto"/>
              </w:rPr>
            </w:pPr>
            <w:r>
              <w:rPr>
                <w:rFonts w:ascii="Calibri" w:cs="Calibri" w:eastAsia="Calibri" w:hAnsi="Calibri"/>
                <w:sz w:val="20"/>
                <w:szCs w:val="20"/>
                <w:color w:val="auto"/>
                <w:w w:val="78"/>
              </w:rPr>
              <w:t>$</w:t>
            </w:r>
          </w:p>
        </w:tc>
        <w:tc>
          <w:tcPr>
            <w:tcW w:w="106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40,836</w:t>
            </w:r>
          </w:p>
        </w:tc>
        <w:tc>
          <w:tcPr>
            <w:tcW w:w="640" w:type="dxa"/>
            <w:vAlign w:val="bottom"/>
            <w:gridSpan w:val="3"/>
            <w:shd w:val="clear" w:color="auto" w:fill="E5E5E5"/>
          </w:tcPr>
          <w:p>
            <w:pPr>
              <w:jc w:val="right"/>
              <w:ind w:right="220"/>
              <w:spacing w:after="0" w:line="234" w:lineRule="exact"/>
              <w:rPr>
                <w:sz w:val="20"/>
                <w:szCs w:val="20"/>
                <w:color w:val="auto"/>
              </w:rPr>
            </w:pPr>
            <w:r>
              <w:rPr>
                <w:rFonts w:ascii="Calibri" w:cs="Calibri" w:eastAsia="Calibri" w:hAnsi="Calibri"/>
                <w:sz w:val="20"/>
                <w:szCs w:val="20"/>
                <w:color w:val="auto"/>
              </w:rPr>
              <w:t>$</w:t>
            </w:r>
          </w:p>
        </w:tc>
        <w:tc>
          <w:tcPr>
            <w:tcW w:w="106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19,131</w:t>
            </w:r>
          </w:p>
        </w:tc>
        <w:tc>
          <w:tcPr>
            <w:tcW w:w="300" w:type="dxa"/>
            <w:vAlign w:val="bottom"/>
            <w:shd w:val="clear" w:color="auto" w:fill="E5E5E5"/>
          </w:tcPr>
          <w:p>
            <w:pPr>
              <w:spacing w:after="0"/>
              <w:rPr>
                <w:sz w:val="20"/>
                <w:szCs w:val="20"/>
                <w:color w:val="auto"/>
              </w:rPr>
            </w:pPr>
          </w:p>
        </w:tc>
        <w:tc>
          <w:tcPr>
            <w:tcW w:w="200" w:type="dxa"/>
            <w:vAlign w:val="bottom"/>
            <w:gridSpan w:val="2"/>
            <w:shd w:val="clear" w:color="auto" w:fill="E5E5E5"/>
          </w:tcPr>
          <w:p>
            <w:pPr>
              <w:jc w:val="right"/>
              <w:ind w:right="80"/>
              <w:spacing w:after="0" w:line="234" w:lineRule="exact"/>
              <w:rPr>
                <w:sz w:val="20"/>
                <w:szCs w:val="20"/>
                <w:color w:val="auto"/>
              </w:rPr>
            </w:pPr>
            <w:r>
              <w:rPr>
                <w:rFonts w:ascii="Calibri" w:cs="Calibri" w:eastAsia="Calibri" w:hAnsi="Calibri"/>
                <w:sz w:val="20"/>
                <w:szCs w:val="20"/>
                <w:color w:val="auto"/>
                <w:w w:val="98"/>
              </w:rPr>
              <w:t>$</w:t>
            </w:r>
          </w:p>
        </w:tc>
        <w:tc>
          <w:tcPr>
            <w:tcW w:w="120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21,705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060" w:type="dxa"/>
            <w:vAlign w:val="bottom"/>
            <w:tcBorders>
              <w:bottom w:val="single" w:sz="8" w:color="E5E5E5"/>
            </w:tcBorders>
          </w:tcPr>
          <w:p>
            <w:pPr>
              <w:spacing w:after="0"/>
              <w:rPr>
                <w:sz w:val="20"/>
                <w:szCs w:val="20"/>
                <w:color w:val="auto"/>
              </w:rPr>
            </w:pPr>
            <w:r>
              <w:rPr>
                <w:rFonts w:ascii="Calibri" w:cs="Calibri" w:eastAsia="Calibri" w:hAnsi="Calibri"/>
                <w:sz w:val="18"/>
                <w:szCs w:val="18"/>
                <w:color w:val="auto"/>
              </w:rPr>
              <w:t>Other revenue</w:t>
            </w:r>
          </w:p>
        </w:tc>
        <w:tc>
          <w:tcPr>
            <w:tcW w:w="30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1,336</w:t>
            </w:r>
          </w:p>
        </w:tc>
        <w:tc>
          <w:tcPr>
            <w:tcW w:w="30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7,258</w:t>
            </w:r>
          </w:p>
        </w:tc>
        <w:tc>
          <w:tcPr>
            <w:tcW w:w="30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(5,922)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60" w:type="dxa"/>
            <w:vAlign w:val="bottom"/>
            <w:shd w:val="clear" w:color="auto" w:fill="E5E5E5"/>
          </w:tcPr>
          <w:p>
            <w:pPr>
              <w:spacing w:after="0"/>
              <w:rPr>
                <w:sz w:val="20"/>
                <w:szCs w:val="20"/>
                <w:color w:val="auto"/>
              </w:rPr>
            </w:pPr>
            <w:r>
              <w:rPr>
                <w:rFonts w:ascii="Calibri" w:cs="Calibri" w:eastAsia="Calibri" w:hAnsi="Calibri"/>
                <w:sz w:val="18"/>
                <w:szCs w:val="18"/>
                <w:color w:val="auto"/>
              </w:rPr>
              <w:t>Total net revenue</w:t>
            </w:r>
          </w:p>
        </w:tc>
        <w:tc>
          <w:tcPr>
            <w:tcW w:w="300" w:type="dxa"/>
            <w:vAlign w:val="bottom"/>
            <w:shd w:val="clear" w:color="auto" w:fill="E5E5E5"/>
          </w:tcPr>
          <w:p>
            <w:pPr>
              <w:spacing w:after="0"/>
              <w:rPr>
                <w:sz w:val="21"/>
                <w:szCs w:val="21"/>
                <w:color w:val="auto"/>
              </w:rPr>
            </w:pPr>
          </w:p>
        </w:tc>
        <w:tc>
          <w:tcPr>
            <w:tcW w:w="20" w:type="dxa"/>
            <w:vAlign w:val="bottom"/>
            <w:tcBorders>
              <w:bottom w:val="single" w:sz="8" w:color="auto"/>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jc w:val="right"/>
              <w:ind w:right="120"/>
              <w:spacing w:after="0" w:line="235" w:lineRule="exact"/>
              <w:rPr>
                <w:sz w:val="20"/>
                <w:szCs w:val="20"/>
                <w:color w:val="auto"/>
              </w:rPr>
            </w:pPr>
            <w:r>
              <w:rPr>
                <w:rFonts w:ascii="Calibri" w:cs="Calibri" w:eastAsia="Calibri" w:hAnsi="Calibri"/>
                <w:sz w:val="20"/>
                <w:szCs w:val="20"/>
                <w:color w:val="auto"/>
                <w:w w:val="78"/>
              </w:rPr>
              <w:t>$</w:t>
            </w:r>
          </w:p>
        </w:tc>
        <w:tc>
          <w:tcPr>
            <w:tcW w:w="1060" w:type="dxa"/>
            <w:vAlign w:val="bottom"/>
            <w:tcBorders>
              <w:bottom w:val="single" w:sz="8" w:color="auto"/>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42,172</w:t>
            </w:r>
          </w:p>
        </w:tc>
        <w:tc>
          <w:tcPr>
            <w:tcW w:w="300" w:type="dxa"/>
            <w:vAlign w:val="bottom"/>
            <w:shd w:val="clear" w:color="auto" w:fill="E5E5E5"/>
          </w:tcPr>
          <w:p>
            <w:pPr>
              <w:spacing w:after="0"/>
              <w:rPr>
                <w:sz w:val="21"/>
                <w:szCs w:val="21"/>
                <w:color w:val="auto"/>
              </w:rPr>
            </w:pPr>
          </w:p>
        </w:tc>
        <w:tc>
          <w:tcPr>
            <w:tcW w:w="340" w:type="dxa"/>
            <w:vAlign w:val="bottom"/>
            <w:tcBorders>
              <w:bottom w:val="single" w:sz="8" w:color="auto"/>
            </w:tcBorders>
            <w:gridSpan w:val="2"/>
            <w:shd w:val="clear" w:color="auto" w:fill="E5E5E5"/>
          </w:tcPr>
          <w:p>
            <w:pPr>
              <w:jc w:val="right"/>
              <w:ind w:right="220"/>
              <w:spacing w:after="0" w:line="235" w:lineRule="exact"/>
              <w:rPr>
                <w:sz w:val="20"/>
                <w:szCs w:val="20"/>
                <w:color w:val="auto"/>
              </w:rPr>
            </w:pPr>
            <w:r>
              <w:rPr>
                <w:rFonts w:ascii="Calibri" w:cs="Calibri" w:eastAsia="Calibri" w:hAnsi="Calibri"/>
                <w:sz w:val="20"/>
                <w:szCs w:val="20"/>
                <w:color w:val="auto"/>
                <w:w w:val="98"/>
              </w:rPr>
              <w:t>$</w:t>
            </w:r>
          </w:p>
        </w:tc>
        <w:tc>
          <w:tcPr>
            <w:tcW w:w="1060" w:type="dxa"/>
            <w:vAlign w:val="bottom"/>
            <w:tcBorders>
              <w:bottom w:val="single" w:sz="8" w:color="auto"/>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26,389</w:t>
            </w:r>
          </w:p>
        </w:tc>
        <w:tc>
          <w:tcPr>
            <w:tcW w:w="300" w:type="dxa"/>
            <w:vAlign w:val="bottom"/>
            <w:shd w:val="clear" w:color="auto" w:fill="E5E5E5"/>
          </w:tcPr>
          <w:p>
            <w:pPr>
              <w:spacing w:after="0"/>
              <w:rPr>
                <w:sz w:val="21"/>
                <w:szCs w:val="21"/>
                <w:color w:val="auto"/>
              </w:rPr>
            </w:pPr>
          </w:p>
        </w:tc>
        <w:tc>
          <w:tcPr>
            <w:tcW w:w="200" w:type="dxa"/>
            <w:vAlign w:val="bottom"/>
            <w:tcBorders>
              <w:bottom w:val="single" w:sz="8" w:color="auto"/>
            </w:tcBorders>
            <w:gridSpan w:val="2"/>
            <w:shd w:val="clear" w:color="auto" w:fill="E5E5E5"/>
          </w:tcPr>
          <w:p>
            <w:pPr>
              <w:jc w:val="right"/>
              <w:ind w:right="80"/>
              <w:spacing w:after="0" w:line="235" w:lineRule="exact"/>
              <w:rPr>
                <w:sz w:val="20"/>
                <w:szCs w:val="20"/>
                <w:color w:val="auto"/>
              </w:rPr>
            </w:pPr>
            <w:r>
              <w:rPr>
                <w:rFonts w:ascii="Calibri" w:cs="Calibri" w:eastAsia="Calibri" w:hAnsi="Calibri"/>
                <w:sz w:val="20"/>
                <w:szCs w:val="20"/>
                <w:color w:val="auto"/>
                <w:w w:val="98"/>
              </w:rPr>
              <w:t>$</w:t>
            </w:r>
          </w:p>
        </w:tc>
        <w:tc>
          <w:tcPr>
            <w:tcW w:w="1200" w:type="dxa"/>
            <w:vAlign w:val="bottom"/>
            <w:tcBorders>
              <w:bottom w:val="single" w:sz="8" w:color="auto"/>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15,783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The increase in LOQTORZI net revenue for the year 2025 compared to 2024 was driven primarily by volume growth of LOQTORZI, which launched in January 2024. Other revenue in 2024 includes $6.3 million for the out-license of rights to commercialize toripalimab within Canada.</w:t>
      </w:r>
    </w:p>
    <w:p>
      <w:pPr>
        <w:spacing w:after="0" w:line="207" w:lineRule="exact"/>
        <w:rPr>
          <w:sz w:val="20"/>
          <w:szCs w:val="20"/>
          <w:color w:val="auto"/>
        </w:rPr>
      </w:pPr>
    </w:p>
    <w:p>
      <w:pPr>
        <w:ind w:left="720"/>
        <w:spacing w:after="0"/>
        <w:rPr>
          <w:sz w:val="20"/>
          <w:szCs w:val="20"/>
          <w:color w:val="auto"/>
        </w:rPr>
      </w:pPr>
      <w:r>
        <w:rPr>
          <w:rFonts w:ascii="Calibri" w:cs="Calibri" w:eastAsia="Calibri" w:hAnsi="Calibri"/>
          <w:sz w:val="19"/>
          <w:szCs w:val="19"/>
          <w:color w:val="auto"/>
        </w:rPr>
        <w:t>We expect net revenue from continuing operations in 2026 to be higher than in 2025 because of continued growth of LOQTORZI.</w:t>
      </w:r>
    </w:p>
    <w:p>
      <w:pPr>
        <w:spacing w:after="0" w:line="25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Cost of Goods Sold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2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2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Calibri" w:cs="Calibri" w:eastAsia="Calibri" w:hAnsi="Calibri"/>
                <w:sz w:val="16"/>
                <w:szCs w:val="16"/>
                <w:b w:val="1"/>
                <w:bCs w:val="1"/>
                <w:color w:val="auto"/>
                <w:w w:val="99"/>
              </w:rPr>
              <w:t>Year Ended December 31,</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820" w:type="dxa"/>
            <w:vAlign w:val="bottom"/>
            <w:tcBorders>
              <w:bottom w:val="single" w:sz="8" w:color="E5E5E5"/>
            </w:tcBorders>
            <w:vMerge w:val="continue"/>
          </w:tcPr>
          <w:p>
            <w:pPr>
              <w:spacing w:after="0"/>
              <w:rPr>
                <w:sz w:val="16"/>
                <w:szCs w:val="16"/>
                <w:color w:val="auto"/>
              </w:rPr>
            </w:pPr>
          </w:p>
        </w:tc>
        <w:tc>
          <w:tcPr>
            <w:tcW w:w="2320" w:type="dxa"/>
            <w:vAlign w:val="bottom"/>
            <w:tcBorders>
              <w:bottom w:val="single" w:sz="8" w:color="E5E5E5"/>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7"/>
              <w:spacing w:after="0" w:line="187" w:lineRule="exact"/>
              <w:rPr>
                <w:sz w:val="20"/>
                <w:szCs w:val="20"/>
                <w:color w:val="auto"/>
              </w:rPr>
            </w:pPr>
            <w:r>
              <w:rPr>
                <w:rFonts w:ascii="Calibri" w:cs="Calibri" w:eastAsia="Calibri" w:hAnsi="Calibri"/>
                <w:sz w:val="16"/>
                <w:szCs w:val="16"/>
                <w:b w:val="1"/>
                <w:bCs w:val="1"/>
                <w:color w:val="auto"/>
              </w:rPr>
              <w:t>2025</w:t>
            </w:r>
          </w:p>
        </w:tc>
        <w:tc>
          <w:tcPr>
            <w:tcW w:w="160" w:type="dxa"/>
            <w:vAlign w:val="bottom"/>
            <w:tcBorders>
              <w:bottom w:val="single" w:sz="8" w:color="E5E5E5"/>
            </w:tcBorders>
          </w:tcPr>
          <w:p>
            <w:pPr>
              <w:spacing w:after="0"/>
              <w:rPr>
                <w:sz w:val="16"/>
                <w:szCs w:val="16"/>
                <w:color w:val="auto"/>
              </w:rPr>
            </w:pPr>
          </w:p>
        </w:tc>
        <w:tc>
          <w:tcPr>
            <w:tcW w:w="160" w:type="dxa"/>
            <w:vAlign w:val="bottom"/>
            <w:tcBorders>
              <w:bottom w:val="single" w:sz="8" w:color="E5E5E5"/>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7"/>
              <w:spacing w:after="0" w:line="187" w:lineRule="exact"/>
              <w:rPr>
                <w:sz w:val="20"/>
                <w:szCs w:val="20"/>
                <w:color w:val="auto"/>
              </w:rPr>
            </w:pPr>
            <w:r>
              <w:rPr>
                <w:rFonts w:ascii="Calibri" w:cs="Calibri" w:eastAsia="Calibri" w:hAnsi="Calibri"/>
                <w:sz w:val="16"/>
                <w:szCs w:val="16"/>
                <w:b w:val="1"/>
                <w:bCs w:val="1"/>
                <w:color w:val="auto"/>
              </w:rPr>
              <w:t>2024</w:t>
            </w:r>
          </w:p>
        </w:tc>
        <w:tc>
          <w:tcPr>
            <w:tcW w:w="240" w:type="dxa"/>
            <w:vAlign w:val="bottom"/>
            <w:tcBorders>
              <w:bottom w:val="single" w:sz="8" w:color="E5E5E5"/>
            </w:tcBorders>
          </w:tcPr>
          <w:p>
            <w:pPr>
              <w:spacing w:after="0"/>
              <w:rPr>
                <w:sz w:val="16"/>
                <w:szCs w:val="16"/>
                <w:color w:val="auto"/>
              </w:rPr>
            </w:pPr>
          </w:p>
        </w:tc>
        <w:tc>
          <w:tcPr>
            <w:tcW w:w="80" w:type="dxa"/>
            <w:vAlign w:val="bottom"/>
            <w:tcBorders>
              <w:bottom w:val="single" w:sz="8" w:color="E5E5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0"/>
              <w:spacing w:after="0" w:line="187" w:lineRule="exact"/>
              <w:rPr>
                <w:sz w:val="20"/>
                <w:szCs w:val="20"/>
                <w:color w:val="auto"/>
              </w:rPr>
            </w:pPr>
            <w:r>
              <w:rPr>
                <w:rFonts w:ascii="Calibri" w:cs="Calibri" w:eastAsia="Calibri" w:hAnsi="Calibri"/>
                <w:sz w:val="16"/>
                <w:szCs w:val="16"/>
                <w:b w:val="1"/>
                <w:bCs w:val="1"/>
                <w:color w:val="auto"/>
              </w:rPr>
              <w:t>Change</w:t>
            </w:r>
          </w:p>
        </w:tc>
        <w:tc>
          <w:tcPr>
            <w:tcW w:w="0" w:type="dxa"/>
            <w:vAlign w:val="bottom"/>
          </w:tcPr>
          <w:p>
            <w:pPr>
              <w:spacing w:after="0"/>
              <w:rPr>
                <w:sz w:val="1"/>
                <w:szCs w:val="1"/>
                <w:color w:val="auto"/>
              </w:rPr>
            </w:pPr>
          </w:p>
        </w:tc>
      </w:tr>
      <w:tr>
        <w:trPr>
          <w:trHeight w:val="233"/>
        </w:trPr>
        <w:tc>
          <w:tcPr>
            <w:tcW w:w="3820" w:type="dxa"/>
            <w:vAlign w:val="bottom"/>
            <w:shd w:val="clear" w:color="auto" w:fill="E5E5E5"/>
          </w:tcPr>
          <w:p>
            <w:pPr>
              <w:spacing w:after="0" w:line="233" w:lineRule="exact"/>
              <w:rPr>
                <w:sz w:val="20"/>
                <w:szCs w:val="20"/>
                <w:color w:val="auto"/>
              </w:rPr>
            </w:pPr>
            <w:r>
              <w:rPr>
                <w:rFonts w:ascii="Calibri" w:cs="Calibri" w:eastAsia="Calibri" w:hAnsi="Calibri"/>
                <w:sz w:val="20"/>
                <w:szCs w:val="20"/>
                <w:color w:val="auto"/>
              </w:rPr>
              <w:t>Cost of goods sold</w:t>
            </w:r>
          </w:p>
        </w:tc>
        <w:tc>
          <w:tcPr>
            <w:tcW w:w="2320" w:type="dxa"/>
            <w:vAlign w:val="bottom"/>
            <w:shd w:val="clear" w:color="auto" w:fill="E5E5E5"/>
          </w:tcPr>
          <w:p>
            <w:pPr>
              <w:spacing w:after="0"/>
              <w:rPr>
                <w:sz w:val="20"/>
                <w:szCs w:val="20"/>
                <w:color w:val="auto"/>
              </w:rPr>
            </w:pPr>
          </w:p>
        </w:tc>
        <w:tc>
          <w:tcPr>
            <w:tcW w:w="340" w:type="dxa"/>
            <w:vAlign w:val="bottom"/>
            <w:shd w:val="clear" w:color="auto" w:fill="E5E5E5"/>
          </w:tcPr>
          <w:p>
            <w:pPr>
              <w:jc w:val="right"/>
              <w:ind w:right="140"/>
              <w:spacing w:after="0" w:line="233" w:lineRule="exact"/>
              <w:rPr>
                <w:sz w:val="20"/>
                <w:szCs w:val="20"/>
                <w:color w:val="auto"/>
              </w:rPr>
            </w:pPr>
            <w:r>
              <w:rPr>
                <w:rFonts w:ascii="Calibri" w:cs="Calibri" w:eastAsia="Calibri" w:hAnsi="Calibri"/>
                <w:sz w:val="20"/>
                <w:szCs w:val="20"/>
                <w:color w:val="auto"/>
                <w:w w:val="78"/>
              </w:rPr>
              <w:t>$</w:t>
            </w:r>
          </w:p>
        </w:tc>
        <w:tc>
          <w:tcPr>
            <w:tcW w:w="112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13,814</w:t>
            </w:r>
          </w:p>
        </w:tc>
        <w:tc>
          <w:tcPr>
            <w:tcW w:w="160" w:type="dxa"/>
            <w:vAlign w:val="bottom"/>
            <w:shd w:val="clear" w:color="auto" w:fill="E5E5E5"/>
          </w:tcPr>
          <w:p>
            <w:pPr>
              <w:spacing w:after="0"/>
              <w:rPr>
                <w:sz w:val="20"/>
                <w:szCs w:val="20"/>
                <w:color w:val="auto"/>
              </w:rPr>
            </w:pPr>
          </w:p>
        </w:tc>
        <w:tc>
          <w:tcPr>
            <w:tcW w:w="500" w:type="dxa"/>
            <w:vAlign w:val="bottom"/>
            <w:gridSpan w:val="2"/>
            <w:shd w:val="clear" w:color="auto" w:fill="E5E5E5"/>
          </w:tcPr>
          <w:p>
            <w:pPr>
              <w:jc w:val="right"/>
              <w:ind w:right="240"/>
              <w:spacing w:after="0" w:line="233" w:lineRule="exact"/>
              <w:rPr>
                <w:sz w:val="20"/>
                <w:szCs w:val="20"/>
                <w:color w:val="auto"/>
              </w:rPr>
            </w:pPr>
            <w:r>
              <w:rPr>
                <w:rFonts w:ascii="Calibri" w:cs="Calibri" w:eastAsia="Calibri" w:hAnsi="Calibri"/>
                <w:sz w:val="20"/>
                <w:szCs w:val="20"/>
                <w:color w:val="auto"/>
              </w:rPr>
              <w:t>$</w:t>
            </w:r>
          </w:p>
        </w:tc>
        <w:tc>
          <w:tcPr>
            <w:tcW w:w="112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8,727</w:t>
            </w:r>
          </w:p>
        </w:tc>
        <w:tc>
          <w:tcPr>
            <w:tcW w:w="240" w:type="dxa"/>
            <w:vAlign w:val="bottom"/>
            <w:shd w:val="clear" w:color="auto" w:fill="E5E5E5"/>
          </w:tcPr>
          <w:p>
            <w:pPr>
              <w:spacing w:after="0"/>
              <w:rPr>
                <w:sz w:val="20"/>
                <w:szCs w:val="20"/>
                <w:color w:val="auto"/>
              </w:rPr>
            </w:pPr>
          </w:p>
        </w:tc>
        <w:tc>
          <w:tcPr>
            <w:tcW w:w="380" w:type="dxa"/>
            <w:vAlign w:val="bottom"/>
            <w:gridSpan w:val="2"/>
            <w:shd w:val="clear" w:color="auto" w:fill="E5E5E5"/>
          </w:tcPr>
          <w:p>
            <w:pPr>
              <w:jc w:val="right"/>
              <w:ind w:right="200"/>
              <w:spacing w:after="0" w:line="233" w:lineRule="exact"/>
              <w:rPr>
                <w:sz w:val="20"/>
                <w:szCs w:val="20"/>
                <w:color w:val="auto"/>
              </w:rPr>
            </w:pPr>
            <w:r>
              <w:rPr>
                <w:rFonts w:ascii="Calibri" w:cs="Calibri" w:eastAsia="Calibri" w:hAnsi="Calibri"/>
                <w:sz w:val="20"/>
                <w:szCs w:val="20"/>
                <w:color w:val="auto"/>
              </w:rPr>
              <w:t>$</w:t>
            </w:r>
          </w:p>
        </w:tc>
        <w:tc>
          <w:tcPr>
            <w:tcW w:w="116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5,087</w:t>
            </w:r>
          </w:p>
        </w:tc>
        <w:tc>
          <w:tcPr>
            <w:tcW w:w="0" w:type="dxa"/>
            <w:vAlign w:val="bottom"/>
          </w:tcPr>
          <w:p>
            <w:pPr>
              <w:spacing w:after="0"/>
              <w:rPr>
                <w:sz w:val="1"/>
                <w:szCs w:val="1"/>
                <w:color w:val="auto"/>
              </w:rPr>
            </w:pPr>
          </w:p>
        </w:tc>
      </w:tr>
      <w:tr>
        <w:trPr>
          <w:trHeight w:val="266"/>
        </w:trPr>
        <w:tc>
          <w:tcPr>
            <w:tcW w:w="3820" w:type="dxa"/>
            <w:vAlign w:val="bottom"/>
          </w:tcPr>
          <w:p>
            <w:pPr>
              <w:spacing w:after="0"/>
              <w:rPr>
                <w:sz w:val="20"/>
                <w:szCs w:val="20"/>
                <w:color w:val="auto"/>
              </w:rPr>
            </w:pPr>
            <w:r>
              <w:rPr>
                <w:rFonts w:ascii="Calibri" w:cs="Calibri" w:eastAsia="Calibri" w:hAnsi="Calibri"/>
                <w:sz w:val="20"/>
                <w:szCs w:val="20"/>
                <w:color w:val="auto"/>
              </w:rPr>
              <w:t>Gross margin</w:t>
            </w:r>
          </w:p>
        </w:tc>
        <w:tc>
          <w:tcPr>
            <w:tcW w:w="2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gridSpan w:val="2"/>
          </w:tcPr>
          <w:p>
            <w:pPr>
              <w:jc w:val="right"/>
              <w:ind w:right="20"/>
              <w:spacing w:after="0"/>
              <w:rPr>
                <w:sz w:val="20"/>
                <w:szCs w:val="20"/>
                <w:color w:val="auto"/>
              </w:rPr>
            </w:pPr>
            <w:r>
              <w:rPr>
                <w:rFonts w:ascii="Calibri" w:cs="Calibri" w:eastAsia="Calibri" w:hAnsi="Calibri"/>
                <w:sz w:val="20"/>
                <w:szCs w:val="20"/>
                <w:color w:val="auto"/>
              </w:rPr>
              <w:t>67 %</w:t>
            </w: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gridSpan w:val="2"/>
          </w:tcPr>
          <w:p>
            <w:pPr>
              <w:jc w:val="right"/>
              <w:ind w:right="100"/>
              <w:spacing w:after="0"/>
              <w:rPr>
                <w:sz w:val="20"/>
                <w:szCs w:val="20"/>
                <w:color w:val="auto"/>
              </w:rPr>
            </w:pPr>
            <w:r>
              <w:rPr>
                <w:rFonts w:ascii="Calibri" w:cs="Calibri" w:eastAsia="Calibri" w:hAnsi="Calibri"/>
                <w:sz w:val="20"/>
                <w:szCs w:val="20"/>
                <w:color w:val="auto"/>
              </w:rPr>
              <w:t>67 %</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right="20" w:firstLine="490"/>
        <w:spacing w:after="0" w:line="263" w:lineRule="auto"/>
        <w:rPr>
          <w:sz w:val="20"/>
          <w:szCs w:val="20"/>
          <w:color w:val="auto"/>
        </w:rPr>
      </w:pPr>
      <w:r>
        <w:rPr>
          <w:rFonts w:ascii="Calibri" w:cs="Calibri" w:eastAsia="Calibri" w:hAnsi="Calibri"/>
          <w:sz w:val="20"/>
          <w:szCs w:val="20"/>
          <w:color w:val="auto"/>
        </w:rPr>
        <w:t>The increase in cost of goods sold from continuing operations for 2025 compared to 2024 was primarily due to volume growth of LOQTORZI, which launched in January 2024.</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67</w:t>
      </w:r>
    </w:p>
    <w:p>
      <w:pPr>
        <w:sectPr>
          <w:pgSz w:w="12240" w:h="15840" w:orient="portrait"/>
          <w:cols w:equalWidth="0" w:num="1">
            <w:col w:w="11160"/>
          </w:cols>
          <w:pgMar w:left="540" w:top="531" w:right="540" w:bottom="9" w:gutter="0" w:footer="0" w:header="0"/>
          <w:type w:val="continuous"/>
        </w:sectPr>
      </w:pPr>
    </w:p>
    <w:bookmarkStart w:id="69" w:name="page70"/>
    <w:bookmarkEnd w:id="69"/>
    <w:p>
      <w:pPr>
        <w:ind w:left="500"/>
        <w:spacing w:after="0"/>
        <w:rPr>
          <w:sz w:val="20"/>
          <w:szCs w:val="20"/>
          <w:color w:val="auto"/>
        </w:rPr>
      </w:pPr>
      <w:r>
        <w:rPr>
          <w:rFonts w:ascii="Calibri" w:cs="Calibri" w:eastAsia="Calibri" w:hAnsi="Calibri"/>
          <w:sz w:val="19"/>
          <w:szCs w:val="19"/>
          <w:color w:val="auto"/>
        </w:rPr>
        <w:t>We expect cost of goods sold from continuing operations for 2026 to be higher than 2025 because of continued growth of LOQTORZI.</w:t>
      </w:r>
    </w:p>
    <w:p>
      <w:pPr>
        <w:spacing w:after="0" w:line="25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Research and Development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4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center"/>
              <w:ind w:right="20"/>
              <w:spacing w:after="0"/>
              <w:rPr>
                <w:sz w:val="20"/>
                <w:szCs w:val="20"/>
                <w:color w:val="auto"/>
              </w:rPr>
            </w:pPr>
            <w:r>
              <w:rPr>
                <w:rFonts w:ascii="Calibri" w:cs="Calibri" w:eastAsia="Calibri" w:hAnsi="Calibri"/>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240" w:type="dxa"/>
            <w:vAlign w:val="bottom"/>
            <w:tcBorders>
              <w:bottom w:val="single" w:sz="8" w:color="E5E5E5"/>
            </w:tcBorders>
            <w:vMerge w:val="continue"/>
          </w:tcPr>
          <w:p>
            <w:pPr>
              <w:spacing w:after="0"/>
              <w:rPr>
                <w:sz w:val="16"/>
                <w:szCs w:val="16"/>
                <w:color w:val="auto"/>
              </w:rPr>
            </w:pPr>
          </w:p>
        </w:tc>
        <w:tc>
          <w:tcPr>
            <w:tcW w:w="2000" w:type="dxa"/>
            <w:vAlign w:val="bottom"/>
            <w:tcBorders>
              <w:bottom w:val="single" w:sz="8" w:color="E5E5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0"/>
              <w:spacing w:after="0" w:line="185" w:lineRule="exact"/>
              <w:rPr>
                <w:sz w:val="20"/>
                <w:szCs w:val="20"/>
                <w:color w:val="auto"/>
              </w:rPr>
            </w:pPr>
            <w:r>
              <w:rPr>
                <w:rFonts w:ascii="Calibri" w:cs="Calibri" w:eastAsia="Calibri" w:hAnsi="Calibri"/>
                <w:sz w:val="16"/>
                <w:szCs w:val="16"/>
                <w:b w:val="1"/>
                <w:bCs w:val="1"/>
                <w:color w:val="auto"/>
              </w:rPr>
              <w:t>2025</w:t>
            </w:r>
          </w:p>
        </w:tc>
        <w:tc>
          <w:tcPr>
            <w:tcW w:w="320" w:type="dxa"/>
            <w:vAlign w:val="bottom"/>
            <w:tcBorders>
              <w:bottom w:val="single" w:sz="8" w:color="E5E5E5"/>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0"/>
              <w:spacing w:after="0" w:line="185" w:lineRule="exact"/>
              <w:rPr>
                <w:sz w:val="20"/>
                <w:szCs w:val="20"/>
                <w:color w:val="auto"/>
              </w:rPr>
            </w:pPr>
            <w:r>
              <w:rPr>
                <w:rFonts w:ascii="Calibri" w:cs="Calibri" w:eastAsia="Calibri" w:hAnsi="Calibri"/>
                <w:sz w:val="16"/>
                <w:szCs w:val="16"/>
                <w:b w:val="1"/>
                <w:bCs w:val="1"/>
                <w:color w:val="auto"/>
              </w:rPr>
              <w:t>2024</w:t>
            </w:r>
          </w:p>
        </w:tc>
        <w:tc>
          <w:tcPr>
            <w:tcW w:w="300" w:type="dxa"/>
            <w:vAlign w:val="bottom"/>
            <w:tcBorders>
              <w:bottom w:val="single" w:sz="8" w:color="E5E5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0"/>
              <w:spacing w:after="0" w:line="185" w:lineRule="exact"/>
              <w:rPr>
                <w:sz w:val="20"/>
                <w:szCs w:val="20"/>
                <w:color w:val="auto"/>
              </w:rPr>
            </w:pPr>
            <w:r>
              <w:rPr>
                <w:rFonts w:ascii="Calibri" w:cs="Calibri" w:eastAsia="Calibri" w:hAnsi="Calibri"/>
                <w:sz w:val="16"/>
                <w:szCs w:val="16"/>
                <w:b w:val="1"/>
                <w:bCs w:val="1"/>
                <w:color w:val="auto"/>
              </w:rPr>
              <w:t>Change</w:t>
            </w:r>
          </w:p>
        </w:tc>
        <w:tc>
          <w:tcPr>
            <w:tcW w:w="0" w:type="dxa"/>
            <w:vAlign w:val="bottom"/>
          </w:tcPr>
          <w:p>
            <w:pPr>
              <w:spacing w:after="0"/>
              <w:rPr>
                <w:sz w:val="1"/>
                <w:szCs w:val="1"/>
                <w:color w:val="auto"/>
              </w:rPr>
            </w:pPr>
          </w:p>
        </w:tc>
      </w:tr>
      <w:tr>
        <w:trPr>
          <w:trHeight w:val="234"/>
        </w:trPr>
        <w:tc>
          <w:tcPr>
            <w:tcW w:w="424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Research and development</w:t>
            </w:r>
          </w:p>
        </w:tc>
        <w:tc>
          <w:tcPr>
            <w:tcW w:w="2000" w:type="dxa"/>
            <w:vAlign w:val="bottom"/>
            <w:shd w:val="clear" w:color="auto" w:fill="E5E5E5"/>
          </w:tcPr>
          <w:p>
            <w:pPr>
              <w:spacing w:after="0"/>
              <w:rPr>
                <w:sz w:val="20"/>
                <w:szCs w:val="20"/>
                <w:color w:val="auto"/>
              </w:rPr>
            </w:pPr>
          </w:p>
        </w:tc>
        <w:tc>
          <w:tcPr>
            <w:tcW w:w="320" w:type="dxa"/>
            <w:vAlign w:val="bottom"/>
            <w:shd w:val="clear" w:color="auto" w:fill="E5E5E5"/>
          </w:tcPr>
          <w:p>
            <w:pPr>
              <w:jc w:val="right"/>
              <w:ind w:right="120"/>
              <w:spacing w:after="0" w:line="234" w:lineRule="exact"/>
              <w:rPr>
                <w:sz w:val="20"/>
                <w:szCs w:val="20"/>
                <w:color w:val="auto"/>
              </w:rPr>
            </w:pPr>
            <w:r>
              <w:rPr>
                <w:rFonts w:ascii="Calibri" w:cs="Calibri" w:eastAsia="Calibri" w:hAnsi="Calibri"/>
                <w:sz w:val="20"/>
                <w:szCs w:val="20"/>
                <w:color w:val="auto"/>
                <w:w w:val="78"/>
              </w:rPr>
              <w:t>$</w:t>
            </w:r>
          </w:p>
        </w:tc>
        <w:tc>
          <w:tcPr>
            <w:tcW w:w="110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108,888</w:t>
            </w:r>
          </w:p>
        </w:tc>
        <w:tc>
          <w:tcPr>
            <w:tcW w:w="660" w:type="dxa"/>
            <w:vAlign w:val="bottom"/>
            <w:gridSpan w:val="2"/>
            <w:shd w:val="clear" w:color="auto" w:fill="E5E5E5"/>
          </w:tcPr>
          <w:p>
            <w:pPr>
              <w:jc w:val="right"/>
              <w:ind w:right="240"/>
              <w:spacing w:after="0" w:line="234" w:lineRule="exact"/>
              <w:rPr>
                <w:sz w:val="20"/>
                <w:szCs w:val="20"/>
                <w:color w:val="auto"/>
              </w:rPr>
            </w:pPr>
            <w:r>
              <w:rPr>
                <w:rFonts w:ascii="Calibri" w:cs="Calibri" w:eastAsia="Calibri" w:hAnsi="Calibri"/>
                <w:sz w:val="20"/>
                <w:szCs w:val="20"/>
                <w:color w:val="auto"/>
              </w:rPr>
              <w:t>$</w:t>
            </w:r>
          </w:p>
        </w:tc>
        <w:tc>
          <w:tcPr>
            <w:tcW w:w="110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91,833</w:t>
            </w:r>
          </w:p>
        </w:tc>
        <w:tc>
          <w:tcPr>
            <w:tcW w:w="300" w:type="dxa"/>
            <w:vAlign w:val="bottom"/>
            <w:shd w:val="clear" w:color="auto" w:fill="E5E5E5"/>
          </w:tcPr>
          <w:p>
            <w:pPr>
              <w:spacing w:after="0"/>
              <w:rPr>
                <w:sz w:val="20"/>
                <w:szCs w:val="20"/>
                <w:color w:val="auto"/>
              </w:rPr>
            </w:pPr>
          </w:p>
        </w:tc>
        <w:tc>
          <w:tcPr>
            <w:tcW w:w="300" w:type="dxa"/>
            <w:vAlign w:val="bottom"/>
            <w:shd w:val="clear" w:color="auto" w:fill="E5E5E5"/>
          </w:tcPr>
          <w:p>
            <w:pPr>
              <w:jc w:val="right"/>
              <w:ind w:right="80"/>
              <w:spacing w:after="0" w:line="234" w:lineRule="exact"/>
              <w:rPr>
                <w:sz w:val="20"/>
                <w:szCs w:val="20"/>
                <w:color w:val="auto"/>
              </w:rPr>
            </w:pPr>
            <w:r>
              <w:rPr>
                <w:rFonts w:ascii="Calibri" w:cs="Calibri" w:eastAsia="Calibri" w:hAnsi="Calibri"/>
                <w:sz w:val="20"/>
                <w:szCs w:val="20"/>
                <w:color w:val="auto"/>
                <w:w w:val="98"/>
              </w:rPr>
              <w:t>$</w:t>
            </w:r>
          </w:p>
        </w:tc>
        <w:tc>
          <w:tcPr>
            <w:tcW w:w="114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17,055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90"/>
        <w:spacing w:after="0" w:line="263" w:lineRule="auto"/>
        <w:rPr>
          <w:sz w:val="20"/>
          <w:szCs w:val="20"/>
          <w:color w:val="auto"/>
        </w:rPr>
      </w:pPr>
      <w:r>
        <w:rPr>
          <w:rFonts w:ascii="Calibri" w:cs="Calibri" w:eastAsia="Calibri" w:hAnsi="Calibri"/>
          <w:sz w:val="20"/>
          <w:szCs w:val="20"/>
          <w:color w:val="auto"/>
        </w:rPr>
        <w:t>The increase in research and development expense from continuing operations in 2025 compared to the prior period was primarily due to the following:</w:t>
      </w:r>
    </w:p>
    <w:p>
      <w:pPr>
        <w:spacing w:after="0" w:line="205" w:lineRule="exact"/>
        <w:rPr>
          <w:sz w:val="20"/>
          <w:szCs w:val="20"/>
          <w:color w:val="auto"/>
        </w:rPr>
      </w:pPr>
    </w:p>
    <w:p>
      <w:pPr>
        <w:ind w:left="1220" w:hanging="363"/>
        <w:spacing w:after="0"/>
        <w:tabs>
          <w:tab w:leader="none" w:pos="1220" w:val="left"/>
        </w:tabs>
        <w:numPr>
          <w:ilvl w:val="0"/>
          <w:numId w:val="47"/>
        </w:numPr>
        <w:rPr>
          <w:rFonts w:ascii="Symbol" w:cs="Symbol" w:eastAsia="Symbol" w:hAnsi="Symbol"/>
          <w:sz w:val="20"/>
          <w:szCs w:val="20"/>
          <w:color w:val="auto"/>
        </w:rPr>
      </w:pPr>
      <w:r>
        <w:rPr>
          <w:rFonts w:ascii="Calibri" w:cs="Calibri" w:eastAsia="Calibri" w:hAnsi="Calibri"/>
          <w:sz w:val="20"/>
          <w:szCs w:val="20"/>
          <w:color w:val="auto"/>
        </w:rPr>
        <w:t>an increase of $19.9 million for the development of tagmokitug, including $1.1 million in milestones;</w:t>
      </w:r>
    </w:p>
    <w:p>
      <w:pPr>
        <w:spacing w:after="0" w:line="239" w:lineRule="exact"/>
        <w:rPr>
          <w:rFonts w:ascii="Symbol" w:cs="Symbol" w:eastAsia="Symbol" w:hAnsi="Symbol"/>
          <w:sz w:val="20"/>
          <w:szCs w:val="20"/>
          <w:color w:val="auto"/>
        </w:rPr>
      </w:pPr>
    </w:p>
    <w:p>
      <w:pPr>
        <w:ind w:left="1220" w:hanging="363"/>
        <w:spacing w:after="0"/>
        <w:tabs>
          <w:tab w:leader="none" w:pos="1220" w:val="left"/>
        </w:tabs>
        <w:numPr>
          <w:ilvl w:val="0"/>
          <w:numId w:val="47"/>
        </w:numPr>
        <w:rPr>
          <w:rFonts w:ascii="Symbol" w:cs="Symbol" w:eastAsia="Symbol" w:hAnsi="Symbol"/>
          <w:sz w:val="20"/>
          <w:szCs w:val="20"/>
          <w:color w:val="auto"/>
        </w:rPr>
      </w:pPr>
      <w:r>
        <w:rPr>
          <w:rFonts w:ascii="Calibri" w:cs="Calibri" w:eastAsia="Calibri" w:hAnsi="Calibri"/>
          <w:sz w:val="20"/>
          <w:szCs w:val="20"/>
          <w:color w:val="auto"/>
        </w:rPr>
        <w:t>an increase of $14.5 million for the development of casdozokitug; and</w:t>
      </w:r>
    </w:p>
    <w:p>
      <w:pPr>
        <w:spacing w:after="0" w:line="240" w:lineRule="exact"/>
        <w:rPr>
          <w:rFonts w:ascii="Symbol" w:cs="Symbol" w:eastAsia="Symbol" w:hAnsi="Symbol"/>
          <w:sz w:val="20"/>
          <w:szCs w:val="20"/>
          <w:color w:val="auto"/>
        </w:rPr>
      </w:pPr>
    </w:p>
    <w:p>
      <w:pPr>
        <w:ind w:left="500" w:right="820" w:firstLine="357"/>
        <w:spacing w:after="0" w:line="470" w:lineRule="auto"/>
        <w:tabs>
          <w:tab w:leader="none" w:pos="1220" w:val="left"/>
        </w:tabs>
        <w:numPr>
          <w:ilvl w:val="0"/>
          <w:numId w:val="47"/>
        </w:numPr>
        <w:rPr>
          <w:rFonts w:ascii="Symbol" w:cs="Symbol" w:eastAsia="Symbol" w:hAnsi="Symbol"/>
          <w:sz w:val="20"/>
          <w:szCs w:val="20"/>
          <w:color w:val="auto"/>
        </w:rPr>
      </w:pPr>
      <w:r>
        <w:rPr>
          <w:rFonts w:ascii="Calibri" w:cs="Calibri" w:eastAsia="Calibri" w:hAnsi="Calibri"/>
          <w:sz w:val="20"/>
          <w:szCs w:val="20"/>
          <w:color w:val="auto"/>
        </w:rPr>
        <w:t>an increase of $2.5 million for the net write-down of an intangible asset unrelated to our current active pipeline. The increase was partially offset by the following:</w:t>
      </w:r>
    </w:p>
    <w:p>
      <w:pPr>
        <w:ind w:left="1220" w:hanging="363"/>
        <w:spacing w:after="0"/>
        <w:tabs>
          <w:tab w:leader="none" w:pos="1220" w:val="left"/>
        </w:tabs>
        <w:numPr>
          <w:ilvl w:val="0"/>
          <w:numId w:val="47"/>
        </w:numPr>
        <w:rPr>
          <w:rFonts w:ascii="Symbol" w:cs="Symbol" w:eastAsia="Symbol" w:hAnsi="Symbol"/>
          <w:sz w:val="20"/>
          <w:szCs w:val="20"/>
          <w:color w:val="auto"/>
        </w:rPr>
      </w:pPr>
      <w:r>
        <w:rPr>
          <w:rFonts w:ascii="Calibri" w:cs="Calibri" w:eastAsia="Calibri" w:hAnsi="Calibri"/>
          <w:sz w:val="20"/>
          <w:szCs w:val="20"/>
          <w:color w:val="auto"/>
        </w:rPr>
        <w:t>a decrease of $5.8 million in development costs for single agent toripalimab in the United States;</w:t>
      </w:r>
    </w:p>
    <w:p>
      <w:pPr>
        <w:spacing w:after="0" w:line="239" w:lineRule="exact"/>
        <w:rPr>
          <w:rFonts w:ascii="Symbol" w:cs="Symbol" w:eastAsia="Symbol" w:hAnsi="Symbol"/>
          <w:sz w:val="20"/>
          <w:szCs w:val="20"/>
          <w:color w:val="auto"/>
        </w:rPr>
      </w:pPr>
    </w:p>
    <w:p>
      <w:pPr>
        <w:ind w:left="1220" w:hanging="363"/>
        <w:spacing w:after="0" w:line="251" w:lineRule="auto"/>
        <w:tabs>
          <w:tab w:leader="none" w:pos="1220" w:val="left"/>
        </w:tabs>
        <w:numPr>
          <w:ilvl w:val="0"/>
          <w:numId w:val="47"/>
        </w:numPr>
        <w:rPr>
          <w:rFonts w:ascii="Symbol" w:cs="Symbol" w:eastAsia="Symbol" w:hAnsi="Symbol"/>
          <w:sz w:val="20"/>
          <w:szCs w:val="20"/>
          <w:color w:val="auto"/>
        </w:rPr>
      </w:pPr>
      <w:r>
        <w:rPr>
          <w:rFonts w:ascii="Calibri" w:cs="Calibri" w:eastAsia="Calibri" w:hAnsi="Calibri"/>
          <w:sz w:val="20"/>
          <w:szCs w:val="20"/>
          <w:color w:val="auto"/>
        </w:rPr>
        <w:t>a decrease of $5.8 million in facilities, supplies and materials and other infrastructure related expenses to support our research and development programs;</w:t>
      </w:r>
    </w:p>
    <w:p>
      <w:pPr>
        <w:spacing w:after="0" w:line="218" w:lineRule="exact"/>
        <w:rPr>
          <w:rFonts w:ascii="Symbol" w:cs="Symbol" w:eastAsia="Symbol" w:hAnsi="Symbol"/>
          <w:sz w:val="20"/>
          <w:szCs w:val="20"/>
          <w:color w:val="auto"/>
        </w:rPr>
      </w:pPr>
    </w:p>
    <w:p>
      <w:pPr>
        <w:ind w:left="1220" w:hanging="363"/>
        <w:spacing w:after="0"/>
        <w:tabs>
          <w:tab w:leader="none" w:pos="1220" w:val="left"/>
        </w:tabs>
        <w:numPr>
          <w:ilvl w:val="0"/>
          <w:numId w:val="47"/>
        </w:numPr>
        <w:rPr>
          <w:rFonts w:ascii="Symbol" w:cs="Symbol" w:eastAsia="Symbol" w:hAnsi="Symbol"/>
          <w:sz w:val="20"/>
          <w:szCs w:val="20"/>
          <w:color w:val="auto"/>
        </w:rPr>
      </w:pPr>
      <w:r>
        <w:rPr>
          <w:rFonts w:ascii="Calibri" w:cs="Calibri" w:eastAsia="Calibri" w:hAnsi="Calibri"/>
          <w:sz w:val="20"/>
          <w:szCs w:val="20"/>
          <w:color w:val="auto"/>
        </w:rPr>
        <w:t>a decrease of $5.7 million related to programs that are no longer being developed; and</w:t>
      </w:r>
    </w:p>
    <w:p>
      <w:pPr>
        <w:spacing w:after="0" w:line="239" w:lineRule="exact"/>
        <w:rPr>
          <w:rFonts w:ascii="Symbol" w:cs="Symbol" w:eastAsia="Symbol" w:hAnsi="Symbol"/>
          <w:sz w:val="20"/>
          <w:szCs w:val="20"/>
          <w:color w:val="auto"/>
        </w:rPr>
      </w:pPr>
    </w:p>
    <w:p>
      <w:pPr>
        <w:ind w:left="1220" w:hanging="363"/>
        <w:spacing w:after="0"/>
        <w:tabs>
          <w:tab w:leader="none" w:pos="1220" w:val="left"/>
        </w:tabs>
        <w:numPr>
          <w:ilvl w:val="0"/>
          <w:numId w:val="47"/>
        </w:numPr>
        <w:rPr>
          <w:rFonts w:ascii="Symbol" w:cs="Symbol" w:eastAsia="Symbol" w:hAnsi="Symbol"/>
          <w:sz w:val="20"/>
          <w:szCs w:val="20"/>
          <w:color w:val="auto"/>
        </w:rPr>
      </w:pPr>
      <w:r>
        <w:rPr>
          <w:rFonts w:ascii="Calibri" w:cs="Calibri" w:eastAsia="Calibri" w:hAnsi="Calibri"/>
          <w:sz w:val="20"/>
          <w:szCs w:val="20"/>
          <w:color w:val="auto"/>
        </w:rPr>
        <w:t>a decrease of $1.7 million in employee-related costs including stock-based compensation.</w:t>
      </w:r>
    </w:p>
    <w:p>
      <w:pPr>
        <w:spacing w:after="0" w:line="228"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We expect our fixed research and development expenses in 2026 to be lower than in 2025 primarily due to rebalancing manufacturing-related development activities and reduced headcount. Total overall research and development expenses, which includes external clinical costs, will be a function of data readouts and our ongoing portfolio prioritization process.</w:t>
      </w:r>
    </w:p>
    <w:p>
      <w:pPr>
        <w:spacing w:after="0" w:line="208"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Selling, General and Administrative Expense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2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1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center"/>
              <w:ind w:right="20"/>
              <w:spacing w:after="0"/>
              <w:rPr>
                <w:sz w:val="20"/>
                <w:szCs w:val="20"/>
                <w:color w:val="auto"/>
              </w:rPr>
            </w:pPr>
            <w:r>
              <w:rPr>
                <w:rFonts w:ascii="Calibri" w:cs="Calibri" w:eastAsia="Calibri" w:hAnsi="Calibri"/>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520" w:type="dxa"/>
            <w:vAlign w:val="bottom"/>
            <w:tcBorders>
              <w:bottom w:val="single" w:sz="8" w:color="E5E5E5"/>
            </w:tcBorders>
            <w:vMerge w:val="continue"/>
          </w:tcPr>
          <w:p>
            <w:pPr>
              <w:spacing w:after="0"/>
              <w:rPr>
                <w:sz w:val="16"/>
                <w:szCs w:val="16"/>
                <w:color w:val="auto"/>
              </w:rPr>
            </w:pPr>
          </w:p>
        </w:tc>
        <w:tc>
          <w:tcPr>
            <w:tcW w:w="1720" w:type="dxa"/>
            <w:vAlign w:val="bottom"/>
            <w:tcBorders>
              <w:bottom w:val="single" w:sz="8" w:color="E5E5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0"/>
              <w:spacing w:after="0" w:line="187" w:lineRule="exact"/>
              <w:rPr>
                <w:sz w:val="20"/>
                <w:szCs w:val="20"/>
                <w:color w:val="auto"/>
              </w:rPr>
            </w:pPr>
            <w:r>
              <w:rPr>
                <w:rFonts w:ascii="Calibri" w:cs="Calibri" w:eastAsia="Calibri" w:hAnsi="Calibri"/>
                <w:sz w:val="16"/>
                <w:szCs w:val="16"/>
                <w:b w:val="1"/>
                <w:bCs w:val="1"/>
                <w:color w:val="auto"/>
              </w:rPr>
              <w:t>2025</w:t>
            </w:r>
          </w:p>
        </w:tc>
        <w:tc>
          <w:tcPr>
            <w:tcW w:w="320" w:type="dxa"/>
            <w:vAlign w:val="bottom"/>
            <w:tcBorders>
              <w:bottom w:val="single" w:sz="8" w:color="E5E5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0"/>
              <w:spacing w:after="0" w:line="187" w:lineRule="exact"/>
              <w:rPr>
                <w:sz w:val="20"/>
                <w:szCs w:val="20"/>
                <w:color w:val="auto"/>
              </w:rPr>
            </w:pPr>
            <w:r>
              <w:rPr>
                <w:rFonts w:ascii="Calibri" w:cs="Calibri" w:eastAsia="Calibri" w:hAnsi="Calibri"/>
                <w:sz w:val="16"/>
                <w:szCs w:val="16"/>
                <w:b w:val="1"/>
                <w:bCs w:val="1"/>
                <w:color w:val="auto"/>
              </w:rPr>
              <w:t>2024</w:t>
            </w:r>
          </w:p>
        </w:tc>
        <w:tc>
          <w:tcPr>
            <w:tcW w:w="300" w:type="dxa"/>
            <w:vAlign w:val="bottom"/>
            <w:tcBorders>
              <w:bottom w:val="single" w:sz="8" w:color="E5E5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0"/>
              <w:spacing w:after="0" w:line="187" w:lineRule="exact"/>
              <w:rPr>
                <w:sz w:val="20"/>
                <w:szCs w:val="20"/>
                <w:color w:val="auto"/>
              </w:rPr>
            </w:pPr>
            <w:r>
              <w:rPr>
                <w:rFonts w:ascii="Calibri" w:cs="Calibri" w:eastAsia="Calibri" w:hAnsi="Calibri"/>
                <w:sz w:val="16"/>
                <w:szCs w:val="16"/>
                <w:b w:val="1"/>
                <w:bCs w:val="1"/>
                <w:color w:val="auto"/>
              </w:rPr>
              <w:t>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20" w:type="dxa"/>
            <w:vAlign w:val="bottom"/>
            <w:shd w:val="clear" w:color="auto" w:fill="E5E5E5"/>
          </w:tcPr>
          <w:p>
            <w:pPr>
              <w:spacing w:after="0" w:line="235" w:lineRule="exact"/>
              <w:rPr>
                <w:sz w:val="20"/>
                <w:szCs w:val="20"/>
                <w:color w:val="auto"/>
              </w:rPr>
            </w:pPr>
            <w:r>
              <w:rPr>
                <w:rFonts w:ascii="Calibri" w:cs="Calibri" w:eastAsia="Calibri" w:hAnsi="Calibri"/>
                <w:sz w:val="20"/>
                <w:szCs w:val="20"/>
                <w:color w:val="auto"/>
              </w:rPr>
              <w:t>Selling, general and administrative</w:t>
            </w:r>
          </w:p>
        </w:tc>
        <w:tc>
          <w:tcPr>
            <w:tcW w:w="2040" w:type="dxa"/>
            <w:vAlign w:val="bottom"/>
            <w:gridSpan w:val="2"/>
            <w:shd w:val="clear" w:color="auto" w:fill="E5E5E5"/>
          </w:tcPr>
          <w:p>
            <w:pPr>
              <w:jc w:val="right"/>
              <w:ind w:right="220"/>
              <w:spacing w:after="0" w:line="235" w:lineRule="exact"/>
              <w:rPr>
                <w:sz w:val="20"/>
                <w:szCs w:val="20"/>
                <w:color w:val="auto"/>
              </w:rPr>
            </w:pPr>
            <w:r>
              <w:rPr>
                <w:rFonts w:ascii="Calibri" w:cs="Calibri" w:eastAsia="Calibri" w:hAnsi="Calibri"/>
                <w:sz w:val="20"/>
                <w:szCs w:val="20"/>
                <w:color w:val="auto"/>
              </w:rPr>
              <w:t>$</w:t>
            </w:r>
          </w:p>
        </w:tc>
        <w:tc>
          <w:tcPr>
            <w:tcW w:w="110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100,604</w:t>
            </w:r>
          </w:p>
        </w:tc>
        <w:tc>
          <w:tcPr>
            <w:tcW w:w="640" w:type="dxa"/>
            <w:vAlign w:val="bottom"/>
            <w:gridSpan w:val="2"/>
            <w:shd w:val="clear" w:color="auto" w:fill="E5E5E5"/>
          </w:tcPr>
          <w:p>
            <w:pPr>
              <w:jc w:val="right"/>
              <w:ind w:right="220"/>
              <w:spacing w:after="0" w:line="235" w:lineRule="exact"/>
              <w:rPr>
                <w:sz w:val="20"/>
                <w:szCs w:val="20"/>
                <w:color w:val="auto"/>
              </w:rPr>
            </w:pPr>
            <w:r>
              <w:rPr>
                <w:rFonts w:ascii="Calibri" w:cs="Calibri" w:eastAsia="Calibri" w:hAnsi="Calibri"/>
                <w:sz w:val="20"/>
                <w:szCs w:val="20"/>
                <w:color w:val="auto"/>
              </w:rPr>
              <w:t>$</w:t>
            </w:r>
          </w:p>
        </w:tc>
        <w:tc>
          <w:tcPr>
            <w:tcW w:w="112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125,482</w:t>
            </w:r>
          </w:p>
        </w:tc>
        <w:tc>
          <w:tcPr>
            <w:tcW w:w="300" w:type="dxa"/>
            <w:vAlign w:val="bottom"/>
            <w:shd w:val="clear" w:color="auto" w:fill="E5E5E5"/>
          </w:tcPr>
          <w:p>
            <w:pPr>
              <w:spacing w:after="0"/>
              <w:rPr>
                <w:sz w:val="20"/>
                <w:szCs w:val="20"/>
                <w:color w:val="auto"/>
              </w:rPr>
            </w:pPr>
          </w:p>
        </w:tc>
        <w:tc>
          <w:tcPr>
            <w:tcW w:w="300" w:type="dxa"/>
            <w:vAlign w:val="bottom"/>
            <w:shd w:val="clear" w:color="auto" w:fill="E5E5E5"/>
          </w:tcPr>
          <w:p>
            <w:pPr>
              <w:jc w:val="right"/>
              <w:ind w:right="80"/>
              <w:spacing w:after="0" w:line="235" w:lineRule="exact"/>
              <w:rPr>
                <w:sz w:val="20"/>
                <w:szCs w:val="20"/>
                <w:color w:val="auto"/>
              </w:rPr>
            </w:pPr>
            <w:r>
              <w:rPr>
                <w:rFonts w:ascii="Calibri" w:cs="Calibri" w:eastAsia="Calibri" w:hAnsi="Calibri"/>
                <w:sz w:val="20"/>
                <w:szCs w:val="20"/>
                <w:color w:val="auto"/>
                <w:w w:val="98"/>
              </w:rPr>
              <w:t>$</w:t>
            </w:r>
          </w:p>
        </w:tc>
        <w:tc>
          <w:tcPr>
            <w:tcW w:w="114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(24,878)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The decrease in selling, general and administrative expense from continuing operations in 2025 was primarily due to a lower average headcount resulting in reductions of $11.9 million in employee-related costs including stock-based compensation, the $6.8 million net impairment charge in the first quarter of 2024 relating to the write-off of the net carrying value of the out-license intangible asset of $10.6 million and the final remeasurement of the contingent value right (“CVR”) liability of $3.8 million related to NZV930 to its fair value of zero, lower professional fees of $5.4 million and a reduction of $2.6 million in facilities, supplies and materials and other related expenses to support our commercial infrastructure. These reductions were offset by the $1.6 million net impairment charge in the third quarter of 2025 relating to the write-off of the net carrying value of the out-license intangible asset and the final remeasurement of the CVR liability related to GSK4381562 to its fair value of zero (see Note 5. Balance Sheet Components).</w:t>
      </w:r>
    </w:p>
    <w:p>
      <w:pPr>
        <w:spacing w:after="0" w:line="216" w:lineRule="exact"/>
        <w:rPr>
          <w:sz w:val="20"/>
          <w:szCs w:val="20"/>
          <w:color w:val="auto"/>
        </w:rPr>
      </w:pPr>
    </w:p>
    <w:p>
      <w:pPr>
        <w:jc w:val="both"/>
        <w:ind w:firstLine="490"/>
        <w:spacing w:after="0" w:line="262" w:lineRule="auto"/>
        <w:rPr>
          <w:sz w:val="20"/>
          <w:szCs w:val="20"/>
          <w:color w:val="auto"/>
        </w:rPr>
      </w:pPr>
      <w:r>
        <w:rPr>
          <w:rFonts w:ascii="Calibri" w:cs="Calibri" w:eastAsia="Calibri" w:hAnsi="Calibri"/>
          <w:sz w:val="20"/>
          <w:szCs w:val="20"/>
          <w:color w:val="auto"/>
        </w:rPr>
        <w:t>We expect our selling, general and administrative expense from continuing operations for the full year 2026 to be lower than the full year 2025 primarily as a result of decreased operating costs and headcount.</w:t>
      </w:r>
    </w:p>
    <w:p>
      <w:pPr>
        <w:spacing w:after="0" w:line="197"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Interest Expense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6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24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center"/>
              <w:ind w:left="10"/>
              <w:spacing w:after="0"/>
              <w:rPr>
                <w:sz w:val="20"/>
                <w:szCs w:val="20"/>
                <w:color w:val="auto"/>
              </w:rPr>
            </w:pPr>
            <w:r>
              <w:rPr>
                <w:rFonts w:ascii="Calibri" w:cs="Calibri" w:eastAsia="Calibri" w:hAnsi="Calibri"/>
                <w:sz w:val="16"/>
                <w:szCs w:val="16"/>
                <w:b w:val="1"/>
                <w:bCs w:val="1"/>
                <w:color w:val="auto"/>
              </w:rPr>
              <w:t>Year Ended December 31,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760" w:type="dxa"/>
            <w:vAlign w:val="bottom"/>
            <w:tcBorders>
              <w:bottom w:val="single" w:sz="8" w:color="E5E5E5"/>
            </w:tcBorders>
            <w:vMerge w:val="continue"/>
          </w:tcPr>
          <w:p>
            <w:pPr>
              <w:spacing w:after="0"/>
              <w:rPr>
                <w:sz w:val="16"/>
                <w:szCs w:val="16"/>
                <w:color w:val="auto"/>
              </w:rPr>
            </w:pPr>
          </w:p>
        </w:tc>
        <w:tc>
          <w:tcPr>
            <w:tcW w:w="2400" w:type="dxa"/>
            <w:vAlign w:val="bottom"/>
            <w:tcBorders>
              <w:bottom w:val="single" w:sz="8" w:color="E5E5E5"/>
            </w:tcBorders>
          </w:tcPr>
          <w:p>
            <w:pPr>
              <w:spacing w:after="0"/>
              <w:rPr>
                <w:sz w:val="16"/>
                <w:szCs w:val="16"/>
                <w:color w:val="auto"/>
              </w:rPr>
            </w:pPr>
          </w:p>
        </w:tc>
        <w:tc>
          <w:tcPr>
            <w:tcW w:w="900" w:type="dxa"/>
            <w:vAlign w:val="bottom"/>
            <w:tcBorders>
              <w:bottom w:val="single" w:sz="8" w:color="auto"/>
            </w:tcBorders>
          </w:tcPr>
          <w:p>
            <w:pPr>
              <w:jc w:val="right"/>
              <w:spacing w:after="0" w:line="185" w:lineRule="exact"/>
              <w:rPr>
                <w:sz w:val="20"/>
                <w:szCs w:val="20"/>
                <w:color w:val="auto"/>
              </w:rPr>
            </w:pPr>
            <w:r>
              <w:rPr>
                <w:rFonts w:ascii="Calibri" w:cs="Calibri" w:eastAsia="Calibri" w:hAnsi="Calibri"/>
                <w:sz w:val="16"/>
                <w:szCs w:val="16"/>
                <w:b w:val="1"/>
                <w:bCs w:val="1"/>
                <w:color w:val="auto"/>
              </w:rPr>
              <w:t>2025</w:t>
            </w: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E5E5E5"/>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0"/>
              <w:spacing w:after="0" w:line="185" w:lineRule="exact"/>
              <w:rPr>
                <w:sz w:val="20"/>
                <w:szCs w:val="20"/>
                <w:color w:val="auto"/>
              </w:rPr>
            </w:pPr>
            <w:r>
              <w:rPr>
                <w:rFonts w:ascii="Calibri" w:cs="Calibri" w:eastAsia="Calibri" w:hAnsi="Calibri"/>
                <w:sz w:val="16"/>
                <w:szCs w:val="16"/>
                <w:b w:val="1"/>
                <w:bCs w:val="1"/>
                <w:color w:val="auto"/>
              </w:rPr>
              <w:t>2024</w:t>
            </w:r>
          </w:p>
        </w:tc>
        <w:tc>
          <w:tcPr>
            <w:tcW w:w="22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0"/>
              <w:spacing w:after="0" w:line="185" w:lineRule="exact"/>
              <w:rPr>
                <w:sz w:val="20"/>
                <w:szCs w:val="20"/>
                <w:color w:val="auto"/>
              </w:rPr>
            </w:pPr>
            <w:r>
              <w:rPr>
                <w:rFonts w:ascii="Calibri" w:cs="Calibri" w:eastAsia="Calibri" w:hAnsi="Calibri"/>
                <w:sz w:val="16"/>
                <w:szCs w:val="16"/>
                <w:b w:val="1"/>
                <w:bCs w:val="1"/>
                <w:color w:val="auto"/>
              </w:rPr>
              <w:t>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Interest expense</w:t>
            </w:r>
          </w:p>
        </w:tc>
        <w:tc>
          <w:tcPr>
            <w:tcW w:w="2400" w:type="dxa"/>
            <w:vAlign w:val="bottom"/>
            <w:shd w:val="clear" w:color="auto" w:fill="E5E5E5"/>
          </w:tcPr>
          <w:p>
            <w:pPr>
              <w:spacing w:after="0"/>
              <w:rPr>
                <w:sz w:val="20"/>
                <w:szCs w:val="20"/>
                <w:color w:val="auto"/>
              </w:rPr>
            </w:pPr>
          </w:p>
        </w:tc>
        <w:tc>
          <w:tcPr>
            <w:tcW w:w="900" w:type="dxa"/>
            <w:vAlign w:val="bottom"/>
            <w:shd w:val="clear" w:color="auto" w:fill="E5E5E5"/>
          </w:tcPr>
          <w:p>
            <w:pPr>
              <w:jc w:val="right"/>
              <w:ind w:right="710"/>
              <w:spacing w:after="0" w:line="234" w:lineRule="exact"/>
              <w:rPr>
                <w:sz w:val="20"/>
                <w:szCs w:val="20"/>
                <w:color w:val="auto"/>
              </w:rPr>
            </w:pPr>
            <w:r>
              <w:rPr>
                <w:rFonts w:ascii="Calibri" w:cs="Calibri" w:eastAsia="Calibri" w:hAnsi="Calibri"/>
                <w:sz w:val="20"/>
                <w:szCs w:val="20"/>
                <w:color w:val="auto"/>
                <w:w w:val="78"/>
              </w:rPr>
              <w:t>$</w:t>
            </w:r>
          </w:p>
        </w:tc>
        <w:tc>
          <w:tcPr>
            <w:tcW w:w="54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9,001</w:t>
            </w:r>
          </w:p>
        </w:tc>
        <w:tc>
          <w:tcPr>
            <w:tcW w:w="660" w:type="dxa"/>
            <w:vAlign w:val="bottom"/>
            <w:gridSpan w:val="2"/>
            <w:shd w:val="clear" w:color="auto" w:fill="E5E5E5"/>
          </w:tcPr>
          <w:p>
            <w:pPr>
              <w:jc w:val="right"/>
              <w:ind w:right="240"/>
              <w:spacing w:after="0" w:line="234" w:lineRule="exact"/>
              <w:rPr>
                <w:sz w:val="20"/>
                <w:szCs w:val="20"/>
                <w:color w:val="auto"/>
              </w:rPr>
            </w:pPr>
            <w:r>
              <w:rPr>
                <w:rFonts w:ascii="Calibri" w:cs="Calibri" w:eastAsia="Calibri" w:hAnsi="Calibri"/>
                <w:sz w:val="20"/>
                <w:szCs w:val="20"/>
                <w:color w:val="auto"/>
              </w:rPr>
              <w:t>$</w:t>
            </w:r>
          </w:p>
        </w:tc>
        <w:tc>
          <w:tcPr>
            <w:tcW w:w="110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10,734</w:t>
            </w:r>
          </w:p>
        </w:tc>
        <w:tc>
          <w:tcPr>
            <w:tcW w:w="220" w:type="dxa"/>
            <w:vAlign w:val="bottom"/>
            <w:shd w:val="clear" w:color="auto" w:fill="E5E5E5"/>
          </w:tcPr>
          <w:p>
            <w:pPr>
              <w:spacing w:after="0"/>
              <w:rPr>
                <w:sz w:val="20"/>
                <w:szCs w:val="20"/>
                <w:color w:val="auto"/>
              </w:rPr>
            </w:pPr>
          </w:p>
        </w:tc>
        <w:tc>
          <w:tcPr>
            <w:tcW w:w="400" w:type="dxa"/>
            <w:vAlign w:val="bottom"/>
            <w:gridSpan w:val="2"/>
            <w:shd w:val="clear" w:color="auto" w:fill="E5E5E5"/>
          </w:tcPr>
          <w:p>
            <w:pPr>
              <w:jc w:val="right"/>
              <w:ind w:right="180"/>
              <w:spacing w:after="0" w:line="234" w:lineRule="exact"/>
              <w:rPr>
                <w:sz w:val="20"/>
                <w:szCs w:val="20"/>
                <w:color w:val="auto"/>
              </w:rPr>
            </w:pPr>
            <w:r>
              <w:rPr>
                <w:rFonts w:ascii="Calibri" w:cs="Calibri" w:eastAsia="Calibri" w:hAnsi="Calibri"/>
                <w:sz w:val="20"/>
                <w:szCs w:val="20"/>
                <w:color w:val="auto"/>
              </w:rPr>
              <w:t>$</w:t>
            </w:r>
          </w:p>
        </w:tc>
        <w:tc>
          <w:tcPr>
            <w:tcW w:w="118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(1,733)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720"/>
        <w:spacing w:after="0" w:line="261" w:lineRule="auto"/>
        <w:rPr>
          <w:sz w:val="20"/>
          <w:szCs w:val="20"/>
          <w:color w:val="auto"/>
        </w:rPr>
      </w:pPr>
      <w:r>
        <w:rPr>
          <w:rFonts w:ascii="Calibri" w:cs="Calibri" w:eastAsia="Calibri" w:hAnsi="Calibri"/>
          <w:sz w:val="20"/>
          <w:szCs w:val="20"/>
          <w:color w:val="auto"/>
        </w:rPr>
        <w:t>The decrease in interest expense from continuing operations in 2025 was primarily due to prepaying the remaining $75.0 million of the principal amount due under the 2027 Term Loans on May 8, 2024, partially offset by interest expense on the $38.7 million of</w:t>
      </w:r>
    </w:p>
    <w:p>
      <w:pPr>
        <w:sectPr>
          <w:pgSz w:w="12240" w:h="15840" w:orient="portrait"/>
          <w:cols w:equalWidth="0" w:num="1">
            <w:col w:w="11160"/>
          </w:cols>
          <w:pgMar w:left="540" w:top="533" w:right="540" w:bottom="9"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68</w:t>
      </w:r>
    </w:p>
    <w:p>
      <w:pPr>
        <w:sectPr>
          <w:pgSz w:w="12240" w:h="15840" w:orient="portrait"/>
          <w:cols w:equalWidth="0" w:num="1">
            <w:col w:w="11160"/>
          </w:cols>
          <w:pgMar w:left="540" w:top="533" w:right="540" w:bottom="9" w:gutter="0" w:footer="0" w:header="0"/>
          <w:type w:val="continuous"/>
        </w:sectPr>
      </w:pPr>
    </w:p>
    <w:bookmarkStart w:id="70" w:name="page71"/>
    <w:bookmarkEnd w:id="70"/>
    <w:p>
      <w:pPr>
        <w:jc w:val="both"/>
        <w:spacing w:after="0" w:line="262" w:lineRule="auto"/>
        <w:rPr>
          <w:sz w:val="20"/>
          <w:szCs w:val="20"/>
          <w:color w:val="auto"/>
        </w:rPr>
      </w:pPr>
      <w:r>
        <w:rPr>
          <w:rFonts w:ascii="Calibri" w:cs="Calibri" w:eastAsia="Calibri" w:hAnsi="Calibri"/>
          <w:sz w:val="20"/>
          <w:szCs w:val="20"/>
          <w:color w:val="auto"/>
        </w:rPr>
        <w:t>outstanding 2029 Term Loan principal and the LOQTORZI portion of the Revenue Purchase and Sale Agreement, both of which commenced on May 8, 2024 and incurred twelve months of interest during the year ended December 31, 2025.</w:t>
      </w:r>
    </w:p>
    <w:p>
      <w:pPr>
        <w:spacing w:after="0" w:line="195"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Interest expense from discontinued operations was $3.5 million and $16.4 million in 2025 and 2024, respectively, and was related to the 2026 Convertible Notes, the UDENYCA portion of the Revenue Purchase and Sale Agreement, and $175.0 million of the $250.0 million principal amount due under the 2027 Term Loans.</w:t>
      </w:r>
    </w:p>
    <w:p>
      <w:pPr>
        <w:spacing w:after="0" w:line="206" w:lineRule="exact"/>
        <w:rPr>
          <w:sz w:val="20"/>
          <w:szCs w:val="20"/>
          <w:color w:val="auto"/>
        </w:rPr>
      </w:pPr>
    </w:p>
    <w:p>
      <w:pPr>
        <w:jc w:val="both"/>
        <w:ind w:firstLine="720"/>
        <w:spacing w:after="0" w:line="263" w:lineRule="auto"/>
        <w:rPr>
          <w:sz w:val="20"/>
          <w:szCs w:val="20"/>
          <w:color w:val="auto"/>
        </w:rPr>
      </w:pPr>
      <w:r>
        <w:rPr>
          <w:rFonts w:ascii="Calibri" w:cs="Calibri" w:eastAsia="Calibri" w:hAnsi="Calibri"/>
          <w:sz w:val="20"/>
          <w:szCs w:val="20"/>
          <w:color w:val="auto"/>
        </w:rPr>
        <w:t>We expect interest expense from continuing operations to be slightly lower in 2026 than in 2025, primarily as a result of the downward trend in market interest rates relative to the 2025 period.</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Loss on Debt Extinguishment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19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60"/>
              <w:spacing w:after="0"/>
              <w:rPr>
                <w:sz w:val="20"/>
                <w:szCs w:val="20"/>
                <w:color w:val="auto"/>
              </w:rPr>
            </w:pPr>
            <w:r>
              <w:rPr>
                <w:rFonts w:ascii="Calibri" w:cs="Calibri" w:eastAsia="Calibri" w:hAnsi="Calibri"/>
                <w:sz w:val="16"/>
                <w:szCs w:val="16"/>
                <w:b w:val="1"/>
                <w:bCs w:val="1"/>
                <w:color w:val="auto"/>
              </w:rPr>
              <w:t>Year Ended December 31,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280" w:type="dxa"/>
            <w:vAlign w:val="bottom"/>
            <w:tcBorders>
              <w:bottom w:val="single" w:sz="8" w:color="E5E5E5"/>
            </w:tcBorders>
            <w:vMerge w:val="continue"/>
          </w:tcPr>
          <w:p>
            <w:pPr>
              <w:spacing w:after="0"/>
              <w:rPr>
                <w:sz w:val="16"/>
                <w:szCs w:val="16"/>
                <w:color w:val="auto"/>
              </w:rPr>
            </w:pPr>
          </w:p>
        </w:tc>
        <w:tc>
          <w:tcPr>
            <w:tcW w:w="1960" w:type="dxa"/>
            <w:vAlign w:val="bottom"/>
            <w:tcBorders>
              <w:bottom w:val="single" w:sz="8" w:color="E5E5E5"/>
            </w:tcBorders>
          </w:tcPr>
          <w:p>
            <w:pPr>
              <w:spacing w:after="0"/>
              <w:rPr>
                <w:sz w:val="16"/>
                <w:szCs w:val="16"/>
                <w:color w:val="auto"/>
              </w:rPr>
            </w:pPr>
          </w:p>
        </w:tc>
        <w:tc>
          <w:tcPr>
            <w:tcW w:w="1040" w:type="dxa"/>
            <w:vAlign w:val="bottom"/>
            <w:tcBorders>
              <w:bottom w:val="single" w:sz="8" w:color="auto"/>
            </w:tcBorders>
          </w:tcPr>
          <w:p>
            <w:pPr>
              <w:jc w:val="right"/>
              <w:ind w:right="70"/>
              <w:spacing w:after="0" w:line="187" w:lineRule="exact"/>
              <w:rPr>
                <w:sz w:val="20"/>
                <w:szCs w:val="20"/>
                <w:color w:val="auto"/>
              </w:rPr>
            </w:pPr>
            <w:r>
              <w:rPr>
                <w:rFonts w:ascii="Calibri" w:cs="Calibri" w:eastAsia="Calibri" w:hAnsi="Calibri"/>
                <w:sz w:val="16"/>
                <w:szCs w:val="16"/>
                <w:b w:val="1"/>
                <w:bCs w:val="1"/>
                <w:color w:val="auto"/>
              </w:rPr>
              <w:t>2025</w:t>
            </w:r>
          </w:p>
        </w:tc>
        <w:tc>
          <w:tcPr>
            <w:tcW w:w="380" w:type="dxa"/>
            <w:vAlign w:val="bottom"/>
            <w:tcBorders>
              <w:bottom w:val="single" w:sz="8" w:color="auto"/>
            </w:tcBorders>
          </w:tcPr>
          <w:p>
            <w:pPr>
              <w:spacing w:after="0"/>
              <w:rPr>
                <w:sz w:val="16"/>
                <w:szCs w:val="16"/>
                <w:color w:val="auto"/>
              </w:rPr>
            </w:pPr>
          </w:p>
        </w:tc>
        <w:tc>
          <w:tcPr>
            <w:tcW w:w="340" w:type="dxa"/>
            <w:vAlign w:val="bottom"/>
            <w:tcBorders>
              <w:bottom w:val="single" w:sz="8" w:color="E5E5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0"/>
              <w:spacing w:after="0" w:line="187" w:lineRule="exact"/>
              <w:rPr>
                <w:sz w:val="20"/>
                <w:szCs w:val="20"/>
                <w:color w:val="auto"/>
              </w:rPr>
            </w:pPr>
            <w:r>
              <w:rPr>
                <w:rFonts w:ascii="Calibri" w:cs="Calibri" w:eastAsia="Calibri" w:hAnsi="Calibri"/>
                <w:sz w:val="16"/>
                <w:szCs w:val="16"/>
                <w:b w:val="1"/>
                <w:bCs w:val="1"/>
                <w:color w:val="auto"/>
              </w:rPr>
              <w:t>2024</w:t>
            </w:r>
          </w:p>
        </w:tc>
        <w:tc>
          <w:tcPr>
            <w:tcW w:w="22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0"/>
              <w:spacing w:after="0" w:line="187" w:lineRule="exact"/>
              <w:rPr>
                <w:sz w:val="20"/>
                <w:szCs w:val="20"/>
                <w:color w:val="auto"/>
              </w:rPr>
            </w:pPr>
            <w:r>
              <w:rPr>
                <w:rFonts w:ascii="Calibri" w:cs="Calibri" w:eastAsia="Calibri" w:hAnsi="Calibri"/>
                <w:sz w:val="16"/>
                <w:szCs w:val="16"/>
                <w:b w:val="1"/>
                <w:bCs w:val="1"/>
                <w:color w:val="auto"/>
              </w:rPr>
              <w:t>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Loss on debt extinguishment</w:t>
            </w:r>
          </w:p>
        </w:tc>
        <w:tc>
          <w:tcPr>
            <w:tcW w:w="1960" w:type="dxa"/>
            <w:vAlign w:val="bottom"/>
            <w:shd w:val="clear" w:color="auto" w:fill="E5E5E5"/>
          </w:tcPr>
          <w:p>
            <w:pPr>
              <w:spacing w:after="0"/>
              <w:rPr>
                <w:sz w:val="20"/>
                <w:szCs w:val="20"/>
                <w:color w:val="auto"/>
              </w:rPr>
            </w:pPr>
          </w:p>
        </w:tc>
        <w:tc>
          <w:tcPr>
            <w:tcW w:w="1040" w:type="dxa"/>
            <w:vAlign w:val="bottom"/>
            <w:shd w:val="clear" w:color="auto" w:fill="E5E5E5"/>
          </w:tcPr>
          <w:p>
            <w:pPr>
              <w:jc w:val="right"/>
              <w:ind w:right="850"/>
              <w:spacing w:after="0" w:line="234" w:lineRule="exact"/>
              <w:rPr>
                <w:sz w:val="20"/>
                <w:szCs w:val="20"/>
                <w:color w:val="auto"/>
              </w:rPr>
            </w:pPr>
            <w:r>
              <w:rPr>
                <w:rFonts w:ascii="Calibri" w:cs="Calibri" w:eastAsia="Calibri" w:hAnsi="Calibri"/>
                <w:sz w:val="20"/>
                <w:szCs w:val="20"/>
                <w:color w:val="auto"/>
                <w:w w:val="78"/>
              </w:rPr>
              <w:t>$</w:t>
            </w:r>
          </w:p>
        </w:tc>
        <w:tc>
          <w:tcPr>
            <w:tcW w:w="380" w:type="dxa"/>
            <w:vAlign w:val="bottom"/>
            <w:shd w:val="clear" w:color="auto" w:fill="E5E5E5"/>
          </w:tcPr>
          <w:p>
            <w:pPr>
              <w:ind w:left="140"/>
              <w:spacing w:after="0" w:line="234" w:lineRule="exact"/>
              <w:rPr>
                <w:sz w:val="20"/>
                <w:szCs w:val="20"/>
                <w:color w:val="auto"/>
              </w:rPr>
            </w:pPr>
            <w:r>
              <w:rPr>
                <w:rFonts w:ascii="Calibri" w:cs="Calibri" w:eastAsia="Calibri" w:hAnsi="Calibri"/>
                <w:sz w:val="20"/>
                <w:szCs w:val="20"/>
                <w:color w:val="auto"/>
              </w:rPr>
              <w:t>—</w:t>
            </w:r>
          </w:p>
        </w:tc>
        <w:tc>
          <w:tcPr>
            <w:tcW w:w="660" w:type="dxa"/>
            <w:vAlign w:val="bottom"/>
            <w:gridSpan w:val="2"/>
            <w:shd w:val="clear" w:color="auto" w:fill="E5E5E5"/>
          </w:tcPr>
          <w:p>
            <w:pPr>
              <w:jc w:val="right"/>
              <w:ind w:right="220"/>
              <w:spacing w:after="0" w:line="234" w:lineRule="exact"/>
              <w:rPr>
                <w:sz w:val="20"/>
                <w:szCs w:val="20"/>
                <w:color w:val="auto"/>
              </w:rPr>
            </w:pPr>
            <w:r>
              <w:rPr>
                <w:rFonts w:ascii="Calibri" w:cs="Calibri" w:eastAsia="Calibri" w:hAnsi="Calibri"/>
                <w:sz w:val="20"/>
                <w:szCs w:val="20"/>
                <w:color w:val="auto"/>
              </w:rPr>
              <w:t>$</w:t>
            </w:r>
          </w:p>
        </w:tc>
        <w:tc>
          <w:tcPr>
            <w:tcW w:w="110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12,630</w:t>
            </w:r>
          </w:p>
        </w:tc>
        <w:tc>
          <w:tcPr>
            <w:tcW w:w="220" w:type="dxa"/>
            <w:vAlign w:val="bottom"/>
            <w:shd w:val="clear" w:color="auto" w:fill="E5E5E5"/>
          </w:tcPr>
          <w:p>
            <w:pPr>
              <w:spacing w:after="0"/>
              <w:rPr>
                <w:sz w:val="20"/>
                <w:szCs w:val="20"/>
                <w:color w:val="auto"/>
              </w:rPr>
            </w:pPr>
          </w:p>
        </w:tc>
        <w:tc>
          <w:tcPr>
            <w:tcW w:w="280" w:type="dxa"/>
            <w:vAlign w:val="bottom"/>
            <w:gridSpan w:val="2"/>
            <w:shd w:val="clear" w:color="auto" w:fill="E5E5E5"/>
          </w:tcPr>
          <w:p>
            <w:pPr>
              <w:jc w:val="right"/>
              <w:ind w:right="60"/>
              <w:spacing w:after="0" w:line="234" w:lineRule="exact"/>
              <w:rPr>
                <w:sz w:val="20"/>
                <w:szCs w:val="20"/>
                <w:color w:val="auto"/>
              </w:rPr>
            </w:pPr>
            <w:r>
              <w:rPr>
                <w:rFonts w:ascii="Calibri" w:cs="Calibri" w:eastAsia="Calibri" w:hAnsi="Calibri"/>
                <w:sz w:val="20"/>
                <w:szCs w:val="20"/>
                <w:color w:val="auto"/>
              </w:rPr>
              <w:t>$</w:t>
            </w:r>
          </w:p>
        </w:tc>
        <w:tc>
          <w:tcPr>
            <w:tcW w:w="124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(12,630)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The $12.6 million loss on debt extinguishment in 2024 resulted from the payoff of the 2027 Term Loans in May 2024, and the charge included the write-off of the remaining debt discount and debt issuance costs, the prepayment premium fee, the make-whole interest payment, and lender fees.</w:t>
      </w:r>
    </w:p>
    <w:p>
      <w:pPr>
        <w:spacing w:after="0" w:line="207"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Other Income (Expense), Net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2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2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Calibri" w:cs="Calibri" w:eastAsia="Calibri" w:hAnsi="Calibri"/>
                <w:sz w:val="16"/>
                <w:szCs w:val="16"/>
                <w:b w:val="1"/>
                <w:bCs w:val="1"/>
                <w:color w:val="auto"/>
              </w:rPr>
              <w:t>Year Ended December 31,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320" w:type="dxa"/>
            <w:vAlign w:val="bottom"/>
            <w:tcBorders>
              <w:bottom w:val="single" w:sz="8" w:color="E5E5E5"/>
            </w:tcBorders>
            <w:vMerge w:val="continue"/>
          </w:tcPr>
          <w:p>
            <w:pPr>
              <w:spacing w:after="0"/>
              <w:rPr>
                <w:sz w:val="16"/>
                <w:szCs w:val="16"/>
                <w:color w:val="auto"/>
              </w:rPr>
            </w:pPr>
          </w:p>
        </w:tc>
        <w:tc>
          <w:tcPr>
            <w:tcW w:w="2000" w:type="dxa"/>
            <w:vAlign w:val="bottom"/>
            <w:tcBorders>
              <w:bottom w:val="single" w:sz="8" w:color="E5E5E5"/>
            </w:tcBorders>
          </w:tcPr>
          <w:p>
            <w:pPr>
              <w:spacing w:after="0"/>
              <w:rPr>
                <w:sz w:val="16"/>
                <w:szCs w:val="16"/>
                <w:color w:val="auto"/>
              </w:rPr>
            </w:pPr>
          </w:p>
        </w:tc>
        <w:tc>
          <w:tcPr>
            <w:tcW w:w="880" w:type="dxa"/>
            <w:vAlign w:val="bottom"/>
            <w:tcBorders>
              <w:bottom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2025</w:t>
            </w: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E5E5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0"/>
              <w:spacing w:after="0" w:line="187" w:lineRule="exact"/>
              <w:rPr>
                <w:sz w:val="20"/>
                <w:szCs w:val="20"/>
                <w:color w:val="auto"/>
              </w:rPr>
            </w:pPr>
            <w:r>
              <w:rPr>
                <w:rFonts w:ascii="Calibri" w:cs="Calibri" w:eastAsia="Calibri" w:hAnsi="Calibri"/>
                <w:sz w:val="16"/>
                <w:szCs w:val="16"/>
                <w:b w:val="1"/>
                <w:bCs w:val="1"/>
                <w:color w:val="auto"/>
              </w:rPr>
              <w:t>2024</w:t>
            </w:r>
          </w:p>
        </w:tc>
        <w:tc>
          <w:tcPr>
            <w:tcW w:w="22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0"/>
              <w:spacing w:after="0" w:line="187" w:lineRule="exact"/>
              <w:rPr>
                <w:sz w:val="20"/>
                <w:szCs w:val="20"/>
                <w:color w:val="auto"/>
              </w:rPr>
            </w:pPr>
            <w:r>
              <w:rPr>
                <w:rFonts w:ascii="Calibri" w:cs="Calibri" w:eastAsia="Calibri" w:hAnsi="Calibri"/>
                <w:sz w:val="16"/>
                <w:szCs w:val="16"/>
                <w:b w:val="1"/>
                <w:bCs w:val="1"/>
                <w:color w:val="auto"/>
              </w:rPr>
              <w:t>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Other income (expense), net</w:t>
            </w:r>
          </w:p>
        </w:tc>
        <w:tc>
          <w:tcPr>
            <w:tcW w:w="2000" w:type="dxa"/>
            <w:vAlign w:val="bottom"/>
            <w:shd w:val="clear" w:color="auto" w:fill="E5E5E5"/>
          </w:tcPr>
          <w:p>
            <w:pPr>
              <w:spacing w:after="0"/>
              <w:rPr>
                <w:sz w:val="20"/>
                <w:szCs w:val="20"/>
                <w:color w:val="auto"/>
              </w:rPr>
            </w:pPr>
          </w:p>
        </w:tc>
        <w:tc>
          <w:tcPr>
            <w:tcW w:w="880" w:type="dxa"/>
            <w:vAlign w:val="bottom"/>
            <w:shd w:val="clear" w:color="auto" w:fill="E5E5E5"/>
          </w:tcPr>
          <w:p>
            <w:pPr>
              <w:jc w:val="right"/>
              <w:ind w:right="690"/>
              <w:spacing w:after="0" w:line="234" w:lineRule="exact"/>
              <w:rPr>
                <w:sz w:val="20"/>
                <w:szCs w:val="20"/>
                <w:color w:val="auto"/>
              </w:rPr>
            </w:pPr>
            <w:r>
              <w:rPr>
                <w:rFonts w:ascii="Calibri" w:cs="Calibri" w:eastAsia="Calibri" w:hAnsi="Calibri"/>
                <w:sz w:val="20"/>
                <w:szCs w:val="20"/>
                <w:color w:val="auto"/>
                <w:w w:val="78"/>
              </w:rPr>
              <w:t>$</w:t>
            </w:r>
          </w:p>
        </w:tc>
        <w:tc>
          <w:tcPr>
            <w:tcW w:w="52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w w:val="96"/>
              </w:rPr>
              <w:t>7,011</w:t>
            </w:r>
          </w:p>
        </w:tc>
        <w:tc>
          <w:tcPr>
            <w:tcW w:w="640" w:type="dxa"/>
            <w:vAlign w:val="bottom"/>
            <w:gridSpan w:val="2"/>
            <w:shd w:val="clear" w:color="auto" w:fill="E5E5E5"/>
          </w:tcPr>
          <w:p>
            <w:pPr>
              <w:jc w:val="right"/>
              <w:ind w:right="220"/>
              <w:spacing w:after="0" w:line="234" w:lineRule="exact"/>
              <w:rPr>
                <w:sz w:val="20"/>
                <w:szCs w:val="20"/>
                <w:color w:val="auto"/>
              </w:rPr>
            </w:pPr>
            <w:r>
              <w:rPr>
                <w:rFonts w:ascii="Calibri" w:cs="Calibri" w:eastAsia="Calibri" w:hAnsi="Calibri"/>
                <w:sz w:val="20"/>
                <w:szCs w:val="20"/>
                <w:color w:val="auto"/>
              </w:rPr>
              <w:t>$</w:t>
            </w:r>
          </w:p>
        </w:tc>
        <w:tc>
          <w:tcPr>
            <w:tcW w:w="108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7,623</w:t>
            </w:r>
          </w:p>
        </w:tc>
        <w:tc>
          <w:tcPr>
            <w:tcW w:w="220" w:type="dxa"/>
            <w:vAlign w:val="bottom"/>
            <w:shd w:val="clear" w:color="auto" w:fill="E5E5E5"/>
          </w:tcPr>
          <w:p>
            <w:pPr>
              <w:spacing w:after="0"/>
              <w:rPr>
                <w:sz w:val="20"/>
                <w:szCs w:val="20"/>
                <w:color w:val="auto"/>
              </w:rPr>
            </w:pPr>
          </w:p>
        </w:tc>
        <w:tc>
          <w:tcPr>
            <w:tcW w:w="360" w:type="dxa"/>
            <w:vAlign w:val="bottom"/>
            <w:gridSpan w:val="2"/>
            <w:shd w:val="clear" w:color="auto" w:fill="E5E5E5"/>
          </w:tcPr>
          <w:p>
            <w:pPr>
              <w:jc w:val="right"/>
              <w:ind w:right="160"/>
              <w:spacing w:after="0" w:line="234" w:lineRule="exact"/>
              <w:rPr>
                <w:sz w:val="20"/>
                <w:szCs w:val="20"/>
                <w:color w:val="auto"/>
              </w:rPr>
            </w:pPr>
            <w:r>
              <w:rPr>
                <w:rFonts w:ascii="Calibri" w:cs="Calibri" w:eastAsia="Calibri" w:hAnsi="Calibri"/>
                <w:sz w:val="20"/>
                <w:szCs w:val="20"/>
                <w:color w:val="auto"/>
              </w:rPr>
              <w:t>$</w:t>
            </w:r>
          </w:p>
        </w:tc>
        <w:tc>
          <w:tcPr>
            <w:tcW w:w="114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(612)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490"/>
        <w:spacing w:after="0" w:line="247" w:lineRule="auto"/>
        <w:rPr>
          <w:sz w:val="20"/>
          <w:szCs w:val="20"/>
          <w:color w:val="auto"/>
        </w:rPr>
      </w:pPr>
      <w:r>
        <w:rPr>
          <w:rFonts w:ascii="Calibri" w:cs="Calibri" w:eastAsia="Calibri" w:hAnsi="Calibri"/>
          <w:sz w:val="20"/>
          <w:szCs w:val="20"/>
          <w:color w:val="auto"/>
        </w:rPr>
        <w:t>Other income (expense), net from continuing operations in 2025 changed unfavorably compared to the prior year primarily due to a reduction of certain TSA reimbursements classified in other income of $2.2 million, a decrease in foreign exchange gains of $1.1 million, and the change in fair value of the LOQTORZI Royalty Fee Derivative Liability of $0.8 million, partially offset by an increase in interest and investment income of $3.3 million.</w:t>
      </w:r>
    </w:p>
    <w:p>
      <w:pPr>
        <w:spacing w:after="0" w:line="212"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Net Income from Discontinued Operations, net of tax</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32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10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center"/>
              <w:ind w:right="260"/>
              <w:spacing w:after="0"/>
              <w:rPr>
                <w:sz w:val="20"/>
                <w:szCs w:val="20"/>
                <w:color w:val="auto"/>
              </w:rPr>
            </w:pPr>
            <w:r>
              <w:rPr>
                <w:rFonts w:ascii="Calibri" w:cs="Calibri" w:eastAsia="Calibri" w:hAnsi="Calibri"/>
                <w:sz w:val="16"/>
                <w:szCs w:val="16"/>
                <w:b w:val="1"/>
                <w:bCs w:val="1"/>
                <w:color w:val="auto"/>
              </w:rPr>
              <w:t>Year ended December 31, 2025</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320" w:type="dxa"/>
            <w:vAlign w:val="bottom"/>
            <w:tcBorders>
              <w:bottom w:val="single" w:sz="8" w:color="E5E5E5"/>
            </w:tcBorders>
            <w:vMerge w:val="continue"/>
          </w:tcPr>
          <w:p>
            <w:pPr>
              <w:spacing w:after="0"/>
              <w:rPr>
                <w:sz w:val="16"/>
                <w:szCs w:val="16"/>
                <w:color w:val="auto"/>
              </w:rPr>
            </w:pPr>
          </w:p>
        </w:tc>
        <w:tc>
          <w:tcPr>
            <w:tcW w:w="1020" w:type="dxa"/>
            <w:vAlign w:val="bottom"/>
            <w:tcBorders>
              <w:bottom w:val="single" w:sz="8" w:color="E5E5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0"/>
              <w:spacing w:after="0" w:line="185" w:lineRule="exact"/>
              <w:rPr>
                <w:sz w:val="20"/>
                <w:szCs w:val="20"/>
                <w:color w:val="auto"/>
              </w:rPr>
            </w:pPr>
            <w:r>
              <w:rPr>
                <w:rFonts w:ascii="Calibri" w:cs="Calibri" w:eastAsia="Calibri" w:hAnsi="Calibri"/>
                <w:sz w:val="16"/>
                <w:szCs w:val="16"/>
                <w:b w:val="1"/>
                <w:bCs w:val="1"/>
                <w:color w:val="auto"/>
              </w:rPr>
              <w:t>2025</w:t>
            </w: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E5E5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0"/>
              <w:spacing w:after="0" w:line="185" w:lineRule="exact"/>
              <w:rPr>
                <w:sz w:val="20"/>
                <w:szCs w:val="20"/>
                <w:color w:val="auto"/>
              </w:rPr>
            </w:pPr>
            <w:r>
              <w:rPr>
                <w:rFonts w:ascii="Calibri" w:cs="Calibri" w:eastAsia="Calibri" w:hAnsi="Calibri"/>
                <w:sz w:val="16"/>
                <w:szCs w:val="16"/>
                <w:b w:val="1"/>
                <w:bCs w:val="1"/>
                <w:color w:val="auto"/>
              </w:rPr>
              <w:t>2024</w:t>
            </w:r>
          </w:p>
        </w:tc>
        <w:tc>
          <w:tcPr>
            <w:tcW w:w="320" w:type="dxa"/>
            <w:vAlign w:val="bottom"/>
            <w:tcBorders>
              <w:bottom w:val="single" w:sz="8" w:color="E5E5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0"/>
              <w:spacing w:after="0" w:line="185" w:lineRule="exact"/>
              <w:rPr>
                <w:sz w:val="20"/>
                <w:szCs w:val="20"/>
                <w:color w:val="auto"/>
              </w:rPr>
            </w:pPr>
            <w:r>
              <w:rPr>
                <w:rFonts w:ascii="Calibri" w:cs="Calibri" w:eastAsia="Calibri" w:hAnsi="Calibri"/>
                <w:sz w:val="16"/>
                <w:szCs w:val="16"/>
                <w:b w:val="1"/>
                <w:bCs w:val="1"/>
                <w:color w:val="auto"/>
              </w:rPr>
              <w:t>Change</w:t>
            </w:r>
          </w:p>
        </w:tc>
        <w:tc>
          <w:tcPr>
            <w:tcW w:w="0" w:type="dxa"/>
            <w:vAlign w:val="bottom"/>
          </w:tcPr>
          <w:p>
            <w:pPr>
              <w:spacing w:after="0"/>
              <w:rPr>
                <w:sz w:val="1"/>
                <w:szCs w:val="1"/>
                <w:color w:val="auto"/>
              </w:rPr>
            </w:pPr>
          </w:p>
        </w:tc>
      </w:tr>
      <w:tr>
        <w:trPr>
          <w:trHeight w:val="234"/>
        </w:trPr>
        <w:tc>
          <w:tcPr>
            <w:tcW w:w="532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Net income from discontinued operations, net of tax</w:t>
            </w:r>
          </w:p>
        </w:tc>
        <w:tc>
          <w:tcPr>
            <w:tcW w:w="1020" w:type="dxa"/>
            <w:vAlign w:val="bottom"/>
            <w:shd w:val="clear" w:color="auto" w:fill="E5E5E5"/>
          </w:tcPr>
          <w:p>
            <w:pPr>
              <w:spacing w:after="0"/>
              <w:rPr>
                <w:sz w:val="20"/>
                <w:szCs w:val="20"/>
                <w:color w:val="auto"/>
              </w:rPr>
            </w:pPr>
          </w:p>
        </w:tc>
        <w:tc>
          <w:tcPr>
            <w:tcW w:w="320" w:type="dxa"/>
            <w:vAlign w:val="bottom"/>
            <w:shd w:val="clear" w:color="auto" w:fill="E5E5E5"/>
          </w:tcPr>
          <w:p>
            <w:pPr>
              <w:jc w:val="right"/>
              <w:ind w:right="120"/>
              <w:spacing w:after="0" w:line="234" w:lineRule="exact"/>
              <w:rPr>
                <w:sz w:val="20"/>
                <w:szCs w:val="20"/>
                <w:color w:val="auto"/>
              </w:rPr>
            </w:pPr>
            <w:r>
              <w:rPr>
                <w:rFonts w:ascii="Calibri" w:cs="Calibri" w:eastAsia="Calibri" w:hAnsi="Calibri"/>
                <w:sz w:val="20"/>
                <w:szCs w:val="20"/>
                <w:color w:val="auto"/>
                <w:w w:val="78"/>
              </w:rPr>
              <w:t>$</w:t>
            </w:r>
          </w:p>
        </w:tc>
        <w:tc>
          <w:tcPr>
            <w:tcW w:w="104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351,148</w:t>
            </w:r>
          </w:p>
        </w:tc>
        <w:tc>
          <w:tcPr>
            <w:tcW w:w="660" w:type="dxa"/>
            <w:vAlign w:val="bottom"/>
            <w:gridSpan w:val="3"/>
            <w:shd w:val="clear" w:color="auto" w:fill="E5E5E5"/>
          </w:tcPr>
          <w:p>
            <w:pPr>
              <w:jc w:val="right"/>
              <w:ind w:right="220"/>
              <w:spacing w:after="0" w:line="234" w:lineRule="exact"/>
              <w:rPr>
                <w:sz w:val="20"/>
                <w:szCs w:val="20"/>
                <w:color w:val="auto"/>
              </w:rPr>
            </w:pPr>
            <w:r>
              <w:rPr>
                <w:rFonts w:ascii="Calibri" w:cs="Calibri" w:eastAsia="Calibri" w:hAnsi="Calibri"/>
                <w:sz w:val="20"/>
                <w:szCs w:val="20"/>
                <w:color w:val="auto"/>
              </w:rPr>
              <w:t>$</w:t>
            </w:r>
          </w:p>
        </w:tc>
        <w:tc>
          <w:tcPr>
            <w:tcW w:w="108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243,901</w:t>
            </w:r>
          </w:p>
        </w:tc>
        <w:tc>
          <w:tcPr>
            <w:tcW w:w="600" w:type="dxa"/>
            <w:vAlign w:val="bottom"/>
            <w:gridSpan w:val="2"/>
            <w:shd w:val="clear" w:color="auto" w:fill="E5E5E5"/>
          </w:tcPr>
          <w:p>
            <w:pPr>
              <w:jc w:val="right"/>
              <w:ind w:right="180"/>
              <w:spacing w:after="0" w:line="234" w:lineRule="exact"/>
              <w:rPr>
                <w:sz w:val="20"/>
                <w:szCs w:val="20"/>
                <w:color w:val="auto"/>
              </w:rPr>
            </w:pPr>
            <w:r>
              <w:rPr>
                <w:rFonts w:ascii="Calibri" w:cs="Calibri" w:eastAsia="Calibri" w:hAnsi="Calibri"/>
                <w:sz w:val="20"/>
                <w:szCs w:val="20"/>
                <w:color w:val="auto"/>
              </w:rPr>
              <w:t>$</w:t>
            </w:r>
          </w:p>
        </w:tc>
        <w:tc>
          <w:tcPr>
            <w:tcW w:w="112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107,247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The increase in net income from discontinued operations, net of tax in 2025 was primarily driven by the $161.7 million favorable change in gain on Sale Transactions, which included the UDENYCA Sale gain of $338.3 million in 2025 as compared to the CIMERLI Sale gain of $153.8 million and YUSIMRY Sale gain of $22.8 million in 2024; lower cost of goods sold of $82.1 million; lower selling, general and administrative expense of $31.2 million; and lower interest expense of $12.9 million. These favorable items were partially offset by lower net revenue of $164.0 million, $10.3 million of loss on debt extinguishment in 2025 related to the 2026 Convertible Notes, and an unfavorable impact of $7.4 million from the change in fair value of the Royalty Fee Derivative Liability related to UDENYCA. Total net revenues attributable to our divested products, UDENYCA, CIMERLI and YUSIMRY, which are reflected in discontinued operations, were $76.6 million and $240.6 million for the years ended December 31, 2025 and 2024, respectively.</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69</w:t>
      </w:r>
    </w:p>
    <w:p>
      <w:pPr>
        <w:sectPr>
          <w:pgSz w:w="12240" w:h="15840" w:orient="portrait"/>
          <w:cols w:equalWidth="0" w:num="1">
            <w:col w:w="11160"/>
          </w:cols>
          <w:pgMar w:left="540" w:top="532" w:right="540" w:bottom="9" w:gutter="0" w:footer="0" w:header="0"/>
          <w:type w:val="continuous"/>
        </w:sectPr>
      </w:pPr>
    </w:p>
    <w:bookmarkStart w:id="71" w:name="page72"/>
    <w:bookmarkEnd w:id="71"/>
    <w:p>
      <w:pPr>
        <w:spacing w:after="0"/>
        <w:rPr>
          <w:sz w:val="20"/>
          <w:szCs w:val="20"/>
          <w:color w:val="auto"/>
        </w:rPr>
      </w:pPr>
      <w:r>
        <w:rPr>
          <w:rFonts w:ascii="Calibri" w:cs="Calibri" w:eastAsia="Calibri" w:hAnsi="Calibri"/>
          <w:sz w:val="20"/>
          <w:szCs w:val="20"/>
          <w:b w:val="1"/>
          <w:bCs w:val="1"/>
          <w:color w:val="auto"/>
        </w:rPr>
        <w:t>Liquidity and Capital Resources</w:t>
      </w:r>
    </w:p>
    <w:p>
      <w:pPr>
        <w:spacing w:after="0" w:line="247"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Certain relevant measures of our liquidity and capital resources are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2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6"/>
              <w:spacing w:after="0" w:line="187" w:lineRule="exact"/>
              <w:rPr>
                <w:sz w:val="20"/>
                <w:szCs w:val="20"/>
                <w:color w:val="auto"/>
              </w:rPr>
            </w:pPr>
            <w:r>
              <w:rPr>
                <w:rFonts w:ascii="Calibri" w:cs="Calibri" w:eastAsia="Calibri" w:hAnsi="Calibri"/>
                <w:sz w:val="16"/>
                <w:szCs w:val="16"/>
                <w:b w:val="1"/>
                <w:bCs w:val="1"/>
                <w:color w:val="auto"/>
              </w:rPr>
              <w:t>2025</w:t>
            </w: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3"/>
              <w:spacing w:after="0" w:line="187" w:lineRule="exact"/>
              <w:rPr>
                <w:sz w:val="20"/>
                <w:szCs w:val="20"/>
                <w:color w:val="auto"/>
              </w:rPr>
            </w:pPr>
            <w:r>
              <w:rPr>
                <w:rFonts w:ascii="Calibri" w:cs="Calibri" w:eastAsia="Calibri" w:hAnsi="Calibri"/>
                <w:sz w:val="16"/>
                <w:szCs w:val="16"/>
                <w:b w:val="1"/>
                <w:bCs w:val="1"/>
                <w:color w:val="auto"/>
              </w:rPr>
              <w:t>2024</w:t>
            </w:r>
          </w:p>
        </w:tc>
        <w:tc>
          <w:tcPr>
            <w:tcW w:w="0" w:type="dxa"/>
            <w:vAlign w:val="bottom"/>
          </w:tcPr>
          <w:p>
            <w:pPr>
              <w:spacing w:after="0"/>
              <w:rPr>
                <w:sz w:val="1"/>
                <w:szCs w:val="1"/>
                <w:color w:val="auto"/>
              </w:rPr>
            </w:pPr>
          </w:p>
        </w:tc>
      </w:tr>
      <w:tr>
        <w:trPr>
          <w:trHeight w:val="236"/>
        </w:trPr>
        <w:tc>
          <w:tcPr>
            <w:tcW w:w="8200" w:type="dxa"/>
            <w:vAlign w:val="bottom"/>
            <w:shd w:val="clear" w:color="auto" w:fill="E5E5E5"/>
          </w:tcPr>
          <w:p>
            <w:pPr>
              <w:spacing w:after="0" w:line="235" w:lineRule="exact"/>
              <w:rPr>
                <w:sz w:val="20"/>
                <w:szCs w:val="20"/>
                <w:color w:val="auto"/>
              </w:rPr>
            </w:pPr>
            <w:r>
              <w:rPr>
                <w:rFonts w:ascii="Calibri" w:cs="Calibri" w:eastAsia="Calibri" w:hAnsi="Calibri"/>
                <w:sz w:val="20"/>
                <w:szCs w:val="20"/>
                <w:color w:val="auto"/>
              </w:rPr>
              <w:t>Financial assets</w:t>
            </w:r>
          </w:p>
        </w:tc>
        <w:tc>
          <w:tcPr>
            <w:tcW w:w="2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900" w:type="dxa"/>
            <w:vAlign w:val="bottom"/>
            <w:shd w:val="clear" w:color="auto" w:fill="E5E5E5"/>
          </w:tcPr>
          <w:p>
            <w:pPr>
              <w:spacing w:after="0"/>
              <w:rPr>
                <w:sz w:val="20"/>
                <w:szCs w:val="20"/>
                <w:color w:val="auto"/>
              </w:rPr>
            </w:pPr>
          </w:p>
        </w:tc>
        <w:tc>
          <w:tcPr>
            <w:tcW w:w="4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360" w:type="dxa"/>
            <w:vAlign w:val="bottom"/>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8200" w:type="dxa"/>
            <w:vAlign w:val="bottom"/>
          </w:tcPr>
          <w:p>
            <w:pPr>
              <w:ind w:left="320"/>
              <w:spacing w:after="0"/>
              <w:rPr>
                <w:sz w:val="20"/>
                <w:szCs w:val="20"/>
                <w:color w:val="auto"/>
              </w:rPr>
            </w:pPr>
            <w:r>
              <w:rPr>
                <w:rFonts w:ascii="Calibri" w:cs="Calibri" w:eastAsia="Calibri" w:hAnsi="Calibri"/>
                <w:sz w:val="20"/>
                <w:szCs w:val="20"/>
                <w:color w:val="auto"/>
              </w:rPr>
              <w:t>Total Cash, cash equivalents and marketable securities</w:t>
            </w:r>
          </w:p>
        </w:tc>
        <w:tc>
          <w:tcPr>
            <w:tcW w:w="540" w:type="dxa"/>
            <w:vAlign w:val="bottom"/>
            <w:gridSpan w:val="3"/>
          </w:tcPr>
          <w:p>
            <w:pPr>
              <w:jc w:val="right"/>
              <w:ind w:right="60"/>
              <w:spacing w:after="0"/>
              <w:rPr>
                <w:sz w:val="20"/>
                <w:szCs w:val="20"/>
                <w:color w:val="auto"/>
              </w:rPr>
            </w:pPr>
            <w:r>
              <w:rPr>
                <w:rFonts w:ascii="Calibri" w:cs="Calibri" w:eastAsia="Calibri" w:hAnsi="Calibri"/>
                <w:sz w:val="20"/>
                <w:szCs w:val="20"/>
                <w:color w:val="auto"/>
              </w:rPr>
              <w:t>$</w:t>
            </w:r>
          </w:p>
        </w:tc>
        <w:tc>
          <w:tcPr>
            <w:tcW w:w="900" w:type="dxa"/>
            <w:vAlign w:val="bottom"/>
          </w:tcPr>
          <w:p>
            <w:pPr>
              <w:jc w:val="right"/>
              <w:spacing w:after="0"/>
              <w:rPr>
                <w:sz w:val="20"/>
                <w:szCs w:val="20"/>
                <w:color w:val="auto"/>
              </w:rPr>
            </w:pPr>
            <w:r>
              <w:rPr>
                <w:rFonts w:ascii="Calibri" w:cs="Calibri" w:eastAsia="Calibri" w:hAnsi="Calibri"/>
                <w:sz w:val="20"/>
                <w:szCs w:val="20"/>
                <w:color w:val="auto"/>
              </w:rPr>
              <w:t>172,125</w:t>
            </w:r>
          </w:p>
        </w:tc>
        <w:tc>
          <w:tcPr>
            <w:tcW w:w="680" w:type="dxa"/>
            <w:vAlign w:val="bottom"/>
            <w:gridSpan w:val="4"/>
          </w:tcPr>
          <w:p>
            <w:pPr>
              <w:jc w:val="right"/>
              <w:ind w:right="200"/>
              <w:spacing w:after="0"/>
              <w:rPr>
                <w:sz w:val="20"/>
                <w:szCs w:val="20"/>
                <w:color w:val="auto"/>
              </w:rPr>
            </w:pPr>
            <w:r>
              <w:rPr>
                <w:rFonts w:ascii="Calibri" w:cs="Calibri" w:eastAsia="Calibri" w:hAnsi="Calibri"/>
                <w:sz w:val="20"/>
                <w:szCs w:val="20"/>
                <w:color w:val="auto"/>
              </w:rPr>
              <w:t>$</w:t>
            </w:r>
          </w:p>
        </w:tc>
        <w:tc>
          <w:tcPr>
            <w:tcW w:w="840" w:type="dxa"/>
            <w:vAlign w:val="bottom"/>
          </w:tcPr>
          <w:p>
            <w:pPr>
              <w:jc w:val="right"/>
              <w:spacing w:after="0"/>
              <w:rPr>
                <w:sz w:val="20"/>
                <w:szCs w:val="20"/>
                <w:color w:val="auto"/>
              </w:rPr>
            </w:pPr>
            <w:r>
              <w:rPr>
                <w:rFonts w:ascii="Calibri" w:cs="Calibri" w:eastAsia="Calibri" w:hAnsi="Calibri"/>
                <w:sz w:val="20"/>
                <w:szCs w:val="20"/>
                <w:color w:val="auto"/>
              </w:rPr>
              <w:t>125,987</w:t>
            </w:r>
          </w:p>
        </w:tc>
        <w:tc>
          <w:tcPr>
            <w:tcW w:w="0" w:type="dxa"/>
            <w:vAlign w:val="bottom"/>
          </w:tcPr>
          <w:p>
            <w:pPr>
              <w:spacing w:after="0"/>
              <w:rPr>
                <w:sz w:val="1"/>
                <w:szCs w:val="1"/>
                <w:color w:val="auto"/>
              </w:rPr>
            </w:pPr>
          </w:p>
        </w:tc>
      </w:tr>
      <w:tr>
        <w:trPr>
          <w:trHeight w:val="247"/>
        </w:trPr>
        <w:tc>
          <w:tcPr>
            <w:tcW w:w="8200" w:type="dxa"/>
            <w:vAlign w:val="bottom"/>
            <w:tcBorders>
              <w:top w:val="single" w:sz="8" w:color="E5E5E5"/>
            </w:tcBorders>
            <w:shd w:val="clear" w:color="auto" w:fill="E5E5E5"/>
          </w:tcPr>
          <w:p>
            <w:pPr>
              <w:spacing w:after="0"/>
              <w:rPr>
                <w:sz w:val="21"/>
                <w:szCs w:val="21"/>
                <w:color w:val="auto"/>
              </w:rPr>
            </w:pPr>
          </w:p>
        </w:tc>
        <w:tc>
          <w:tcPr>
            <w:tcW w:w="260" w:type="dxa"/>
            <w:vAlign w:val="bottom"/>
            <w:tcBorders>
              <w:top w:val="single" w:sz="8" w:color="E5E5E5"/>
            </w:tcBorders>
            <w:shd w:val="clear" w:color="auto" w:fill="E5E5E5"/>
          </w:tcPr>
          <w:p>
            <w:pPr>
              <w:spacing w:after="0"/>
              <w:rPr>
                <w:sz w:val="21"/>
                <w:szCs w:val="21"/>
                <w:color w:val="auto"/>
              </w:rPr>
            </w:pPr>
          </w:p>
        </w:tc>
        <w:tc>
          <w:tcPr>
            <w:tcW w:w="20" w:type="dxa"/>
            <w:vAlign w:val="bottom"/>
            <w:tcBorders>
              <w:top w:val="single" w:sz="8" w:color="E5E5E5"/>
            </w:tcBorders>
            <w:shd w:val="clear" w:color="auto" w:fill="E5E5E5"/>
          </w:tcPr>
          <w:p>
            <w:pPr>
              <w:spacing w:after="0"/>
              <w:rPr>
                <w:sz w:val="21"/>
                <w:szCs w:val="21"/>
                <w:color w:val="auto"/>
              </w:rPr>
            </w:pPr>
          </w:p>
        </w:tc>
        <w:tc>
          <w:tcPr>
            <w:tcW w:w="260" w:type="dxa"/>
            <w:vAlign w:val="bottom"/>
            <w:tcBorders>
              <w:top w:val="single" w:sz="8" w:color="auto"/>
            </w:tcBorders>
            <w:shd w:val="clear" w:color="auto" w:fill="E5E5E5"/>
          </w:tcPr>
          <w:p>
            <w:pPr>
              <w:spacing w:after="0"/>
              <w:rPr>
                <w:sz w:val="21"/>
                <w:szCs w:val="21"/>
                <w:color w:val="auto"/>
              </w:rPr>
            </w:pPr>
          </w:p>
        </w:tc>
        <w:tc>
          <w:tcPr>
            <w:tcW w:w="900" w:type="dxa"/>
            <w:vAlign w:val="bottom"/>
            <w:tcBorders>
              <w:top w:val="single" w:sz="8" w:color="auto"/>
            </w:tcBorders>
            <w:shd w:val="clear" w:color="auto" w:fill="E5E5E5"/>
          </w:tcPr>
          <w:p>
            <w:pPr>
              <w:spacing w:after="0"/>
              <w:rPr>
                <w:sz w:val="21"/>
                <w:szCs w:val="21"/>
                <w:color w:val="auto"/>
              </w:rPr>
            </w:pPr>
          </w:p>
        </w:tc>
        <w:tc>
          <w:tcPr>
            <w:tcW w:w="40" w:type="dxa"/>
            <w:vAlign w:val="bottom"/>
            <w:tcBorders>
              <w:top w:val="single" w:sz="8" w:color="auto"/>
            </w:tcBorders>
            <w:shd w:val="clear" w:color="auto" w:fill="E5E5E5"/>
          </w:tcPr>
          <w:p>
            <w:pPr>
              <w:spacing w:after="0"/>
              <w:rPr>
                <w:sz w:val="21"/>
                <w:szCs w:val="21"/>
                <w:color w:val="auto"/>
              </w:rPr>
            </w:pPr>
          </w:p>
        </w:tc>
        <w:tc>
          <w:tcPr>
            <w:tcW w:w="260" w:type="dxa"/>
            <w:vAlign w:val="bottom"/>
            <w:tcBorders>
              <w:top w:val="single" w:sz="8" w:color="E5E5E5"/>
            </w:tcBorders>
            <w:shd w:val="clear" w:color="auto" w:fill="E5E5E5"/>
          </w:tcPr>
          <w:p>
            <w:pPr>
              <w:spacing w:after="0"/>
              <w:rPr>
                <w:sz w:val="21"/>
                <w:szCs w:val="21"/>
                <w:color w:val="auto"/>
              </w:rPr>
            </w:pPr>
          </w:p>
        </w:tc>
        <w:tc>
          <w:tcPr>
            <w:tcW w:w="20" w:type="dxa"/>
            <w:vAlign w:val="bottom"/>
            <w:tcBorders>
              <w:top w:val="single" w:sz="8" w:color="E5E5E5"/>
            </w:tcBorders>
            <w:shd w:val="clear" w:color="auto" w:fill="E5E5E5"/>
          </w:tcPr>
          <w:p>
            <w:pPr>
              <w:spacing w:after="0"/>
              <w:rPr>
                <w:sz w:val="21"/>
                <w:szCs w:val="21"/>
                <w:color w:val="auto"/>
              </w:rPr>
            </w:pPr>
          </w:p>
        </w:tc>
        <w:tc>
          <w:tcPr>
            <w:tcW w:w="360" w:type="dxa"/>
            <w:vAlign w:val="bottom"/>
            <w:tcBorders>
              <w:top w:val="single" w:sz="8" w:color="auto"/>
            </w:tcBorders>
            <w:shd w:val="clear" w:color="auto" w:fill="E5E5E5"/>
          </w:tcPr>
          <w:p>
            <w:pPr>
              <w:spacing w:after="0"/>
              <w:rPr>
                <w:sz w:val="21"/>
                <w:szCs w:val="21"/>
                <w:color w:val="auto"/>
              </w:rPr>
            </w:pPr>
          </w:p>
        </w:tc>
        <w:tc>
          <w:tcPr>
            <w:tcW w:w="840" w:type="dxa"/>
            <w:vAlign w:val="bottom"/>
            <w:tcBorders>
              <w:top w:val="single" w:sz="8" w:color="auto"/>
            </w:tcBorders>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8200" w:type="dxa"/>
            <w:vAlign w:val="bottom"/>
          </w:tcPr>
          <w:p>
            <w:pPr>
              <w:spacing w:after="0" w:line="268" w:lineRule="exact"/>
              <w:rPr>
                <w:sz w:val="20"/>
                <w:szCs w:val="20"/>
                <w:color w:val="auto"/>
              </w:rPr>
            </w:pPr>
            <w:r>
              <w:rPr>
                <w:rFonts w:ascii="Calibri" w:cs="Calibri" w:eastAsia="Calibri" w:hAnsi="Calibri"/>
                <w:sz w:val="20"/>
                <w:szCs w:val="20"/>
                <w:color w:val="auto"/>
              </w:rPr>
              <w:t>Financial liabilities</w:t>
            </w:r>
            <w:r>
              <w:rPr>
                <w:rFonts w:ascii="Calibri" w:cs="Calibri" w:eastAsia="Calibri" w:hAnsi="Calibri"/>
                <w:sz w:val="28"/>
                <w:szCs w:val="28"/>
                <w:color w:val="auto"/>
                <w:vertAlign w:val="superscript"/>
              </w:rPr>
              <w:t>(1)</w:t>
            </w:r>
            <w:r>
              <w:rPr>
                <w:rFonts w:ascii="Calibri" w:cs="Calibri" w:eastAsia="Calibri" w:hAnsi="Calibri"/>
                <w:sz w:val="20"/>
                <w:szCs w:val="20"/>
                <w:color w:val="auto"/>
              </w:rPr>
              <w:t>:</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8200" w:type="dxa"/>
            <w:vAlign w:val="bottom"/>
            <w:shd w:val="clear" w:color="auto" w:fill="E5E5E5"/>
          </w:tcPr>
          <w:p>
            <w:pPr>
              <w:ind w:left="320"/>
              <w:spacing w:after="0"/>
              <w:rPr>
                <w:sz w:val="20"/>
                <w:szCs w:val="20"/>
                <w:color w:val="auto"/>
              </w:rPr>
            </w:pPr>
            <w:r>
              <w:rPr>
                <w:rFonts w:ascii="Calibri" w:cs="Calibri" w:eastAsia="Calibri" w:hAnsi="Calibri"/>
                <w:sz w:val="20"/>
                <w:szCs w:val="20"/>
                <w:color w:val="auto"/>
              </w:rPr>
              <w:t>2029 Term Loan</w:t>
            </w:r>
          </w:p>
        </w:tc>
        <w:tc>
          <w:tcPr>
            <w:tcW w:w="540" w:type="dxa"/>
            <w:vAlign w:val="bottom"/>
            <w:gridSpan w:val="3"/>
            <w:shd w:val="clear" w:color="auto" w:fill="E5E5E5"/>
          </w:tcPr>
          <w:p>
            <w:pPr>
              <w:jc w:val="right"/>
              <w:ind w:right="60"/>
              <w:spacing w:after="0"/>
              <w:rPr>
                <w:sz w:val="20"/>
                <w:szCs w:val="20"/>
                <w:color w:val="auto"/>
              </w:rPr>
            </w:pPr>
            <w:r>
              <w:rPr>
                <w:rFonts w:ascii="Calibri" w:cs="Calibri" w:eastAsia="Calibri" w:hAnsi="Calibri"/>
                <w:sz w:val="20"/>
                <w:szCs w:val="20"/>
                <w:color w:val="auto"/>
              </w:rPr>
              <w:t>$</w:t>
            </w:r>
          </w:p>
        </w:tc>
        <w:tc>
          <w:tcPr>
            <w:tcW w:w="9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37,051</w:t>
            </w:r>
          </w:p>
        </w:tc>
        <w:tc>
          <w:tcPr>
            <w:tcW w:w="680" w:type="dxa"/>
            <w:vAlign w:val="bottom"/>
            <w:gridSpan w:val="4"/>
            <w:shd w:val="clear" w:color="auto" w:fill="E5E5E5"/>
          </w:tcPr>
          <w:p>
            <w:pPr>
              <w:jc w:val="right"/>
              <w:ind w:right="200"/>
              <w:spacing w:after="0"/>
              <w:rPr>
                <w:sz w:val="20"/>
                <w:szCs w:val="20"/>
                <w:color w:val="auto"/>
              </w:rPr>
            </w:pPr>
            <w:r>
              <w:rPr>
                <w:rFonts w:ascii="Calibri" w:cs="Calibri" w:eastAsia="Calibri" w:hAnsi="Calibri"/>
                <w:sz w:val="20"/>
                <w:szCs w:val="20"/>
                <w:color w:val="auto"/>
              </w:rPr>
              <w:t>$</w:t>
            </w:r>
          </w:p>
        </w:tc>
        <w:tc>
          <w:tcPr>
            <w:tcW w:w="8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36,698</w:t>
            </w:r>
          </w:p>
        </w:tc>
        <w:tc>
          <w:tcPr>
            <w:tcW w:w="0" w:type="dxa"/>
            <w:vAlign w:val="bottom"/>
          </w:tcPr>
          <w:p>
            <w:pPr>
              <w:spacing w:after="0"/>
              <w:rPr>
                <w:sz w:val="1"/>
                <w:szCs w:val="1"/>
                <w:color w:val="auto"/>
              </w:rPr>
            </w:pPr>
          </w:p>
        </w:tc>
      </w:tr>
      <w:tr>
        <w:trPr>
          <w:trHeight w:val="246"/>
        </w:trPr>
        <w:tc>
          <w:tcPr>
            <w:tcW w:w="8200" w:type="dxa"/>
            <w:vAlign w:val="bottom"/>
          </w:tcPr>
          <w:p>
            <w:pPr>
              <w:ind w:left="320"/>
              <w:spacing w:after="0"/>
              <w:rPr>
                <w:sz w:val="20"/>
                <w:szCs w:val="20"/>
                <w:color w:val="auto"/>
              </w:rPr>
            </w:pPr>
            <w:r>
              <w:rPr>
                <w:rFonts w:ascii="Calibri" w:cs="Calibri" w:eastAsia="Calibri" w:hAnsi="Calibri"/>
                <w:sz w:val="20"/>
                <w:szCs w:val="20"/>
                <w:color w:val="auto"/>
              </w:rPr>
              <w:t>Revenue Purchase and Sale Agreement</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color w:val="auto"/>
              </w:rPr>
              <w:t>14,028</w:t>
            </w:r>
          </w:p>
        </w:tc>
        <w:tc>
          <w:tcPr>
            <w:tcW w:w="300" w:type="dxa"/>
            <w:vAlign w:val="bottom"/>
            <w:gridSpan w:val="2"/>
          </w:tcPr>
          <w:p>
            <w:pPr>
              <w:jc w:val="right"/>
              <w:ind w:right="120"/>
              <w:spacing w:after="0"/>
              <w:rPr>
                <w:sz w:val="20"/>
                <w:szCs w:val="20"/>
                <w:color w:val="auto"/>
              </w:rPr>
            </w:pPr>
            <w:r>
              <w:rPr>
                <w:rFonts w:ascii="Calibri" w:cs="Calibri" w:eastAsia="Calibri" w:hAnsi="Calibri"/>
                <w:sz w:val="13"/>
                <w:szCs w:val="13"/>
                <w:color w:val="auto"/>
              </w:rPr>
              <w:t>(2)</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color w:val="auto"/>
              </w:rPr>
              <w:t>28,743</w:t>
            </w:r>
          </w:p>
        </w:tc>
        <w:tc>
          <w:tcPr>
            <w:tcW w:w="0" w:type="dxa"/>
            <w:vAlign w:val="bottom"/>
          </w:tcPr>
          <w:p>
            <w:pPr>
              <w:spacing w:after="0"/>
              <w:rPr>
                <w:sz w:val="1"/>
                <w:szCs w:val="1"/>
                <w:color w:val="auto"/>
              </w:rPr>
            </w:pPr>
          </w:p>
        </w:tc>
      </w:tr>
      <w:tr>
        <w:trPr>
          <w:trHeight w:val="245"/>
        </w:trPr>
        <w:tc>
          <w:tcPr>
            <w:tcW w:w="8200" w:type="dxa"/>
            <w:vAlign w:val="bottom"/>
            <w:shd w:val="clear" w:color="auto" w:fill="E5E5E5"/>
          </w:tcPr>
          <w:p>
            <w:pPr>
              <w:ind w:left="320"/>
              <w:spacing w:after="0"/>
              <w:rPr>
                <w:sz w:val="20"/>
                <w:szCs w:val="20"/>
                <w:color w:val="auto"/>
              </w:rPr>
            </w:pPr>
            <w:r>
              <w:rPr>
                <w:rFonts w:ascii="Calibri" w:cs="Calibri" w:eastAsia="Calibri" w:hAnsi="Calibri"/>
                <w:sz w:val="20"/>
                <w:szCs w:val="20"/>
                <w:color w:val="auto"/>
              </w:rPr>
              <w:t>2026 Convertible Notes</w:t>
            </w:r>
          </w:p>
        </w:tc>
        <w:tc>
          <w:tcPr>
            <w:tcW w:w="26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9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121</w:t>
            </w:r>
          </w:p>
        </w:tc>
        <w:tc>
          <w:tcPr>
            <w:tcW w:w="300" w:type="dxa"/>
            <w:vAlign w:val="bottom"/>
            <w:gridSpan w:val="2"/>
            <w:shd w:val="clear" w:color="auto" w:fill="E5E5E5"/>
          </w:tcPr>
          <w:p>
            <w:pPr>
              <w:jc w:val="right"/>
              <w:ind w:right="120"/>
              <w:spacing w:after="0"/>
              <w:rPr>
                <w:sz w:val="20"/>
                <w:szCs w:val="20"/>
                <w:color w:val="auto"/>
              </w:rPr>
            </w:pPr>
            <w:r>
              <w:rPr>
                <w:rFonts w:ascii="Calibri" w:cs="Calibri" w:eastAsia="Calibri" w:hAnsi="Calibri"/>
                <w:sz w:val="13"/>
                <w:szCs w:val="13"/>
                <w:color w:val="auto"/>
              </w:rPr>
              <w:t>(2)</w:t>
            </w:r>
          </w:p>
        </w:tc>
        <w:tc>
          <w:tcPr>
            <w:tcW w:w="20" w:type="dxa"/>
            <w:vAlign w:val="bottom"/>
            <w:shd w:val="clear" w:color="auto" w:fill="E5E5E5"/>
          </w:tcPr>
          <w:p>
            <w:pPr>
              <w:spacing w:after="0"/>
              <w:rPr>
                <w:sz w:val="21"/>
                <w:szCs w:val="21"/>
                <w:color w:val="auto"/>
              </w:rPr>
            </w:pPr>
          </w:p>
        </w:tc>
        <w:tc>
          <w:tcPr>
            <w:tcW w:w="360" w:type="dxa"/>
            <w:vAlign w:val="bottom"/>
            <w:shd w:val="clear" w:color="auto" w:fill="E5E5E5"/>
          </w:tcPr>
          <w:p>
            <w:pPr>
              <w:spacing w:after="0"/>
              <w:rPr>
                <w:sz w:val="21"/>
                <w:szCs w:val="21"/>
                <w:color w:val="auto"/>
              </w:rPr>
            </w:pPr>
          </w:p>
        </w:tc>
        <w:tc>
          <w:tcPr>
            <w:tcW w:w="8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228,229</w:t>
            </w:r>
          </w:p>
        </w:tc>
        <w:tc>
          <w:tcPr>
            <w:tcW w:w="0" w:type="dxa"/>
            <w:vAlign w:val="bottom"/>
          </w:tcPr>
          <w:p>
            <w:pPr>
              <w:spacing w:after="0"/>
              <w:rPr>
                <w:sz w:val="1"/>
                <w:szCs w:val="1"/>
                <w:color w:val="auto"/>
              </w:rPr>
            </w:pPr>
          </w:p>
        </w:tc>
      </w:tr>
      <w:tr>
        <w:trPr>
          <w:trHeight w:val="246"/>
        </w:trPr>
        <w:tc>
          <w:tcPr>
            <w:tcW w:w="8200" w:type="dxa"/>
            <w:vAlign w:val="bottom"/>
          </w:tcPr>
          <w:p>
            <w:pPr>
              <w:ind w:left="560"/>
              <w:spacing w:after="0" w:line="236" w:lineRule="exact"/>
              <w:rPr>
                <w:sz w:val="20"/>
                <w:szCs w:val="20"/>
                <w:color w:val="auto"/>
              </w:rPr>
            </w:pPr>
            <w:r>
              <w:rPr>
                <w:rFonts w:ascii="Calibri" w:cs="Calibri" w:eastAsia="Calibri" w:hAnsi="Calibri"/>
                <w:sz w:val="20"/>
                <w:szCs w:val="20"/>
                <w:color w:val="auto"/>
              </w:rPr>
              <w:t>Total Financial liabilities</w:t>
            </w: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60"/>
              <w:spacing w:after="0" w:line="236" w:lineRule="exact"/>
              <w:rPr>
                <w:sz w:val="20"/>
                <w:szCs w:val="20"/>
                <w:color w:val="auto"/>
              </w:rPr>
            </w:pPr>
            <w:r>
              <w:rPr>
                <w:rFonts w:ascii="Calibri" w:cs="Calibri" w:eastAsia="Calibri" w:hAnsi="Calibri"/>
                <w:sz w:val="20"/>
                <w:szCs w:val="20"/>
                <w:color w:val="auto"/>
                <w:w w:val="78"/>
              </w:rPr>
              <w:t>$</w:t>
            </w:r>
          </w:p>
        </w:tc>
        <w:tc>
          <w:tcPr>
            <w:tcW w:w="900" w:type="dxa"/>
            <w:vAlign w:val="bottom"/>
            <w:tcBorders>
              <w:top w:val="single" w:sz="8" w:color="auto"/>
              <w:bottom w:val="single" w:sz="8" w:color="auto"/>
            </w:tcBorders>
          </w:tcPr>
          <w:p>
            <w:pPr>
              <w:jc w:val="right"/>
              <w:spacing w:after="0" w:line="236" w:lineRule="exact"/>
              <w:rPr>
                <w:sz w:val="20"/>
                <w:szCs w:val="20"/>
                <w:color w:val="auto"/>
              </w:rPr>
            </w:pPr>
            <w:r>
              <w:rPr>
                <w:rFonts w:ascii="Calibri" w:cs="Calibri" w:eastAsia="Calibri" w:hAnsi="Calibri"/>
                <w:sz w:val="20"/>
                <w:szCs w:val="20"/>
                <w:color w:val="auto"/>
              </w:rPr>
              <w:t>51,200</w:t>
            </w:r>
          </w:p>
        </w:tc>
        <w:tc>
          <w:tcPr>
            <w:tcW w:w="40" w:type="dxa"/>
            <w:vAlign w:val="bottom"/>
            <w:tcBorders>
              <w:top w:val="single" w:sz="8" w:color="auto"/>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0"/>
              <w:spacing w:after="0"/>
              <w:rPr>
                <w:sz w:val="20"/>
                <w:szCs w:val="20"/>
                <w:color w:val="auto"/>
              </w:rPr>
            </w:pPr>
            <w:r>
              <w:rPr>
                <w:rFonts w:ascii="Calibri" w:cs="Calibri" w:eastAsia="Calibri" w:hAnsi="Calibri"/>
                <w:sz w:val="16"/>
                <w:szCs w:val="16"/>
                <w:color w:val="auto"/>
                <w:w w:val="73"/>
              </w:rPr>
              <w:t>$</w:t>
            </w:r>
          </w:p>
        </w:tc>
        <w:tc>
          <w:tcPr>
            <w:tcW w:w="840" w:type="dxa"/>
            <w:vAlign w:val="bottom"/>
            <w:tcBorders>
              <w:top w:val="single" w:sz="8" w:color="auto"/>
              <w:bottom w:val="single" w:sz="8" w:color="auto"/>
            </w:tcBorders>
          </w:tcPr>
          <w:p>
            <w:pPr>
              <w:jc w:val="right"/>
              <w:spacing w:after="0" w:line="236" w:lineRule="exact"/>
              <w:rPr>
                <w:sz w:val="20"/>
                <w:szCs w:val="20"/>
                <w:color w:val="auto"/>
              </w:rPr>
            </w:pPr>
            <w:r>
              <w:rPr>
                <w:rFonts w:ascii="Calibri" w:cs="Calibri" w:eastAsia="Calibri" w:hAnsi="Calibri"/>
                <w:sz w:val="20"/>
                <w:szCs w:val="20"/>
                <w:color w:val="auto"/>
              </w:rPr>
              <w:t>293,670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60" w:hanging="353"/>
        <w:spacing w:after="0"/>
        <w:tabs>
          <w:tab w:leader="none" w:pos="360" w:val="left"/>
        </w:tabs>
        <w:numPr>
          <w:ilvl w:val="0"/>
          <w:numId w:val="48"/>
        </w:numPr>
        <w:rPr>
          <w:rFonts w:ascii="Calibri" w:cs="Calibri" w:eastAsia="Calibri" w:hAnsi="Calibri"/>
          <w:sz w:val="16"/>
          <w:szCs w:val="16"/>
          <w:color w:val="auto"/>
        </w:rPr>
      </w:pPr>
      <w:r>
        <w:rPr>
          <w:rFonts w:ascii="Calibri" w:cs="Calibri" w:eastAsia="Calibri" w:hAnsi="Calibri"/>
          <w:sz w:val="16"/>
          <w:szCs w:val="16"/>
          <w:color w:val="auto"/>
        </w:rPr>
        <w:t>See “Note 8. Financial Liabilities” in the Notes to Consolidated Financial Statements contained in Part II, Item 8 of this Annual Report on Form 10-K.</w:t>
      </w:r>
    </w:p>
    <w:p>
      <w:pPr>
        <w:spacing w:after="0" w:line="120" w:lineRule="exact"/>
        <w:rPr>
          <w:rFonts w:ascii="Calibri" w:cs="Calibri" w:eastAsia="Calibri" w:hAnsi="Calibri"/>
          <w:sz w:val="16"/>
          <w:szCs w:val="16"/>
          <w:color w:val="auto"/>
        </w:rPr>
      </w:pPr>
    </w:p>
    <w:p>
      <w:pPr>
        <w:ind w:left="360" w:hanging="353"/>
        <w:spacing w:after="0" w:line="260" w:lineRule="auto"/>
        <w:tabs>
          <w:tab w:leader="none" w:pos="360" w:val="left"/>
        </w:tabs>
        <w:numPr>
          <w:ilvl w:val="0"/>
          <w:numId w:val="48"/>
        </w:numPr>
        <w:rPr>
          <w:rFonts w:ascii="Calibri" w:cs="Calibri" w:eastAsia="Calibri" w:hAnsi="Calibri"/>
          <w:sz w:val="16"/>
          <w:szCs w:val="16"/>
          <w:color w:val="auto"/>
        </w:rPr>
      </w:pPr>
      <w:r>
        <w:rPr>
          <w:rFonts w:ascii="Calibri" w:cs="Calibri" w:eastAsia="Calibri" w:hAnsi="Calibri"/>
          <w:sz w:val="16"/>
          <w:szCs w:val="16"/>
          <w:color w:val="auto"/>
        </w:rPr>
        <w:t>We used a portion of the proceeds of the Udenyca Sale, which closed on April 11, 2025, to repay substantially all of the outstanding 2026 Convertible Notes and to buy out the right to receive royalties on the net sales of UDENYCA in accordance with the Revenue Purchase and Sale Agreement.</w:t>
      </w:r>
    </w:p>
    <w:p>
      <w:pPr>
        <w:spacing w:after="0" w:line="205"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As of December 31, 2025, we had cash, cash equivalents and marketable securities of $172.1 million and an accumulated deficit of $1.4 billion. We have generated significant operating losses in all the years since our inception, except for certain periods that had gains from divestitures and 2020 and 2019. We currently have one commercial product, LOQTORZI, which generated $40.8 million in net revenues during 2025. Cash in excess of immediate requirements is invested in accordance with our investment policy, primarily with a view to liquidity and capital preservation. As of December 31, 2025, our investment in cash, cash equivalents and investments in marketable securities are primarily held in money market accounts, commercial paper and corporate notes, U.S. Treasury securities, and U.S. government agency securities. We have funded our operations primarily through sales of our common stock, issuance and incurrence of debt, the Revenue Purchase and Sale Agreement, the Sale Transactions and sales of our products.</w:t>
      </w:r>
    </w:p>
    <w:p>
      <w:pPr>
        <w:spacing w:after="0" w:line="216"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The following is a summary of recent key liquidity events and financing transactions:</w:t>
      </w:r>
    </w:p>
    <w:p>
      <w:pPr>
        <w:spacing w:after="0" w:line="130" w:lineRule="exact"/>
        <w:rPr>
          <w:sz w:val="20"/>
          <w:szCs w:val="20"/>
          <w:color w:val="auto"/>
        </w:rPr>
      </w:pPr>
    </w:p>
    <w:p>
      <w:pPr>
        <w:jc w:val="both"/>
        <w:ind w:left="1080" w:hanging="353"/>
        <w:spacing w:after="0" w:line="241" w:lineRule="auto"/>
        <w:tabs>
          <w:tab w:leader="none" w:pos="1080" w:val="left"/>
        </w:tabs>
        <w:numPr>
          <w:ilvl w:val="0"/>
          <w:numId w:val="49"/>
        </w:numPr>
        <w:rPr>
          <w:rFonts w:ascii="Symbol" w:cs="Symbol" w:eastAsia="Symbol" w:hAnsi="Symbol"/>
          <w:sz w:val="20"/>
          <w:szCs w:val="20"/>
          <w:color w:val="auto"/>
        </w:rPr>
      </w:pPr>
      <w:r>
        <w:rPr>
          <w:rFonts w:ascii="Calibri" w:cs="Calibri" w:eastAsia="Calibri" w:hAnsi="Calibri"/>
          <w:sz w:val="20"/>
          <w:szCs w:val="20"/>
          <w:color w:val="auto"/>
        </w:rPr>
        <w:t>On February 12, 2026, we entered into an underwriting agreement (the “Underwriting Agreement”) with TD Securities (USA) LLC, Guggenheim Securities, LLC and Oppenheimer &amp; Co. Inc. as representatives of the several underwriters named therein (collectively, the “Underwriters”), pursuant to which we agreed to issue and sell an aggregate of 28,600,000 shares of our common stock to the Underwriters (the “Offering”). The price to the public in the Offering was $1.75 per share. The Underwriters agreed to purchase the shares from us pursuant to the Underwriting Agreement at a price of $1.645 per share. On February 17, 2026, we completed the sale and received net proceeds of approximately $47.0 million, after deducting the Underwriters’ discounts and commissions but before estimated offering expenses payable by the Company.</w:t>
      </w:r>
    </w:p>
    <w:p>
      <w:pPr>
        <w:spacing w:after="0" w:line="112" w:lineRule="exact"/>
        <w:rPr>
          <w:rFonts w:ascii="Symbol" w:cs="Symbol" w:eastAsia="Symbol" w:hAnsi="Symbol"/>
          <w:sz w:val="20"/>
          <w:szCs w:val="20"/>
          <w:color w:val="auto"/>
        </w:rPr>
      </w:pPr>
    </w:p>
    <w:p>
      <w:pPr>
        <w:jc w:val="both"/>
        <w:ind w:left="1080" w:hanging="353"/>
        <w:spacing w:after="0" w:line="260" w:lineRule="auto"/>
        <w:tabs>
          <w:tab w:leader="none" w:pos="1080" w:val="left"/>
        </w:tabs>
        <w:numPr>
          <w:ilvl w:val="0"/>
          <w:numId w:val="49"/>
        </w:numPr>
        <w:rPr>
          <w:rFonts w:ascii="Symbol" w:cs="Symbol" w:eastAsia="Symbol" w:hAnsi="Symbol"/>
          <w:sz w:val="19"/>
          <w:szCs w:val="19"/>
          <w:color w:val="auto"/>
        </w:rPr>
      </w:pPr>
      <w:r>
        <w:rPr>
          <w:rFonts w:ascii="Calibri" w:cs="Calibri" w:eastAsia="Calibri" w:hAnsi="Calibri"/>
          <w:sz w:val="19"/>
          <w:szCs w:val="19"/>
          <w:color w:val="auto"/>
        </w:rPr>
        <w:t>On October 21, 2025, we sold to certain unaffiliated third-party investors (i) an aggregate of 4,634,995 shares of our common stock and (ii) the PIPE Warrants to purchase an aggregate of 463,498 shares of common stock, each for an exercise price of $0.01 per share, for an aggregate purchase price of $8.0 million. The PIPE Warrants are subject to appropriate adjustment in the event of share dividends, stock splits, reorganizations or similar events affecting our common stock.</w:t>
      </w:r>
    </w:p>
    <w:p>
      <w:pPr>
        <w:spacing w:after="0" w:line="90" w:lineRule="exact"/>
        <w:rPr>
          <w:rFonts w:ascii="Symbol" w:cs="Symbol" w:eastAsia="Symbol" w:hAnsi="Symbol"/>
          <w:sz w:val="19"/>
          <w:szCs w:val="19"/>
          <w:color w:val="auto"/>
        </w:rPr>
      </w:pPr>
    </w:p>
    <w:p>
      <w:pPr>
        <w:jc w:val="both"/>
        <w:ind w:left="1080" w:hanging="353"/>
        <w:spacing w:after="0" w:line="265" w:lineRule="auto"/>
        <w:tabs>
          <w:tab w:leader="none" w:pos="1080" w:val="left"/>
        </w:tabs>
        <w:numPr>
          <w:ilvl w:val="0"/>
          <w:numId w:val="49"/>
        </w:numPr>
        <w:rPr>
          <w:rFonts w:ascii="Symbol" w:cs="Symbol" w:eastAsia="Symbol" w:hAnsi="Symbol"/>
          <w:sz w:val="19"/>
          <w:szCs w:val="19"/>
          <w:color w:val="auto"/>
        </w:rPr>
      </w:pPr>
      <w:r>
        <w:rPr>
          <w:rFonts w:ascii="Calibri" w:cs="Calibri" w:eastAsia="Calibri" w:hAnsi="Calibri"/>
          <w:sz w:val="19"/>
          <w:szCs w:val="19"/>
          <w:color w:val="auto"/>
        </w:rPr>
        <w:t>On April 11, 2025, we completed the UDENYCA Sale and received $483.4 million in cash, inclusive of $118.4 million for UDENYCA product inventory. We are eligible to receive two additional Earnout Payments of $37.5 million each, provided that certain minimum UDENYCA Net Sales thresholds are met during specified periods after the closing of the UDENYCA Sale.</w:t>
      </w:r>
    </w:p>
    <w:p>
      <w:pPr>
        <w:spacing w:after="0" w:line="84" w:lineRule="exact"/>
        <w:rPr>
          <w:rFonts w:ascii="Symbol" w:cs="Symbol" w:eastAsia="Symbol" w:hAnsi="Symbol"/>
          <w:sz w:val="19"/>
          <w:szCs w:val="19"/>
          <w:color w:val="auto"/>
        </w:rPr>
      </w:pPr>
    </w:p>
    <w:p>
      <w:pPr>
        <w:jc w:val="both"/>
        <w:ind w:left="1080" w:hanging="353"/>
        <w:spacing w:after="0" w:line="243" w:lineRule="auto"/>
        <w:tabs>
          <w:tab w:leader="none" w:pos="1080" w:val="left"/>
        </w:tabs>
        <w:numPr>
          <w:ilvl w:val="0"/>
          <w:numId w:val="49"/>
        </w:numPr>
        <w:rPr>
          <w:rFonts w:ascii="Symbol" w:cs="Symbol" w:eastAsia="Symbol" w:hAnsi="Symbol"/>
          <w:sz w:val="20"/>
          <w:szCs w:val="20"/>
          <w:color w:val="auto"/>
        </w:rPr>
      </w:pPr>
      <w:r>
        <w:rPr>
          <w:rFonts w:ascii="Calibri" w:cs="Calibri" w:eastAsia="Calibri" w:hAnsi="Calibri"/>
          <w:sz w:val="20"/>
          <w:szCs w:val="20"/>
          <w:color w:val="auto"/>
        </w:rPr>
        <w:t>During the second quarter of 2025, we used a portion of the proceeds from the UDENYCA Sale to: (1) repay substantially all of the $230 million aggregate principal amount of the outstanding 2026 Convertible Notes, and (2) buy out the royalty rights on the net sales of UDENYCA, in accordance with the Revenue Purchase and Sale Agreement, resulting in a $47.7 million payment.</w:t>
      </w:r>
    </w:p>
    <w:p>
      <w:pPr>
        <w:spacing w:after="0" w:line="96"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We are party to a sales agreement with TD Cowen, pursuant to which (and subject to applicable law) we may sell shares of our common stock in an at-the-market offering. As of December 31, 2025, we had approximately $64.9 million of our common stock remaining available for sales under the Sales Agreement.</w:t>
      </w:r>
    </w:p>
    <w:p>
      <w:pPr>
        <w:spacing w:after="0" w:line="207"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We believe that our available cash, cash equivalents and marketable securities, and product sales will be sufficient to fund our planned expenditures and meet our obligations for at least the twelve months following our financial statement issuance date. We have based this estimate on assumptions that may prove to be wrong, and we could utilize our available capital resources sooner than we currently expect. Further, our operating plan may change, and we may need additional funds to meet operational needs and capital</w:t>
      </w:r>
    </w:p>
    <w:p>
      <w:pPr>
        <w:sectPr>
          <w:pgSz w:w="12240" w:h="15840" w:orient="portrait"/>
          <w:cols w:equalWidth="0" w:num="1">
            <w:col w:w="11160"/>
          </w:cols>
          <w:pgMar w:left="540" w:top="530" w:right="540" w:bottom="9"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70</w:t>
      </w:r>
    </w:p>
    <w:p>
      <w:pPr>
        <w:sectPr>
          <w:pgSz w:w="12240" w:h="15840" w:orient="portrait"/>
          <w:cols w:equalWidth="0" w:num="1">
            <w:col w:w="11160"/>
          </w:cols>
          <w:pgMar w:left="540" w:top="530" w:right="540" w:bottom="9" w:gutter="0" w:footer="0" w:header="0"/>
          <w:type w:val="continuous"/>
        </w:sectPr>
      </w:pPr>
    </w:p>
    <w:bookmarkStart w:id="72" w:name="page73"/>
    <w:bookmarkEnd w:id="72"/>
    <w:p>
      <w:pPr>
        <w:jc w:val="both"/>
        <w:spacing w:after="0" w:line="243" w:lineRule="auto"/>
        <w:rPr>
          <w:sz w:val="20"/>
          <w:szCs w:val="20"/>
          <w:color w:val="auto"/>
        </w:rPr>
      </w:pPr>
      <w:r>
        <w:rPr>
          <w:rFonts w:ascii="Calibri" w:cs="Calibri" w:eastAsia="Calibri" w:hAnsi="Calibri"/>
          <w:sz w:val="20"/>
          <w:szCs w:val="20"/>
          <w:color w:val="auto"/>
        </w:rPr>
        <w:t>requirements for product development and commercialization sooner than planned. Because of the numerous risks and uncertainties associated with the development and commercialization of our product candidates and the extent to which we may enter into additional agreements with third parties to participate in their development and commercialization, we are unable to estimate the amounts of increased capital outlays and operating expenditures associated with our current and anticipated research and development activities, and on-going and future licensing and collaboration obligations. We may need to raise additional funds in the future; however, there can be no assurance that such efforts will be successful or that, if they are successful, the terms and conditions of such financing will be favorable. Our future funding requirements will depend on many factors, including the following:</w:t>
      </w:r>
    </w:p>
    <w:p>
      <w:pPr>
        <w:spacing w:after="0" w:line="110" w:lineRule="exact"/>
        <w:rPr>
          <w:sz w:val="20"/>
          <w:szCs w:val="20"/>
          <w:color w:val="auto"/>
        </w:rPr>
      </w:pPr>
    </w:p>
    <w:p>
      <w:pPr>
        <w:ind w:left="1080" w:hanging="353"/>
        <w:spacing w:after="0"/>
        <w:tabs>
          <w:tab w:leader="none" w:pos="1080" w:val="left"/>
        </w:tabs>
        <w:numPr>
          <w:ilvl w:val="0"/>
          <w:numId w:val="50"/>
        </w:numPr>
        <w:rPr>
          <w:rFonts w:ascii="Symbol" w:cs="Symbol" w:eastAsia="Symbol" w:hAnsi="Symbol"/>
          <w:sz w:val="20"/>
          <w:szCs w:val="20"/>
          <w:color w:val="auto"/>
        </w:rPr>
      </w:pPr>
      <w:r>
        <w:rPr>
          <w:rFonts w:ascii="Calibri" w:cs="Calibri" w:eastAsia="Calibri" w:hAnsi="Calibri"/>
          <w:sz w:val="20"/>
          <w:szCs w:val="20"/>
          <w:color w:val="auto"/>
        </w:rPr>
        <w:t>cash proceeds from product sales;</w:t>
      </w:r>
    </w:p>
    <w:p>
      <w:pPr>
        <w:spacing w:after="0" w:line="119" w:lineRule="exact"/>
        <w:rPr>
          <w:rFonts w:ascii="Symbol" w:cs="Symbol" w:eastAsia="Symbol" w:hAnsi="Symbol"/>
          <w:sz w:val="20"/>
          <w:szCs w:val="20"/>
          <w:color w:val="auto"/>
        </w:rPr>
      </w:pPr>
    </w:p>
    <w:p>
      <w:pPr>
        <w:ind w:left="1080" w:hanging="353"/>
        <w:spacing w:after="0"/>
        <w:tabs>
          <w:tab w:leader="none" w:pos="1080" w:val="left"/>
        </w:tabs>
        <w:numPr>
          <w:ilvl w:val="0"/>
          <w:numId w:val="50"/>
        </w:numPr>
        <w:rPr>
          <w:rFonts w:ascii="Symbol" w:cs="Symbol" w:eastAsia="Symbol" w:hAnsi="Symbol"/>
          <w:sz w:val="20"/>
          <w:szCs w:val="20"/>
          <w:color w:val="auto"/>
        </w:rPr>
      </w:pPr>
      <w:r>
        <w:rPr>
          <w:rFonts w:ascii="Calibri" w:cs="Calibri" w:eastAsia="Calibri" w:hAnsi="Calibri"/>
          <w:sz w:val="20"/>
          <w:szCs w:val="20"/>
          <w:color w:val="auto"/>
        </w:rPr>
        <w:t>the payment of interest, principal and royalties related to our financial liabilities;</w:t>
      </w:r>
    </w:p>
    <w:p>
      <w:pPr>
        <w:spacing w:after="0" w:line="120" w:lineRule="exact"/>
        <w:rPr>
          <w:rFonts w:ascii="Symbol" w:cs="Symbol" w:eastAsia="Symbol" w:hAnsi="Symbol"/>
          <w:sz w:val="20"/>
          <w:szCs w:val="20"/>
          <w:color w:val="auto"/>
        </w:rPr>
      </w:pPr>
    </w:p>
    <w:p>
      <w:pPr>
        <w:ind w:left="1080" w:hanging="353"/>
        <w:spacing w:after="0"/>
        <w:tabs>
          <w:tab w:leader="none" w:pos="1080" w:val="left"/>
        </w:tabs>
        <w:numPr>
          <w:ilvl w:val="0"/>
          <w:numId w:val="50"/>
        </w:numPr>
        <w:rPr>
          <w:rFonts w:ascii="Symbol" w:cs="Symbol" w:eastAsia="Symbol" w:hAnsi="Symbol"/>
          <w:sz w:val="20"/>
          <w:szCs w:val="20"/>
          <w:color w:val="auto"/>
        </w:rPr>
      </w:pPr>
      <w:r>
        <w:rPr>
          <w:rFonts w:ascii="Calibri" w:cs="Calibri" w:eastAsia="Calibri" w:hAnsi="Calibri"/>
          <w:sz w:val="20"/>
          <w:szCs w:val="20"/>
          <w:color w:val="auto"/>
        </w:rPr>
        <w:t>the costs of manufacturing, distributing and marketing our product;</w:t>
      </w:r>
    </w:p>
    <w:p>
      <w:pPr>
        <w:spacing w:after="0" w:line="119" w:lineRule="exact"/>
        <w:rPr>
          <w:rFonts w:ascii="Symbol" w:cs="Symbol" w:eastAsia="Symbol" w:hAnsi="Symbol"/>
          <w:sz w:val="20"/>
          <w:szCs w:val="20"/>
          <w:color w:val="auto"/>
        </w:rPr>
      </w:pPr>
    </w:p>
    <w:p>
      <w:pPr>
        <w:ind w:left="1080" w:hanging="353"/>
        <w:spacing w:after="0"/>
        <w:tabs>
          <w:tab w:leader="none" w:pos="1080" w:val="left"/>
        </w:tabs>
        <w:numPr>
          <w:ilvl w:val="0"/>
          <w:numId w:val="50"/>
        </w:numPr>
        <w:rPr>
          <w:rFonts w:ascii="Symbol" w:cs="Symbol" w:eastAsia="Symbol" w:hAnsi="Symbol"/>
          <w:sz w:val="19"/>
          <w:szCs w:val="19"/>
          <w:color w:val="auto"/>
        </w:rPr>
      </w:pPr>
      <w:r>
        <w:rPr>
          <w:rFonts w:ascii="Calibri" w:cs="Calibri" w:eastAsia="Calibri" w:hAnsi="Calibri"/>
          <w:sz w:val="19"/>
          <w:szCs w:val="19"/>
          <w:color w:val="auto"/>
        </w:rPr>
        <w:t>the cost of manufacturing clinical drug supplies and establishing commercial supplies of our product candidates and product;</w:t>
      </w:r>
    </w:p>
    <w:p>
      <w:pPr>
        <w:spacing w:after="0" w:line="131" w:lineRule="exact"/>
        <w:rPr>
          <w:rFonts w:ascii="Symbol" w:cs="Symbol" w:eastAsia="Symbol" w:hAnsi="Symbol"/>
          <w:sz w:val="19"/>
          <w:szCs w:val="19"/>
          <w:color w:val="auto"/>
        </w:rPr>
      </w:pPr>
    </w:p>
    <w:p>
      <w:pPr>
        <w:ind w:left="1080" w:right="20" w:hanging="353"/>
        <w:spacing w:after="0" w:line="253" w:lineRule="auto"/>
        <w:tabs>
          <w:tab w:leader="none" w:pos="1080" w:val="left"/>
        </w:tabs>
        <w:numPr>
          <w:ilvl w:val="0"/>
          <w:numId w:val="50"/>
        </w:numPr>
        <w:rPr>
          <w:rFonts w:ascii="Symbol" w:cs="Symbol" w:eastAsia="Symbol" w:hAnsi="Symbol"/>
          <w:sz w:val="20"/>
          <w:szCs w:val="20"/>
          <w:color w:val="auto"/>
        </w:rPr>
      </w:pPr>
      <w:r>
        <w:rPr>
          <w:rFonts w:ascii="Calibri" w:cs="Calibri" w:eastAsia="Calibri" w:hAnsi="Calibri"/>
          <w:sz w:val="20"/>
          <w:szCs w:val="20"/>
          <w:color w:val="auto"/>
        </w:rPr>
        <w:t>the percentage of customers that continue to purchase our product and that do not switch to products made by our competitors;</w:t>
      </w:r>
    </w:p>
    <w:p>
      <w:pPr>
        <w:spacing w:after="0" w:line="94" w:lineRule="exact"/>
        <w:rPr>
          <w:rFonts w:ascii="Symbol" w:cs="Symbol" w:eastAsia="Symbol" w:hAnsi="Symbol"/>
          <w:sz w:val="20"/>
          <w:szCs w:val="20"/>
          <w:color w:val="auto"/>
        </w:rPr>
      </w:pPr>
    </w:p>
    <w:p>
      <w:pPr>
        <w:ind w:left="1080" w:hanging="353"/>
        <w:spacing w:after="0"/>
        <w:tabs>
          <w:tab w:leader="none" w:pos="1080" w:val="left"/>
        </w:tabs>
        <w:numPr>
          <w:ilvl w:val="0"/>
          <w:numId w:val="50"/>
        </w:numPr>
        <w:rPr>
          <w:rFonts w:ascii="Symbol" w:cs="Symbol" w:eastAsia="Symbol" w:hAnsi="Symbol"/>
          <w:sz w:val="19"/>
          <w:szCs w:val="19"/>
          <w:color w:val="auto"/>
        </w:rPr>
      </w:pPr>
      <w:r>
        <w:rPr>
          <w:rFonts w:ascii="Calibri" w:cs="Calibri" w:eastAsia="Calibri" w:hAnsi="Calibri"/>
          <w:sz w:val="19"/>
          <w:szCs w:val="19"/>
          <w:color w:val="auto"/>
        </w:rPr>
        <w:t>the terms and timing of any other collaborative, licensing and other arrangements that we have established or may establish;</w:t>
      </w:r>
    </w:p>
    <w:p>
      <w:pPr>
        <w:spacing w:after="0" w:line="131" w:lineRule="exact"/>
        <w:rPr>
          <w:rFonts w:ascii="Symbol" w:cs="Symbol" w:eastAsia="Symbol" w:hAnsi="Symbol"/>
          <w:sz w:val="19"/>
          <w:szCs w:val="19"/>
          <w:color w:val="auto"/>
        </w:rPr>
      </w:pPr>
    </w:p>
    <w:p>
      <w:pPr>
        <w:ind w:left="1080" w:right="20" w:hanging="353"/>
        <w:spacing w:after="0" w:line="253" w:lineRule="auto"/>
        <w:tabs>
          <w:tab w:leader="none" w:pos="1080" w:val="left"/>
        </w:tabs>
        <w:numPr>
          <w:ilvl w:val="0"/>
          <w:numId w:val="50"/>
        </w:numPr>
        <w:rPr>
          <w:rFonts w:ascii="Symbol" w:cs="Symbol" w:eastAsia="Symbol" w:hAnsi="Symbol"/>
          <w:sz w:val="20"/>
          <w:szCs w:val="20"/>
          <w:color w:val="auto"/>
        </w:rPr>
      </w:pPr>
      <w:r>
        <w:rPr>
          <w:rFonts w:ascii="Calibri" w:cs="Calibri" w:eastAsia="Calibri" w:hAnsi="Calibri"/>
          <w:sz w:val="20"/>
          <w:szCs w:val="20"/>
          <w:color w:val="auto"/>
        </w:rPr>
        <w:t>the timing, receipt and amount of sales, profit sharing or royalties, if any, from any product candidates that are approved in the future;</w:t>
      </w:r>
    </w:p>
    <w:p>
      <w:pPr>
        <w:spacing w:after="0" w:line="94" w:lineRule="exact"/>
        <w:rPr>
          <w:rFonts w:ascii="Symbol" w:cs="Symbol" w:eastAsia="Symbol" w:hAnsi="Symbol"/>
          <w:sz w:val="20"/>
          <w:szCs w:val="20"/>
          <w:color w:val="auto"/>
        </w:rPr>
      </w:pPr>
    </w:p>
    <w:p>
      <w:pPr>
        <w:ind w:left="1080" w:hanging="353"/>
        <w:spacing w:after="0"/>
        <w:tabs>
          <w:tab w:leader="none" w:pos="1080" w:val="left"/>
        </w:tabs>
        <w:numPr>
          <w:ilvl w:val="0"/>
          <w:numId w:val="50"/>
        </w:numPr>
        <w:rPr>
          <w:rFonts w:ascii="Symbol" w:cs="Symbol" w:eastAsia="Symbol" w:hAnsi="Symbol"/>
          <w:sz w:val="20"/>
          <w:szCs w:val="20"/>
          <w:color w:val="auto"/>
        </w:rPr>
      </w:pPr>
      <w:r>
        <w:rPr>
          <w:rFonts w:ascii="Calibri" w:cs="Calibri" w:eastAsia="Calibri" w:hAnsi="Calibri"/>
          <w:sz w:val="20"/>
          <w:szCs w:val="20"/>
          <w:color w:val="auto"/>
        </w:rPr>
        <w:t>the number and characteristics of product candidates that we pursue;</w:t>
      </w:r>
    </w:p>
    <w:p>
      <w:pPr>
        <w:spacing w:after="0" w:line="119" w:lineRule="exact"/>
        <w:rPr>
          <w:rFonts w:ascii="Symbol" w:cs="Symbol" w:eastAsia="Symbol" w:hAnsi="Symbol"/>
          <w:sz w:val="20"/>
          <w:szCs w:val="20"/>
          <w:color w:val="auto"/>
        </w:rPr>
      </w:pPr>
    </w:p>
    <w:p>
      <w:pPr>
        <w:ind w:left="1080" w:hanging="353"/>
        <w:spacing w:after="0"/>
        <w:tabs>
          <w:tab w:leader="none" w:pos="1080" w:val="left"/>
        </w:tabs>
        <w:numPr>
          <w:ilvl w:val="0"/>
          <w:numId w:val="50"/>
        </w:numPr>
        <w:rPr>
          <w:rFonts w:ascii="Symbol" w:cs="Symbol" w:eastAsia="Symbol" w:hAnsi="Symbol"/>
          <w:sz w:val="20"/>
          <w:szCs w:val="20"/>
          <w:color w:val="auto"/>
        </w:rPr>
      </w:pPr>
      <w:r>
        <w:rPr>
          <w:rFonts w:ascii="Calibri" w:cs="Calibri" w:eastAsia="Calibri" w:hAnsi="Calibri"/>
          <w:sz w:val="20"/>
          <w:szCs w:val="20"/>
          <w:color w:val="auto"/>
        </w:rPr>
        <w:t>the scope, rate of progress, results and cost of our clinical trials, preclinical testing and other related activities;</w:t>
      </w:r>
    </w:p>
    <w:p>
      <w:pPr>
        <w:spacing w:after="0" w:line="120" w:lineRule="exact"/>
        <w:rPr>
          <w:rFonts w:ascii="Symbol" w:cs="Symbol" w:eastAsia="Symbol" w:hAnsi="Symbol"/>
          <w:sz w:val="20"/>
          <w:szCs w:val="20"/>
          <w:color w:val="auto"/>
        </w:rPr>
      </w:pPr>
    </w:p>
    <w:p>
      <w:pPr>
        <w:ind w:left="1080" w:hanging="353"/>
        <w:spacing w:after="0"/>
        <w:tabs>
          <w:tab w:leader="none" w:pos="1080" w:val="left"/>
        </w:tabs>
        <w:numPr>
          <w:ilvl w:val="0"/>
          <w:numId w:val="50"/>
        </w:numPr>
        <w:rPr>
          <w:rFonts w:ascii="Symbol" w:cs="Symbol" w:eastAsia="Symbol" w:hAnsi="Symbol"/>
          <w:sz w:val="20"/>
          <w:szCs w:val="20"/>
          <w:color w:val="auto"/>
        </w:rPr>
      </w:pPr>
      <w:r>
        <w:rPr>
          <w:rFonts w:ascii="Calibri" w:cs="Calibri" w:eastAsia="Calibri" w:hAnsi="Calibri"/>
          <w:sz w:val="20"/>
          <w:szCs w:val="20"/>
          <w:color w:val="auto"/>
        </w:rPr>
        <w:t>scope, rate of progress, results and cost of our clinical trials, preclinical testing and other related activities;</w:t>
      </w:r>
    </w:p>
    <w:p>
      <w:pPr>
        <w:spacing w:after="0" w:line="118" w:lineRule="exact"/>
        <w:rPr>
          <w:rFonts w:ascii="Symbol" w:cs="Symbol" w:eastAsia="Symbol" w:hAnsi="Symbol"/>
          <w:sz w:val="20"/>
          <w:szCs w:val="20"/>
          <w:color w:val="auto"/>
        </w:rPr>
      </w:pPr>
    </w:p>
    <w:p>
      <w:pPr>
        <w:ind w:left="1080" w:hanging="353"/>
        <w:spacing w:after="0" w:line="251" w:lineRule="auto"/>
        <w:tabs>
          <w:tab w:leader="none" w:pos="1080" w:val="left"/>
        </w:tabs>
        <w:numPr>
          <w:ilvl w:val="0"/>
          <w:numId w:val="50"/>
        </w:numPr>
        <w:rPr>
          <w:rFonts w:ascii="Symbol" w:cs="Symbol" w:eastAsia="Symbol" w:hAnsi="Symbol"/>
          <w:sz w:val="20"/>
          <w:szCs w:val="20"/>
          <w:color w:val="auto"/>
        </w:rPr>
      </w:pPr>
      <w:r>
        <w:rPr>
          <w:rFonts w:ascii="Calibri" w:cs="Calibri" w:eastAsia="Calibri" w:hAnsi="Calibri"/>
          <w:sz w:val="20"/>
          <w:szCs w:val="20"/>
          <w:color w:val="auto"/>
        </w:rPr>
        <w:t>the costs of manufacturing preclinical study and clinical trial supplies and other materials from CMOs and related costs associated with release and stability testing;</w:t>
      </w:r>
    </w:p>
    <w:p>
      <w:pPr>
        <w:spacing w:after="0" w:line="98" w:lineRule="exact"/>
        <w:rPr>
          <w:rFonts w:ascii="Symbol" w:cs="Symbol" w:eastAsia="Symbol" w:hAnsi="Symbol"/>
          <w:sz w:val="20"/>
          <w:szCs w:val="20"/>
          <w:color w:val="auto"/>
        </w:rPr>
      </w:pPr>
    </w:p>
    <w:p>
      <w:pPr>
        <w:ind w:left="1080" w:hanging="353"/>
        <w:spacing w:after="0"/>
        <w:tabs>
          <w:tab w:leader="none" w:pos="1080" w:val="left"/>
        </w:tabs>
        <w:numPr>
          <w:ilvl w:val="0"/>
          <w:numId w:val="50"/>
        </w:numPr>
        <w:rPr>
          <w:rFonts w:ascii="Symbol" w:cs="Symbol" w:eastAsia="Symbol" w:hAnsi="Symbol"/>
          <w:sz w:val="20"/>
          <w:szCs w:val="20"/>
          <w:color w:val="auto"/>
        </w:rPr>
      </w:pPr>
      <w:r>
        <w:rPr>
          <w:rFonts w:ascii="Calibri" w:cs="Calibri" w:eastAsia="Calibri" w:hAnsi="Calibri"/>
          <w:sz w:val="20"/>
          <w:szCs w:val="20"/>
          <w:color w:val="auto"/>
        </w:rPr>
        <w:t>whether we receive either of the Earnout Payments from the sale of the UDENYCA Business;</w:t>
      </w:r>
    </w:p>
    <w:p>
      <w:pPr>
        <w:spacing w:after="0" w:line="119" w:lineRule="exact"/>
        <w:rPr>
          <w:rFonts w:ascii="Symbol" w:cs="Symbol" w:eastAsia="Symbol" w:hAnsi="Symbol"/>
          <w:sz w:val="20"/>
          <w:szCs w:val="20"/>
          <w:color w:val="auto"/>
        </w:rPr>
      </w:pPr>
    </w:p>
    <w:p>
      <w:pPr>
        <w:ind w:left="1080" w:hanging="353"/>
        <w:spacing w:after="0"/>
        <w:tabs>
          <w:tab w:leader="none" w:pos="1080" w:val="left"/>
        </w:tabs>
        <w:numPr>
          <w:ilvl w:val="0"/>
          <w:numId w:val="50"/>
        </w:numPr>
        <w:rPr>
          <w:rFonts w:ascii="Symbol" w:cs="Symbol" w:eastAsia="Symbol" w:hAnsi="Symbol"/>
          <w:sz w:val="20"/>
          <w:szCs w:val="20"/>
          <w:color w:val="auto"/>
        </w:rPr>
      </w:pPr>
      <w:r>
        <w:rPr>
          <w:rFonts w:ascii="Calibri" w:cs="Calibri" w:eastAsia="Calibri" w:hAnsi="Calibri"/>
          <w:sz w:val="20"/>
          <w:szCs w:val="20"/>
          <w:color w:val="auto"/>
        </w:rPr>
        <w:t>the cost, timing and outcomes of regulatory approvals; and</w:t>
      </w:r>
    </w:p>
    <w:p>
      <w:pPr>
        <w:spacing w:after="0" w:line="120" w:lineRule="exact"/>
        <w:rPr>
          <w:rFonts w:ascii="Symbol" w:cs="Symbol" w:eastAsia="Symbol" w:hAnsi="Symbol"/>
          <w:sz w:val="20"/>
          <w:szCs w:val="20"/>
          <w:color w:val="auto"/>
        </w:rPr>
      </w:pPr>
    </w:p>
    <w:p>
      <w:pPr>
        <w:ind w:left="1080" w:hanging="353"/>
        <w:spacing w:after="0"/>
        <w:tabs>
          <w:tab w:leader="none" w:pos="1080" w:val="left"/>
        </w:tabs>
        <w:numPr>
          <w:ilvl w:val="0"/>
          <w:numId w:val="50"/>
        </w:numPr>
        <w:rPr>
          <w:rFonts w:ascii="Symbol" w:cs="Symbol" w:eastAsia="Symbol" w:hAnsi="Symbol"/>
          <w:sz w:val="20"/>
          <w:szCs w:val="20"/>
          <w:color w:val="auto"/>
        </w:rPr>
      </w:pPr>
      <w:r>
        <w:rPr>
          <w:rFonts w:ascii="Calibri" w:cs="Calibri" w:eastAsia="Calibri" w:hAnsi="Calibri"/>
          <w:sz w:val="20"/>
          <w:szCs w:val="20"/>
          <w:color w:val="auto"/>
        </w:rPr>
        <w:t>the extent to which we divest, acquire or invest in businesses, products or technologies.</w:t>
      </w:r>
    </w:p>
    <w:p>
      <w:pPr>
        <w:spacing w:after="0" w:line="228" w:lineRule="exact"/>
        <w:rPr>
          <w:sz w:val="20"/>
          <w:szCs w:val="20"/>
          <w:color w:val="auto"/>
        </w:rPr>
      </w:pPr>
    </w:p>
    <w:p>
      <w:pPr>
        <w:jc w:val="both"/>
        <w:ind w:firstLine="490"/>
        <w:spacing w:after="0" w:line="262" w:lineRule="auto"/>
        <w:rPr>
          <w:sz w:val="20"/>
          <w:szCs w:val="20"/>
          <w:color w:val="auto"/>
        </w:rPr>
      </w:pPr>
      <w:r>
        <w:rPr>
          <w:rFonts w:ascii="Calibri" w:cs="Calibri" w:eastAsia="Calibri" w:hAnsi="Calibri"/>
          <w:sz w:val="20"/>
          <w:szCs w:val="20"/>
          <w:color w:val="auto"/>
        </w:rPr>
        <w:t>For further discussion of risks related to our financial condition and capital requirements, see “Risk Factors— Risks Related to Our Financial Condition and Capital Requirements.”</w:t>
      </w:r>
    </w:p>
    <w:p>
      <w:pPr>
        <w:spacing w:after="0" w:line="19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Contingent Milestones</w:t>
      </w:r>
    </w:p>
    <w:p>
      <w:pPr>
        <w:spacing w:after="0" w:line="240"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We have obligations to make future payments to third parties that become due and payable upon the achievement of certain development, regulatory and commercial milestones (such as clinical trial achievements, the filing of a BLA, approval by the FDA or product launch). These milestone payments and other similar fees are contingent upon future events and therefore are only recorded when it becomes probable that a milestone will be achieved or other applicable criteria will be met. With the exception of $1.1 million recorded as a liability as of December 31, 2025, no other milestones were accrued because the probability of achievement had not reached the threshold for recognition.</w:t>
      </w:r>
    </w:p>
    <w:p>
      <w:pPr>
        <w:spacing w:after="0" w:line="216" w:lineRule="exact"/>
        <w:rPr>
          <w:sz w:val="20"/>
          <w:szCs w:val="20"/>
          <w:color w:val="auto"/>
        </w:rPr>
      </w:pPr>
    </w:p>
    <w:p>
      <w:pPr>
        <w:jc w:val="both"/>
        <w:ind w:right="20" w:firstLine="720"/>
        <w:spacing w:after="0" w:line="262" w:lineRule="auto"/>
        <w:rPr>
          <w:sz w:val="20"/>
          <w:szCs w:val="20"/>
          <w:color w:val="auto"/>
        </w:rPr>
      </w:pPr>
      <w:r>
        <w:rPr>
          <w:rFonts w:ascii="Calibri" w:cs="Calibri" w:eastAsia="Calibri" w:hAnsi="Calibri"/>
          <w:sz w:val="20"/>
          <w:szCs w:val="20"/>
          <w:color w:val="auto"/>
        </w:rPr>
        <w:t>The following presents a summary of our active partnerships and collaborations that have contingent regulatory and sales milestones as of December 31, 2025:</w:t>
      </w: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420" w:type="dxa"/>
            <w:vAlign w:val="bottom"/>
            <w:tcBorders>
              <w:bottom w:val="single" w:sz="8" w:color="auto"/>
            </w:tcBorders>
          </w:tcPr>
          <w:p>
            <w:pPr>
              <w:spacing w:after="0"/>
              <w:rPr>
                <w:sz w:val="20"/>
                <w:szCs w:val="20"/>
                <w:color w:val="auto"/>
              </w:rPr>
            </w:pPr>
            <w:r>
              <w:rPr>
                <w:rFonts w:ascii="Calibri" w:cs="Calibri" w:eastAsia="Calibri" w:hAnsi="Calibri"/>
                <w:sz w:val="16"/>
                <w:szCs w:val="16"/>
                <w:b w:val="1"/>
                <w:bCs w:val="1"/>
                <w:color w:val="auto"/>
              </w:rPr>
              <w:t>Counterparty</w:t>
            </w:r>
          </w:p>
        </w:tc>
        <w:tc>
          <w:tcPr>
            <w:tcW w:w="2900" w:type="dxa"/>
            <w:vAlign w:val="bottom"/>
            <w:tcBorders>
              <w:bottom w:val="single" w:sz="8" w:color="auto"/>
            </w:tcBorders>
          </w:tcPr>
          <w:p>
            <w:pPr>
              <w:ind w:left="320"/>
              <w:spacing w:after="0"/>
              <w:rPr>
                <w:sz w:val="20"/>
                <w:szCs w:val="20"/>
                <w:color w:val="auto"/>
              </w:rPr>
            </w:pPr>
            <w:r>
              <w:rPr>
                <w:rFonts w:ascii="Calibri" w:cs="Calibri" w:eastAsia="Calibri" w:hAnsi="Calibri"/>
                <w:sz w:val="16"/>
                <w:szCs w:val="16"/>
                <w:b w:val="1"/>
                <w:bCs w:val="1"/>
                <w:color w:val="auto"/>
              </w:rPr>
              <w:t>Description</w:t>
            </w:r>
          </w:p>
        </w:tc>
        <w:tc>
          <w:tcPr>
            <w:tcW w:w="4840" w:type="dxa"/>
            <w:vAlign w:val="bottom"/>
            <w:tcBorders>
              <w:bottom w:val="single" w:sz="8" w:color="auto"/>
            </w:tcBorders>
          </w:tcPr>
          <w:p>
            <w:pPr>
              <w:ind w:left="320"/>
              <w:spacing w:after="0"/>
              <w:rPr>
                <w:sz w:val="20"/>
                <w:szCs w:val="20"/>
                <w:color w:val="auto"/>
              </w:rPr>
            </w:pPr>
            <w:r>
              <w:rPr>
                <w:rFonts w:ascii="Calibri" w:cs="Calibri" w:eastAsia="Calibri" w:hAnsi="Calibri"/>
                <w:sz w:val="16"/>
                <w:szCs w:val="16"/>
                <w:b w:val="1"/>
                <w:bCs w:val="1"/>
                <w:color w:val="auto"/>
              </w:rPr>
              <w:t>Remaining Potential Aggregate Milestone Amount</w:t>
            </w:r>
          </w:p>
        </w:tc>
      </w:tr>
      <w:tr>
        <w:trPr>
          <w:trHeight w:val="258"/>
        </w:trPr>
        <w:tc>
          <w:tcPr>
            <w:tcW w:w="3420" w:type="dxa"/>
            <w:vAlign w:val="bottom"/>
            <w:tcBorders>
              <w:left w:val="single" w:sz="8" w:color="auto"/>
              <w:bottom w:val="single" w:sz="8" w:color="auto"/>
            </w:tcBorders>
            <w:shd w:val="clear" w:color="auto" w:fill="E5E5E5"/>
          </w:tcPr>
          <w:p>
            <w:pPr>
              <w:ind w:left="20"/>
              <w:spacing w:after="0"/>
              <w:rPr>
                <w:sz w:val="20"/>
                <w:szCs w:val="20"/>
                <w:color w:val="auto"/>
              </w:rPr>
            </w:pPr>
            <w:r>
              <w:rPr>
                <w:rFonts w:ascii="Calibri" w:cs="Calibri" w:eastAsia="Calibri" w:hAnsi="Calibri"/>
                <w:sz w:val="20"/>
                <w:szCs w:val="20"/>
                <w:color w:val="auto"/>
              </w:rPr>
              <w:t>Junshi Biosciences</w:t>
            </w:r>
          </w:p>
        </w:tc>
        <w:tc>
          <w:tcPr>
            <w:tcW w:w="2900" w:type="dxa"/>
            <w:vAlign w:val="bottom"/>
            <w:tcBorders>
              <w:bottom w:val="single" w:sz="8" w:color="auto"/>
            </w:tcBorders>
            <w:shd w:val="clear" w:color="auto" w:fill="E5E5E5"/>
          </w:tcPr>
          <w:p>
            <w:pPr>
              <w:ind w:left="320"/>
              <w:spacing w:after="0"/>
              <w:rPr>
                <w:sz w:val="20"/>
                <w:szCs w:val="20"/>
                <w:color w:val="auto"/>
              </w:rPr>
            </w:pPr>
            <w:r>
              <w:rPr>
                <w:rFonts w:ascii="Calibri" w:cs="Calibri" w:eastAsia="Calibri" w:hAnsi="Calibri"/>
                <w:sz w:val="20"/>
                <w:szCs w:val="20"/>
                <w:color w:val="auto"/>
              </w:rPr>
              <w:t>LOQTORZI</w:t>
            </w:r>
          </w:p>
        </w:tc>
        <w:tc>
          <w:tcPr>
            <w:tcW w:w="4840" w:type="dxa"/>
            <w:vAlign w:val="bottom"/>
            <w:tcBorders>
              <w:bottom w:val="single" w:sz="8" w:color="auto"/>
              <w:right w:val="single" w:sz="8" w:color="auto"/>
            </w:tcBorders>
            <w:shd w:val="clear" w:color="auto" w:fill="E5E5E5"/>
          </w:tcPr>
          <w:p>
            <w:pPr>
              <w:ind w:left="320"/>
              <w:spacing w:after="0" w:line="259" w:lineRule="exact"/>
              <w:rPr>
                <w:sz w:val="20"/>
                <w:szCs w:val="20"/>
                <w:color w:val="auto"/>
              </w:rPr>
            </w:pPr>
            <w:r>
              <w:rPr>
                <w:rFonts w:ascii="Calibri" w:cs="Calibri" w:eastAsia="Calibri" w:hAnsi="Calibri"/>
                <w:sz w:val="20"/>
                <w:szCs w:val="20"/>
                <w:color w:val="auto"/>
              </w:rPr>
              <w:t xml:space="preserve">$355.0 million </w:t>
            </w:r>
            <w:r>
              <w:rPr>
                <w:rFonts w:ascii="Calibri" w:cs="Calibri" w:eastAsia="Calibri" w:hAnsi="Calibri"/>
                <w:sz w:val="25"/>
                <w:szCs w:val="25"/>
                <w:color w:val="auto"/>
                <w:vertAlign w:val="superscript"/>
              </w:rPr>
              <w:t>(1)</w:t>
            </w:r>
          </w:p>
        </w:tc>
      </w:tr>
      <w:tr>
        <w:trPr>
          <w:trHeight w:val="234"/>
        </w:trPr>
        <w:tc>
          <w:tcPr>
            <w:tcW w:w="3420" w:type="dxa"/>
            <w:vAlign w:val="bottom"/>
            <w:tcBorders>
              <w:left w:val="single" w:sz="8" w:color="auto"/>
              <w:bottom w:val="single" w:sz="8" w:color="auto"/>
            </w:tcBorders>
          </w:tcPr>
          <w:p>
            <w:pPr>
              <w:ind w:left="20"/>
              <w:spacing w:after="0" w:line="234" w:lineRule="exact"/>
              <w:rPr>
                <w:sz w:val="20"/>
                <w:szCs w:val="20"/>
                <w:color w:val="auto"/>
              </w:rPr>
            </w:pPr>
            <w:r>
              <w:rPr>
                <w:rFonts w:ascii="Calibri" w:cs="Calibri" w:eastAsia="Calibri" w:hAnsi="Calibri"/>
                <w:sz w:val="20"/>
                <w:szCs w:val="20"/>
                <w:color w:val="auto"/>
              </w:rPr>
              <w:t>Adimab LLC</w:t>
            </w:r>
          </w:p>
        </w:tc>
        <w:tc>
          <w:tcPr>
            <w:tcW w:w="2900" w:type="dxa"/>
            <w:vAlign w:val="bottom"/>
            <w:tcBorders>
              <w:bottom w:val="single" w:sz="8" w:color="auto"/>
            </w:tcBorders>
          </w:tcPr>
          <w:p>
            <w:pPr>
              <w:ind w:left="320"/>
              <w:spacing w:after="0" w:line="234" w:lineRule="exact"/>
              <w:rPr>
                <w:sz w:val="20"/>
                <w:szCs w:val="20"/>
                <w:color w:val="auto"/>
              </w:rPr>
            </w:pPr>
            <w:r>
              <w:rPr>
                <w:rFonts w:ascii="Calibri" w:cs="Calibri" w:eastAsia="Calibri" w:hAnsi="Calibri"/>
                <w:sz w:val="20"/>
                <w:szCs w:val="20"/>
                <w:color w:val="auto"/>
              </w:rPr>
              <w:t>Casdozokitug</w:t>
            </w:r>
          </w:p>
        </w:tc>
        <w:tc>
          <w:tcPr>
            <w:tcW w:w="4840" w:type="dxa"/>
            <w:vAlign w:val="bottom"/>
            <w:tcBorders>
              <w:bottom w:val="single" w:sz="8" w:color="auto"/>
              <w:right w:val="single" w:sz="8" w:color="auto"/>
            </w:tcBorders>
          </w:tcPr>
          <w:p>
            <w:pPr>
              <w:ind w:left="320"/>
              <w:spacing w:after="0" w:line="234" w:lineRule="exact"/>
              <w:rPr>
                <w:sz w:val="20"/>
                <w:szCs w:val="20"/>
                <w:color w:val="auto"/>
              </w:rPr>
            </w:pPr>
            <w:r>
              <w:rPr>
                <w:rFonts w:ascii="Calibri" w:cs="Calibri" w:eastAsia="Calibri" w:hAnsi="Calibri"/>
                <w:sz w:val="20"/>
                <w:szCs w:val="20"/>
                <w:color w:val="auto"/>
              </w:rPr>
              <w:t>$10.5 million</w:t>
            </w:r>
          </w:p>
        </w:tc>
      </w:tr>
      <w:tr>
        <w:trPr>
          <w:trHeight w:val="234"/>
        </w:trPr>
        <w:tc>
          <w:tcPr>
            <w:tcW w:w="3420" w:type="dxa"/>
            <w:vAlign w:val="bottom"/>
            <w:tcBorders>
              <w:left w:val="single" w:sz="8" w:color="auto"/>
              <w:bottom w:val="single" w:sz="8" w:color="auto"/>
            </w:tcBorders>
            <w:shd w:val="clear" w:color="auto" w:fill="E5E5E5"/>
          </w:tcPr>
          <w:p>
            <w:pPr>
              <w:ind w:left="20"/>
              <w:spacing w:after="0" w:line="234" w:lineRule="exact"/>
              <w:rPr>
                <w:sz w:val="20"/>
                <w:szCs w:val="20"/>
                <w:color w:val="auto"/>
              </w:rPr>
            </w:pPr>
            <w:r>
              <w:rPr>
                <w:rFonts w:ascii="Calibri" w:cs="Calibri" w:eastAsia="Calibri" w:hAnsi="Calibri"/>
                <w:sz w:val="20"/>
                <w:szCs w:val="20"/>
                <w:color w:val="auto"/>
              </w:rPr>
              <w:t>Vaccinex, Inc.</w:t>
            </w:r>
          </w:p>
        </w:tc>
        <w:tc>
          <w:tcPr>
            <w:tcW w:w="2900" w:type="dxa"/>
            <w:vAlign w:val="bottom"/>
            <w:tcBorders>
              <w:bottom w:val="single" w:sz="8" w:color="auto"/>
            </w:tcBorders>
            <w:shd w:val="clear" w:color="auto" w:fill="E5E5E5"/>
          </w:tcPr>
          <w:p>
            <w:pPr>
              <w:ind w:left="320"/>
              <w:spacing w:after="0" w:line="234" w:lineRule="exact"/>
              <w:rPr>
                <w:sz w:val="20"/>
                <w:szCs w:val="20"/>
                <w:color w:val="auto"/>
              </w:rPr>
            </w:pPr>
            <w:r>
              <w:rPr>
                <w:rFonts w:ascii="Calibri" w:cs="Calibri" w:eastAsia="Calibri" w:hAnsi="Calibri"/>
                <w:sz w:val="20"/>
                <w:szCs w:val="20"/>
                <w:color w:val="auto"/>
              </w:rPr>
              <w:t>Tagmokitug</w:t>
            </w:r>
          </w:p>
        </w:tc>
        <w:tc>
          <w:tcPr>
            <w:tcW w:w="4840" w:type="dxa"/>
            <w:vAlign w:val="bottom"/>
            <w:tcBorders>
              <w:bottom w:val="single" w:sz="8" w:color="auto"/>
              <w:right w:val="single" w:sz="8" w:color="auto"/>
            </w:tcBorders>
            <w:shd w:val="clear" w:color="auto" w:fill="E5E5E5"/>
          </w:tcPr>
          <w:p>
            <w:pPr>
              <w:ind w:left="320"/>
              <w:spacing w:after="0" w:line="234" w:lineRule="exact"/>
              <w:rPr>
                <w:sz w:val="20"/>
                <w:szCs w:val="20"/>
                <w:color w:val="auto"/>
              </w:rPr>
            </w:pPr>
            <w:r>
              <w:rPr>
                <w:rFonts w:ascii="Calibri" w:cs="Calibri" w:eastAsia="Calibri" w:hAnsi="Calibri"/>
                <w:sz w:val="20"/>
                <w:szCs w:val="20"/>
                <w:color w:val="auto"/>
              </w:rPr>
              <w:t>$13.5 million</w:t>
            </w:r>
          </w:p>
        </w:tc>
      </w:tr>
      <w:tr>
        <w:trPr>
          <w:trHeight w:val="234"/>
        </w:trPr>
        <w:tc>
          <w:tcPr>
            <w:tcW w:w="3420" w:type="dxa"/>
            <w:vAlign w:val="bottom"/>
            <w:tcBorders>
              <w:left w:val="single" w:sz="8" w:color="auto"/>
              <w:bottom w:val="single" w:sz="8" w:color="auto"/>
            </w:tcBorders>
          </w:tcPr>
          <w:p>
            <w:pPr>
              <w:ind w:left="20"/>
              <w:spacing w:after="0" w:line="234" w:lineRule="exact"/>
              <w:rPr>
                <w:sz w:val="20"/>
                <w:szCs w:val="20"/>
                <w:color w:val="auto"/>
              </w:rPr>
            </w:pPr>
            <w:r>
              <w:rPr>
                <w:rFonts w:ascii="Calibri" w:cs="Calibri" w:eastAsia="Calibri" w:hAnsi="Calibri"/>
                <w:sz w:val="20"/>
                <w:szCs w:val="20"/>
                <w:color w:val="auto"/>
              </w:rPr>
              <w:t>Memorial Sloan Kettering Cancer Center</w:t>
            </w:r>
          </w:p>
        </w:tc>
        <w:tc>
          <w:tcPr>
            <w:tcW w:w="2900" w:type="dxa"/>
            <w:vAlign w:val="bottom"/>
            <w:tcBorders>
              <w:bottom w:val="single" w:sz="8" w:color="auto"/>
            </w:tcBorders>
          </w:tcPr>
          <w:p>
            <w:pPr>
              <w:ind w:left="320"/>
              <w:spacing w:after="0" w:line="234" w:lineRule="exact"/>
              <w:rPr>
                <w:sz w:val="20"/>
                <w:szCs w:val="20"/>
                <w:color w:val="auto"/>
              </w:rPr>
            </w:pPr>
            <w:r>
              <w:rPr>
                <w:rFonts w:ascii="Calibri" w:cs="Calibri" w:eastAsia="Calibri" w:hAnsi="Calibri"/>
                <w:sz w:val="20"/>
                <w:szCs w:val="20"/>
                <w:color w:val="auto"/>
              </w:rPr>
              <w:t>Tagmokitug</w:t>
            </w:r>
          </w:p>
        </w:tc>
        <w:tc>
          <w:tcPr>
            <w:tcW w:w="4840" w:type="dxa"/>
            <w:vAlign w:val="bottom"/>
            <w:tcBorders>
              <w:bottom w:val="single" w:sz="8" w:color="auto"/>
              <w:right w:val="single" w:sz="8" w:color="auto"/>
            </w:tcBorders>
          </w:tcPr>
          <w:p>
            <w:pPr>
              <w:ind w:left="320"/>
              <w:spacing w:after="0" w:line="234" w:lineRule="exact"/>
              <w:rPr>
                <w:sz w:val="20"/>
                <w:szCs w:val="20"/>
                <w:color w:val="auto"/>
              </w:rPr>
            </w:pPr>
            <w:r>
              <w:rPr>
                <w:rFonts w:ascii="Calibri" w:cs="Calibri" w:eastAsia="Calibri" w:hAnsi="Calibri"/>
                <w:sz w:val="20"/>
                <w:szCs w:val="20"/>
                <w:color w:val="auto"/>
              </w:rPr>
              <w:t>$7.2 million</w:t>
            </w:r>
          </w:p>
        </w:tc>
      </w:tr>
    </w:tbl>
    <w:p>
      <w:pPr>
        <w:spacing w:after="0" w:line="111" w:lineRule="exact"/>
        <w:rPr>
          <w:sz w:val="20"/>
          <w:szCs w:val="20"/>
          <w:color w:val="auto"/>
        </w:rPr>
      </w:pPr>
    </w:p>
    <w:p>
      <w:pPr>
        <w:ind w:left="360" w:hanging="353"/>
        <w:spacing w:after="0"/>
        <w:tabs>
          <w:tab w:leader="none" w:pos="360" w:val="left"/>
        </w:tabs>
        <w:numPr>
          <w:ilvl w:val="0"/>
          <w:numId w:val="51"/>
        </w:numPr>
        <w:rPr>
          <w:rFonts w:ascii="Calibri" w:cs="Calibri" w:eastAsia="Calibri" w:hAnsi="Calibri"/>
          <w:sz w:val="16"/>
          <w:szCs w:val="16"/>
          <w:color w:val="auto"/>
        </w:rPr>
      </w:pPr>
      <w:r>
        <w:rPr>
          <w:rFonts w:ascii="Calibri" w:cs="Calibri" w:eastAsia="Calibri" w:hAnsi="Calibri"/>
          <w:sz w:val="16"/>
          <w:szCs w:val="16"/>
          <w:color w:val="auto"/>
        </w:rPr>
        <w:t>$65.0 million relates to regulatory milestones for indications that are not currently the subject of our clinical trials and $290.0 million relates to sales milestones.</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71</w:t>
      </w:r>
    </w:p>
    <w:p>
      <w:pPr>
        <w:sectPr>
          <w:pgSz w:w="12240" w:h="15840" w:orient="portrait"/>
          <w:cols w:equalWidth="0" w:num="1">
            <w:col w:w="11160"/>
          </w:cols>
          <w:pgMar w:left="540" w:top="532" w:right="540" w:bottom="9" w:gutter="0" w:footer="0" w:header="0"/>
          <w:type w:val="continuous"/>
        </w:sectPr>
      </w:pPr>
    </w:p>
    <w:bookmarkStart w:id="73" w:name="page74"/>
    <w:bookmarkEnd w:id="73"/>
    <w:p>
      <w:pPr>
        <w:spacing w:after="0"/>
        <w:rPr>
          <w:sz w:val="20"/>
          <w:szCs w:val="20"/>
          <w:color w:val="auto"/>
        </w:rPr>
      </w:pPr>
      <w:r>
        <w:rPr>
          <w:rFonts w:ascii="Calibri" w:cs="Calibri" w:eastAsia="Calibri" w:hAnsi="Calibri"/>
          <w:sz w:val="20"/>
          <w:szCs w:val="20"/>
          <w:b w:val="1"/>
          <w:bCs w:val="1"/>
          <w:i w:val="1"/>
          <w:iCs w:val="1"/>
          <w:color w:val="auto"/>
        </w:rPr>
        <w:t>Contingent Value Rights</w:t>
      </w:r>
    </w:p>
    <w:p>
      <w:pPr>
        <w:spacing w:after="0" w:line="240"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In connection with the Surface Acquisition, we entered into the Contingent Value Rights Agreement, dated September 8, 2023, by and among us and Computershare Inc. and its affiliate Computershare Trust Company, N.A., together, as the rights agent thereunder (the “CVR Agreement”). As of December 31, 2025, the remaining CVRs in connection with the Surface Acquisition consisted of the CVRs associated with the receipt by us of any upfront payments pursuant to ex-U.S. licensing agreements related to casdozokitug or tagmokitug. The potential payments are only due if we first receive upfront payments pursuant to ex-U.S. licensing agreements, less any permitted deductions in accordance with the CVR Agreement. Payments to CVR holders can be in the form of cash, stock or a combination of cash and stock. For further details, see “Note 1. Organization and Significant Accounting Policies” in the Notes to Consolidated Financial Statements contained in Part II, Item 8 of this Annual Report on Form 10-K.</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Other Commitments</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Transition service agreements</w:t>
      </w:r>
    </w:p>
    <w:p>
      <w:pPr>
        <w:spacing w:after="0" w:line="239"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Since certain contracts with third parties related to the divested biosimilar businesses could not immediately be transitioned to the buyers in the Sale Transactions at the respective divestiture dates, generally because the contracts did not allow for assignment, we remained a legal party to transactions occurring after the closings, often functioning as an agent on behalf of the buyer. These transactions are presented within TSA receivables, net and TSA payables and accrued liabilities in the consolidated balance sheets, and they generally do not have a net effect the consolidated statements of operations. The use of cash to settle TSA payables and accrued liabilities is expected to occur in a front-loaded fashion over the remainder of 2026. The CIMERLI and YUSIMRY TSAs were substantially completed as of December 31, 2025.</w:t>
      </w:r>
    </w:p>
    <w:p>
      <w:pPr>
        <w:spacing w:after="0" w:line="219"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In addition, in connection with the divestiture of the UDENYCA Business, we retained certain contractual obligations related to inventory replacement under a legacy customer agreement. Pursuant to the terms of that agreement, we may be required to reimburse Accord for the cost of replacing certain inventory in specified circumstances. Our maximum potential exposure under this obligation is approximately $5.9 million. As of December 31, 2025, no amounts have been recorded in the consolidated financial statements related to this matter, as the likelihood of incurring a loss was not considered probable. We will continue to evaluate this matter each reporting period and record a liability if and when it becomes probable that a loss has been incurred and the amount can be reasonably estimated.</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Non-cancelable purchase commitments</w:t>
      </w:r>
    </w:p>
    <w:p>
      <w:pPr>
        <w:spacing w:after="0" w:line="238"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We enter into contracts in the normal course of business with CROs for preclinical research studies and clinical trials, research supplies and other services and products for operating purposes. We have also entered into agreements with several CMOs for the manufacture and clinical drug supply of our commercial and product candidates. Our non-cancelable purchase commitments as of December 31, 2025 were $8.1 million, as outlined in Note 9. Commitments and Contingencies in the Notes to Consolidated Financial Statements contained in Part I, Item 1 of this Annual Report on Form 10-K.</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Leases</w:t>
      </w:r>
    </w:p>
    <w:p>
      <w:pPr>
        <w:spacing w:after="0" w:line="239"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We lease office and laboratory facilities through arrangements treated as operating leases. Refer to Note 10. Leases in the Notes to Consolidated Financial Statements contained in Part II, Item 8 of this Annual Report on Form 10-K for additional information related to our leases. Our total non-cancelable contractual obligations arising from these agreements as of December 31, 2025 was $3.7 million, with $2.1 million of these obligations due within twelve months.</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Summary Statement of Cash Flows</w:t>
      </w:r>
    </w:p>
    <w:p>
      <w:pPr>
        <w:spacing w:after="0" w:line="201" w:lineRule="exact"/>
        <w:rPr>
          <w:sz w:val="20"/>
          <w:szCs w:val="20"/>
          <w:color w:val="auto"/>
        </w:rPr>
      </w:pPr>
    </w:p>
    <w:p>
      <w:pPr>
        <w:jc w:val="both"/>
        <w:ind w:firstLine="720"/>
        <w:spacing w:after="0" w:line="261" w:lineRule="auto"/>
        <w:rPr>
          <w:sz w:val="20"/>
          <w:szCs w:val="20"/>
          <w:color w:val="auto"/>
        </w:rPr>
      </w:pPr>
      <w:r>
        <w:rPr>
          <w:rFonts w:ascii="Calibri" w:cs="Calibri" w:eastAsia="Calibri" w:hAnsi="Calibri"/>
          <w:sz w:val="20"/>
          <w:szCs w:val="20"/>
          <w:color w:val="auto"/>
        </w:rPr>
        <w:t>The following table summarizes our cash flows for discontinued and continuing operations on a combined basis as follows for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6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7"/>
          </w:tcPr>
          <w:p>
            <w:pPr>
              <w:ind w:left="220"/>
              <w:spacing w:after="0"/>
              <w:rPr>
                <w:sz w:val="20"/>
                <w:szCs w:val="20"/>
                <w:color w:val="auto"/>
              </w:rPr>
            </w:pPr>
            <w:r>
              <w:rPr>
                <w:rFonts w:ascii="Calibri" w:cs="Calibri" w:eastAsia="Calibri" w:hAnsi="Calibri"/>
                <w:sz w:val="16"/>
                <w:szCs w:val="16"/>
                <w:b w:val="1"/>
                <w:bCs w:val="1"/>
                <w:color w:val="auto"/>
              </w:rPr>
              <w:t>Year Ended December 31,</w:t>
            </w:r>
          </w:p>
        </w:tc>
        <w:tc>
          <w:tcPr>
            <w:tcW w:w="0" w:type="dxa"/>
            <w:vAlign w:val="bottom"/>
          </w:tcPr>
          <w:p>
            <w:pPr>
              <w:spacing w:after="0"/>
              <w:rPr>
                <w:sz w:val="1"/>
                <w:szCs w:val="1"/>
                <w:color w:val="auto"/>
              </w:rPr>
            </w:pPr>
          </w:p>
        </w:tc>
      </w:tr>
      <w:tr>
        <w:trPr>
          <w:trHeight w:val="185"/>
        </w:trPr>
        <w:tc>
          <w:tcPr>
            <w:tcW w:w="8460" w:type="dxa"/>
            <w:vAlign w:val="bottom"/>
            <w:tcBorders>
              <w:bottom w:val="single" w:sz="8" w:color="E5E5E5"/>
            </w:tcBorders>
            <w:vMerge w:val="continue"/>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47"/>
              <w:spacing w:after="0" w:line="185" w:lineRule="exact"/>
              <w:rPr>
                <w:sz w:val="20"/>
                <w:szCs w:val="20"/>
                <w:color w:val="auto"/>
              </w:rPr>
            </w:pPr>
            <w:r>
              <w:rPr>
                <w:rFonts w:ascii="Calibri" w:cs="Calibri" w:eastAsia="Calibri" w:hAnsi="Calibri"/>
                <w:sz w:val="16"/>
                <w:szCs w:val="16"/>
                <w:b w:val="1"/>
                <w:bCs w:val="1"/>
                <w:color w:val="auto"/>
              </w:rPr>
              <w:t>2025</w:t>
            </w:r>
          </w:p>
        </w:tc>
        <w:tc>
          <w:tcPr>
            <w:tcW w:w="20" w:type="dxa"/>
            <w:vAlign w:val="bottom"/>
            <w:tcBorders>
              <w:top w:val="single" w:sz="8" w:color="auto"/>
              <w:bottom w:val="single" w:sz="8" w:color="E5E5E5"/>
            </w:tcBorders>
          </w:tcPr>
          <w:p>
            <w:pPr>
              <w:spacing w:after="0"/>
              <w:rPr>
                <w:sz w:val="16"/>
                <w:szCs w:val="16"/>
                <w:color w:val="auto"/>
              </w:rPr>
            </w:pPr>
          </w:p>
        </w:tc>
        <w:tc>
          <w:tcPr>
            <w:tcW w:w="240" w:type="dxa"/>
            <w:vAlign w:val="bottom"/>
            <w:tcBorders>
              <w:top w:val="single" w:sz="8" w:color="auto"/>
              <w:bottom w:val="single" w:sz="8" w:color="E5E5E5"/>
            </w:tcBorders>
          </w:tcPr>
          <w:p>
            <w:pPr>
              <w:spacing w:after="0"/>
              <w:rPr>
                <w:sz w:val="16"/>
                <w:szCs w:val="16"/>
                <w:color w:val="auto"/>
              </w:rPr>
            </w:pPr>
          </w:p>
        </w:tc>
        <w:tc>
          <w:tcPr>
            <w:tcW w:w="20" w:type="dxa"/>
            <w:vAlign w:val="bottom"/>
            <w:tcBorders>
              <w:top w:val="single" w:sz="8" w:color="auto"/>
              <w:bottom w:val="single" w:sz="8" w:color="E5E5E5"/>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44"/>
              <w:spacing w:after="0" w:line="185" w:lineRule="exact"/>
              <w:rPr>
                <w:sz w:val="20"/>
                <w:szCs w:val="20"/>
                <w:color w:val="auto"/>
              </w:rPr>
            </w:pPr>
            <w:r>
              <w:rPr>
                <w:rFonts w:ascii="Calibri" w:cs="Calibri" w:eastAsia="Calibri" w:hAnsi="Calibri"/>
                <w:sz w:val="16"/>
                <w:szCs w:val="16"/>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6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Net cash used in operating activities</w:t>
            </w:r>
          </w:p>
        </w:tc>
        <w:tc>
          <w:tcPr>
            <w:tcW w:w="20" w:type="dxa"/>
            <w:vAlign w:val="bottom"/>
            <w:shd w:val="clear" w:color="auto" w:fill="E5E5E5"/>
          </w:tcPr>
          <w:p>
            <w:pPr>
              <w:spacing w:after="0"/>
              <w:rPr>
                <w:sz w:val="20"/>
                <w:szCs w:val="20"/>
                <w:color w:val="auto"/>
              </w:rPr>
            </w:pPr>
          </w:p>
        </w:tc>
        <w:tc>
          <w:tcPr>
            <w:tcW w:w="260" w:type="dxa"/>
            <w:vAlign w:val="bottom"/>
            <w:shd w:val="clear" w:color="auto" w:fill="E5E5E5"/>
          </w:tcPr>
          <w:p>
            <w:pPr>
              <w:jc w:val="right"/>
              <w:ind w:right="60"/>
              <w:spacing w:after="0" w:line="234" w:lineRule="exact"/>
              <w:rPr>
                <w:sz w:val="20"/>
                <w:szCs w:val="20"/>
                <w:color w:val="auto"/>
              </w:rPr>
            </w:pPr>
            <w:r>
              <w:rPr>
                <w:rFonts w:ascii="Calibri" w:cs="Calibri" w:eastAsia="Calibri" w:hAnsi="Calibri"/>
                <w:sz w:val="20"/>
                <w:szCs w:val="20"/>
                <w:color w:val="auto"/>
                <w:w w:val="78"/>
              </w:rPr>
              <w:t>$</w:t>
            </w:r>
          </w:p>
        </w:tc>
        <w:tc>
          <w:tcPr>
            <w:tcW w:w="960" w:type="dxa"/>
            <w:vAlign w:val="bottom"/>
            <w:gridSpan w:val="2"/>
            <w:shd w:val="clear" w:color="auto" w:fill="E5E5E5"/>
          </w:tcPr>
          <w:p>
            <w:pPr>
              <w:jc w:val="right"/>
              <w:ind w:right="20"/>
              <w:spacing w:after="0" w:line="234" w:lineRule="exact"/>
              <w:rPr>
                <w:sz w:val="20"/>
                <w:szCs w:val="20"/>
                <w:color w:val="auto"/>
              </w:rPr>
            </w:pPr>
            <w:r>
              <w:rPr>
                <w:rFonts w:ascii="Calibri" w:cs="Calibri" w:eastAsia="Calibri" w:hAnsi="Calibri"/>
                <w:sz w:val="20"/>
                <w:szCs w:val="20"/>
                <w:color w:val="auto"/>
              </w:rPr>
              <w:t>(138,513)</w:t>
            </w:r>
          </w:p>
        </w:tc>
        <w:tc>
          <w:tcPr>
            <w:tcW w:w="520" w:type="dxa"/>
            <w:vAlign w:val="bottom"/>
            <w:gridSpan w:val="3"/>
            <w:shd w:val="clear" w:color="auto" w:fill="E5E5E5"/>
          </w:tcPr>
          <w:p>
            <w:pPr>
              <w:jc w:val="right"/>
              <w:ind w:right="80"/>
              <w:spacing w:after="0" w:line="234" w:lineRule="exact"/>
              <w:rPr>
                <w:sz w:val="20"/>
                <w:szCs w:val="20"/>
                <w:color w:val="auto"/>
              </w:rPr>
            </w:pPr>
            <w:r>
              <w:rPr>
                <w:rFonts w:ascii="Calibri" w:cs="Calibri" w:eastAsia="Calibri" w:hAnsi="Calibri"/>
                <w:sz w:val="20"/>
                <w:szCs w:val="20"/>
                <w:color w:val="auto"/>
              </w:rPr>
              <w:t>$</w:t>
            </w:r>
          </w:p>
        </w:tc>
        <w:tc>
          <w:tcPr>
            <w:tcW w:w="94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(20,440)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8460" w:type="dxa"/>
            <w:vAlign w:val="bottom"/>
          </w:tcPr>
          <w:p>
            <w:pPr>
              <w:spacing w:after="0"/>
              <w:rPr>
                <w:sz w:val="20"/>
                <w:szCs w:val="20"/>
                <w:color w:val="auto"/>
              </w:rPr>
            </w:pPr>
            <w:r>
              <w:rPr>
                <w:rFonts w:ascii="Calibri" w:cs="Calibri" w:eastAsia="Calibri" w:hAnsi="Calibri"/>
                <w:sz w:val="20"/>
                <w:szCs w:val="20"/>
                <w:color w:val="auto"/>
              </w:rPr>
              <w:t>Net cash provided by investing activities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375,087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Calibri" w:cs="Calibri" w:eastAsia="Calibri" w:hAnsi="Calibri"/>
                <w:sz w:val="20"/>
                <w:szCs w:val="20"/>
                <w:color w:val="auto"/>
              </w:rPr>
              <w:t>230,321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8460" w:type="dxa"/>
            <w:vAlign w:val="bottom"/>
            <w:shd w:val="clear" w:color="auto" w:fill="E5E5E5"/>
          </w:tcPr>
          <w:p>
            <w:pPr>
              <w:spacing w:after="0"/>
              <w:rPr>
                <w:sz w:val="20"/>
                <w:szCs w:val="20"/>
                <w:color w:val="auto"/>
              </w:rPr>
            </w:pPr>
            <w:r>
              <w:rPr>
                <w:rFonts w:ascii="Calibri" w:cs="Calibri" w:eastAsia="Calibri" w:hAnsi="Calibri"/>
                <w:sz w:val="20"/>
                <w:szCs w:val="20"/>
                <w:color w:val="auto"/>
              </w:rPr>
              <w:t>Net cash used in financing activities</w:t>
            </w:r>
          </w:p>
        </w:tc>
        <w:tc>
          <w:tcPr>
            <w:tcW w:w="2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960" w:type="dxa"/>
            <w:vAlign w:val="bottom"/>
            <w:gridSpan w:val="2"/>
            <w:shd w:val="clear" w:color="auto" w:fill="E5E5E5"/>
          </w:tcPr>
          <w:p>
            <w:pPr>
              <w:jc w:val="right"/>
              <w:ind w:right="20"/>
              <w:spacing w:after="0"/>
              <w:rPr>
                <w:sz w:val="20"/>
                <w:szCs w:val="20"/>
                <w:color w:val="auto"/>
              </w:rPr>
            </w:pPr>
            <w:r>
              <w:rPr>
                <w:rFonts w:ascii="Calibri" w:cs="Calibri" w:eastAsia="Calibri" w:hAnsi="Calibri"/>
                <w:sz w:val="20"/>
                <w:szCs w:val="20"/>
                <w:color w:val="auto"/>
              </w:rPr>
              <w:t>(273,705)</w:t>
            </w:r>
          </w:p>
        </w:tc>
        <w:tc>
          <w:tcPr>
            <w:tcW w:w="240" w:type="dxa"/>
            <w:vAlign w:val="bottom"/>
            <w:shd w:val="clear" w:color="auto" w:fill="E5E5E5"/>
          </w:tcPr>
          <w:p>
            <w:pPr>
              <w:spacing w:after="0"/>
              <w:rPr>
                <w:sz w:val="23"/>
                <w:szCs w:val="23"/>
                <w:color w:val="auto"/>
              </w:rPr>
            </w:pPr>
          </w:p>
        </w:tc>
        <w:tc>
          <w:tcPr>
            <w:tcW w:w="20" w:type="dxa"/>
            <w:vAlign w:val="bottom"/>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9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(186,974)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460" w:type="dxa"/>
            <w:vAlign w:val="bottom"/>
            <w:tcBorders>
              <w:top w:val="single" w:sz="8" w:color="E5E5E5"/>
            </w:tcBorders>
          </w:tcPr>
          <w:p>
            <w:pPr>
              <w:spacing w:after="0" w:line="214" w:lineRule="exact"/>
              <w:rPr>
                <w:sz w:val="20"/>
                <w:szCs w:val="20"/>
                <w:color w:val="auto"/>
              </w:rPr>
            </w:pPr>
            <w:r>
              <w:rPr>
                <w:rFonts w:ascii="Calibri" w:cs="Calibri" w:eastAsia="Calibri" w:hAnsi="Calibri"/>
                <w:sz w:val="20"/>
                <w:szCs w:val="20"/>
                <w:color w:val="auto"/>
              </w:rPr>
              <w:t>Net increase (decrease) in cash, cash equivalents and restricted cash</w:t>
            </w:r>
          </w:p>
        </w:tc>
        <w:tc>
          <w:tcPr>
            <w:tcW w:w="20" w:type="dxa"/>
            <w:vAlign w:val="bottom"/>
            <w:tcBorders>
              <w:top w:val="single" w:sz="8" w:color="E5E5E5"/>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60"/>
              <w:spacing w:after="0" w:line="214" w:lineRule="exact"/>
              <w:rPr>
                <w:sz w:val="20"/>
                <w:szCs w:val="20"/>
                <w:color w:val="auto"/>
              </w:rPr>
            </w:pPr>
            <w:r>
              <w:rPr>
                <w:rFonts w:ascii="Calibri" w:cs="Calibri" w:eastAsia="Calibri" w:hAnsi="Calibri"/>
                <w:sz w:val="20"/>
                <w:szCs w:val="20"/>
                <w:color w:val="auto"/>
                <w:w w:val="78"/>
              </w:rPr>
              <w:t>$</w:t>
            </w:r>
          </w:p>
        </w:tc>
        <w:tc>
          <w:tcPr>
            <w:tcW w:w="940" w:type="dxa"/>
            <w:vAlign w:val="bottom"/>
            <w:tcBorders>
              <w:top w:val="single" w:sz="8" w:color="auto"/>
              <w:bottom w:val="single" w:sz="8" w:color="auto"/>
            </w:tcBorders>
          </w:tcPr>
          <w:p>
            <w:pPr>
              <w:jc w:val="right"/>
              <w:spacing w:after="0" w:line="214" w:lineRule="exact"/>
              <w:rPr>
                <w:sz w:val="20"/>
                <w:szCs w:val="20"/>
                <w:color w:val="auto"/>
              </w:rPr>
            </w:pPr>
            <w:r>
              <w:rPr>
                <w:rFonts w:ascii="Calibri" w:cs="Calibri" w:eastAsia="Calibri" w:hAnsi="Calibri"/>
                <w:sz w:val="20"/>
                <w:szCs w:val="20"/>
                <w:color w:val="auto"/>
              </w:rPr>
              <w:t>(37,131)</w:t>
            </w:r>
          </w:p>
        </w:tc>
        <w:tc>
          <w:tcPr>
            <w:tcW w:w="20" w:type="dxa"/>
            <w:vAlign w:val="bottom"/>
            <w:tcBorders>
              <w:top w:val="single" w:sz="8" w:color="E5E5E5"/>
              <w:bottom w:val="single" w:sz="8" w:color="auto"/>
            </w:tcBorders>
          </w:tcPr>
          <w:p>
            <w:pPr>
              <w:spacing w:after="0"/>
              <w:rPr>
                <w:sz w:val="19"/>
                <w:szCs w:val="19"/>
                <w:color w:val="auto"/>
              </w:rPr>
            </w:pPr>
          </w:p>
        </w:tc>
        <w:tc>
          <w:tcPr>
            <w:tcW w:w="240" w:type="dxa"/>
            <w:vAlign w:val="bottom"/>
            <w:tcBorders>
              <w:top w:val="single" w:sz="8" w:color="E5E5E5"/>
            </w:tcBorders>
          </w:tcPr>
          <w:p>
            <w:pPr>
              <w:spacing w:after="0"/>
              <w:rPr>
                <w:sz w:val="19"/>
                <w:szCs w:val="19"/>
                <w:color w:val="auto"/>
              </w:rPr>
            </w:pPr>
          </w:p>
        </w:tc>
        <w:tc>
          <w:tcPr>
            <w:tcW w:w="20" w:type="dxa"/>
            <w:vAlign w:val="bottom"/>
            <w:tcBorders>
              <w:top w:val="single" w:sz="8" w:color="E5E5E5"/>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60"/>
              <w:spacing w:after="0" w:line="214" w:lineRule="exact"/>
              <w:rPr>
                <w:sz w:val="20"/>
                <w:szCs w:val="20"/>
                <w:color w:val="auto"/>
              </w:rPr>
            </w:pPr>
            <w:r>
              <w:rPr>
                <w:rFonts w:ascii="Calibri" w:cs="Calibri" w:eastAsia="Calibri" w:hAnsi="Calibri"/>
                <w:sz w:val="20"/>
                <w:szCs w:val="20"/>
                <w:color w:val="auto"/>
                <w:w w:val="78"/>
              </w:rPr>
              <w:t>$</w:t>
            </w:r>
          </w:p>
        </w:tc>
        <w:tc>
          <w:tcPr>
            <w:tcW w:w="940" w:type="dxa"/>
            <w:vAlign w:val="bottom"/>
            <w:tcBorders>
              <w:top w:val="single" w:sz="8" w:color="auto"/>
              <w:bottom w:val="single" w:sz="8" w:color="auto"/>
            </w:tcBorders>
          </w:tcPr>
          <w:p>
            <w:pPr>
              <w:jc w:val="right"/>
              <w:spacing w:after="0" w:line="214" w:lineRule="exact"/>
              <w:rPr>
                <w:sz w:val="20"/>
                <w:szCs w:val="20"/>
                <w:color w:val="auto"/>
              </w:rPr>
            </w:pPr>
            <w:r>
              <w:rPr>
                <w:rFonts w:ascii="Calibri" w:cs="Calibri" w:eastAsia="Calibri" w:hAnsi="Calibri"/>
                <w:sz w:val="20"/>
                <w:szCs w:val="20"/>
                <w:color w:val="auto"/>
              </w:rPr>
              <w:t>22,907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72</w:t>
      </w:r>
    </w:p>
    <w:p>
      <w:pPr>
        <w:sectPr>
          <w:pgSz w:w="12240" w:h="15840" w:orient="portrait"/>
          <w:cols w:equalWidth="0" w:num="1">
            <w:col w:w="11160"/>
          </w:cols>
          <w:pgMar w:left="540" w:top="531" w:right="540" w:bottom="9" w:gutter="0" w:footer="0" w:header="0"/>
          <w:type w:val="continuous"/>
        </w:sectPr>
      </w:pPr>
    </w:p>
    <w:bookmarkStart w:id="74" w:name="page75"/>
    <w:bookmarkEnd w:id="74"/>
    <w:p>
      <w:pPr>
        <w:spacing w:after="0"/>
        <w:rPr>
          <w:sz w:val="20"/>
          <w:szCs w:val="20"/>
          <w:color w:val="auto"/>
        </w:rPr>
      </w:pPr>
      <w:r>
        <w:rPr>
          <w:rFonts w:ascii="Calibri" w:cs="Calibri" w:eastAsia="Calibri" w:hAnsi="Calibri"/>
          <w:sz w:val="20"/>
          <w:szCs w:val="20"/>
          <w:i w:val="1"/>
          <w:iCs w:val="1"/>
          <w:color w:val="auto"/>
        </w:rPr>
        <w:t>Net cash used in operating activities</w:t>
      </w:r>
    </w:p>
    <w:p>
      <w:pPr>
        <w:spacing w:after="0" w:line="238"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Net cash used in operating activities of $138.5 million and $20.4 million for 2025 and 2024, respectively, was primarily due to ongoing commercial activity, research and development activities and selling, general and administrative expenses to support those activities. Net income for 2025 and 2024 included, among other items: adjustments for gain on Sale Transactions, non-cash stock-based compensation expense, non-cash inventory write-downs, non-cash intangible asset write-downs net of contingent consideration, non-cash changes in fair values related to derivative liabilities, loss on debt extinguishment, and non-cash interest expense on financial liabilities related to revenue participation right purchase agreements and debt.</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Net cash provided by investing activities</w:t>
      </w:r>
    </w:p>
    <w:p>
      <w:pPr>
        <w:spacing w:after="0" w:line="238"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Cash provided by investing activities of $375.1 million in 2025 was primarily due to $470.3 million net cash received related to the Sale Transactions which primarily comprised the UDENYCA Sale, partially offset by $103.8 million in purchases of investments in marketable securities, the second out of two $12.5 million milestone payments to Junshi Biosciences and $4.7 million in retention bonus payments in connection with the CIMERLI Sale.</w:t>
      </w:r>
    </w:p>
    <w:p>
      <w:pPr>
        <w:spacing w:after="0" w:line="212"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Cash provided by investing activities of $230.3 million in 2024 was primarily due to a total of $227.8 million cash acquired from the CIMERLI Sale and YUSIMRY Sale, proceeds from the sale of investments in marketable securities of $8.7 million and proceeds from maturities of investments in marketable securities of $6.2 million, partially offset by the milestone payment to Junshi Biosciences of $12.5 million.</w:t>
      </w:r>
    </w:p>
    <w:p>
      <w:pPr>
        <w:spacing w:after="0" w:line="213"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Net cash (used in) provided by financing activities</w:t>
      </w:r>
    </w:p>
    <w:p>
      <w:pPr>
        <w:spacing w:after="0" w:line="238"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Cash used in financing activities of $273.7 million in 2025 was due to $233.2 million for repayment of substantially all the 2026 Convertible Notes and $47.7 million to buy out the right to receive royalties on net sales of UDENYCA in accordance with the Revenue Purchase and Sale Agreement.</w:t>
      </w:r>
    </w:p>
    <w:p>
      <w:pPr>
        <w:spacing w:after="0" w:line="207"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Cash used in financing activities of $187.0 million in 2024 was primarily due to $260.4 million in payments to fully repay the 2027 Term Loans (excluding interest which is presented as an operating activity) and $2.5 million in tax payments related to net share settlement of RSUs. These payments were partially offset by $37.0 million of proceeds on the 2029 Term Loan, net of debt discount and issuance costs, $36.5 million of proceeds from the Revenue Purchase and Sale Agreement, net of issuance costs, and $1.5 million in proceeds from sales under the Sales Agreement, net of issuance costs.</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Discontinued operations</w:t>
      </w:r>
    </w:p>
    <w:p>
      <w:pPr>
        <w:spacing w:after="0" w:line="239"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Cash flows from continuing operations and discontinued operations have been presented together in the consolidated statements of cash flows. During the year ended December 31, 2025, operating cash flows of discontinued operations were primarily related to the adjustment for the net gain on UDENYCA Sale of $338.3 million, partially offset by the $11.8 million change in fair value for the UDENYCA portion of the Royalty Fee Derivative Liability and a loss on debt extinguishment of $10.3 million. During the year ended December 31, 2024, operating cash flows of discontinued operations were primarily related to the adjustment for the net gain on Sale Transactions of $176.6 million and an increase in UDENYCA inventory which resulted in a net cash outflow of $15.5 million.</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Critical Accounting Estimates</w:t>
      </w:r>
    </w:p>
    <w:p>
      <w:pPr>
        <w:spacing w:after="0" w:line="241"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The preparation of our consolidated financial statements in accordance with United States generally accepted accounting principles (“U.S. GAAP”) requires us to make estimates and assumptions that affect the reported amounts of assets and liabilities and the disclosure of contingent assets and liabilities at the date of the consolidated financial statements, as well as the reported revenue generated and expense incurred during the reporting periods. “Note 1. Organization and Significant Accounting Policies” in the Notes to Consolidated Financial Statements in Part II, Item 8 of this Form 10-K describes the significant accounting policies and methods used in the preparation of our consolidated financial statements. Our estimates are based on our historical experience and on various other factors that we believe to be reasonable under the circumstances. These estimates form the basis for making judgments about the carrying value of assets and liabilities that are not readily apparent from other sources.</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Product Sales Discounts and Allowances</w:t>
      </w:r>
    </w:p>
    <w:p>
      <w:pPr>
        <w:spacing w:after="0" w:line="241" w:lineRule="exact"/>
        <w:rPr>
          <w:sz w:val="20"/>
          <w:szCs w:val="20"/>
          <w:color w:val="auto"/>
        </w:rPr>
      </w:pPr>
    </w:p>
    <w:p>
      <w:pPr>
        <w:jc w:val="both"/>
        <w:ind w:firstLine="720"/>
        <w:spacing w:after="0" w:line="287" w:lineRule="auto"/>
        <w:rPr>
          <w:sz w:val="20"/>
          <w:szCs w:val="20"/>
          <w:color w:val="auto"/>
        </w:rPr>
      </w:pPr>
      <w:r>
        <w:rPr>
          <w:rFonts w:ascii="Calibri" w:cs="Calibri" w:eastAsia="Calibri" w:hAnsi="Calibri"/>
          <w:sz w:val="19"/>
          <w:szCs w:val="19"/>
          <w:color w:val="auto"/>
        </w:rPr>
        <w:t>We recognize revenue when a customer obtains control of the product, which generally occurs upon delivery to the customer. The amount recognized in net revenue reflects the consideration which we expect to receive in exchange for product sold, which includes</w:t>
      </w:r>
    </w:p>
    <w:p>
      <w:pPr>
        <w:sectPr>
          <w:pgSz w:w="12240" w:h="15840" w:orient="portrait"/>
          <w:cols w:equalWidth="0" w:num="1">
            <w:col w:w="11160"/>
          </w:cols>
          <w:pgMar w:left="540" w:top="533" w:right="540" w:bottom="9"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73</w:t>
      </w:r>
    </w:p>
    <w:p>
      <w:pPr>
        <w:sectPr>
          <w:pgSz w:w="12240" w:h="15840" w:orient="portrait"/>
          <w:cols w:equalWidth="0" w:num="1">
            <w:col w:w="11160"/>
          </w:cols>
          <w:pgMar w:left="540" w:top="533" w:right="540" w:bottom="9" w:gutter="0" w:footer="0" w:header="0"/>
          <w:type w:val="continuous"/>
        </w:sectPr>
      </w:pPr>
    </w:p>
    <w:bookmarkStart w:id="75" w:name="page76"/>
    <w:bookmarkEnd w:id="75"/>
    <w:p>
      <w:pPr>
        <w:jc w:val="both"/>
        <w:spacing w:after="0" w:line="247" w:lineRule="auto"/>
        <w:rPr>
          <w:sz w:val="20"/>
          <w:szCs w:val="20"/>
          <w:color w:val="auto"/>
        </w:rPr>
      </w:pPr>
      <w:r>
        <w:rPr>
          <w:rFonts w:ascii="Calibri" w:cs="Calibri" w:eastAsia="Calibri" w:hAnsi="Calibri"/>
          <w:sz w:val="20"/>
          <w:szCs w:val="20"/>
          <w:color w:val="auto"/>
        </w:rPr>
        <w:t>adjustments to gross sales amounts for estimated chargebacks, rebates, discounts for prompt payment, co-payment assistance, product returns and other allowances. The actual amount of consideration ultimately received may differ from our estimates. If actual results in the future vary from our estimates, the estimates will be adjusted, which will affect net product revenue in the period that such variances become known.</w:t>
      </w:r>
    </w:p>
    <w:p>
      <w:pPr>
        <w:spacing w:after="0" w:line="212"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The most judgmental gross to net revenue adjustments are for chargebacks and rebates we provide to customers, hospitals, clinics, and payers under commercial and government programs. Amounts payable are provided for under various programs and vary by payer and individual payer plans. In developing our estimates of chargebacks and rebates, we use our historical claims experience and also consider payer mix, statutory discount rates and expected utilization, contractual terms, market events and trends, customer and commercially available payer data, as well as data collected from the healthcare providers, channel inventory data obtained from our customers and other relevant information.</w:t>
      </w:r>
    </w:p>
    <w:p>
      <w:pPr>
        <w:spacing w:after="0" w:line="215"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In 2025 and 2024, total sales deductions to gross product sales for our continuing operations were 24% and 20%, respectively. Adjustments to provisions for rebates and chargebacks related to sales made in prior periods were less than 2% of the actual payments and customer credits issued in each respective year. A change of 10% in our total provisions for product sales discounts and allowances as of December 31, 2025, would have resulted in a change of our pre-tax loss from continuing operations in 2025 by approximately $0.4 million. A summary of the activities and ending reserve balances for each significant category of discounts and allowances, can be found in “Note 2. Revenue” in the Notes to Consolidated Financial Statements in Part II, Item 8 of this Form 10-K.</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Recent Accounting Pronouncements</w:t>
      </w:r>
    </w:p>
    <w:p>
      <w:pPr>
        <w:spacing w:after="0" w:line="240"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For a description of the impact of recent accounting pronouncements, see “Note 1. Organization and Significant Accounting Policies” in the Notes to Consolidated Financial Statements contained in Part II, Item 8 of this Annual Report on Form 10-K.</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7A.  Quantitative and Qualitative Disclosures about Market Risk</w:t>
      </w:r>
    </w:p>
    <w:p>
      <w:pPr>
        <w:spacing w:after="0" w:line="240" w:lineRule="exact"/>
        <w:rPr>
          <w:sz w:val="20"/>
          <w:szCs w:val="20"/>
          <w:color w:val="auto"/>
        </w:rPr>
      </w:pPr>
    </w:p>
    <w:p>
      <w:pPr>
        <w:jc w:val="both"/>
        <w:ind w:firstLine="720"/>
        <w:spacing w:after="0" w:line="263" w:lineRule="auto"/>
        <w:rPr>
          <w:sz w:val="20"/>
          <w:szCs w:val="20"/>
          <w:color w:val="auto"/>
        </w:rPr>
      </w:pPr>
      <w:r>
        <w:rPr>
          <w:rFonts w:ascii="Calibri" w:cs="Calibri" w:eastAsia="Calibri" w:hAnsi="Calibri"/>
          <w:sz w:val="20"/>
          <w:szCs w:val="20"/>
          <w:color w:val="auto"/>
        </w:rPr>
        <w:t>We are a smaller reporting company as defined by Rule 12b - 2 of the Exchange Act, and in Item 10(f)(1) of Regulation S-K, therefore this disclosure item is not applicable.</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74</w:t>
      </w:r>
    </w:p>
    <w:p>
      <w:pPr>
        <w:sectPr>
          <w:pgSz w:w="12240" w:h="15840" w:orient="portrait"/>
          <w:cols w:equalWidth="0" w:num="1">
            <w:col w:w="11160"/>
          </w:cols>
          <w:pgMar w:left="540" w:top="532" w:right="540" w:bottom="9" w:gutter="0" w:footer="0" w:header="0"/>
          <w:type w:val="continuous"/>
        </w:sectPr>
      </w:pPr>
    </w:p>
    <w:bookmarkStart w:id="76" w:name="page77"/>
    <w:bookmarkEnd w:id="76"/>
    <w:p>
      <w:pPr>
        <w:spacing w:after="0"/>
        <w:rPr>
          <w:sz w:val="20"/>
          <w:szCs w:val="20"/>
          <w:color w:val="auto"/>
        </w:rPr>
      </w:pPr>
      <w:r>
        <w:rPr>
          <w:rFonts w:ascii="Calibri" w:cs="Calibri" w:eastAsia="Calibri" w:hAnsi="Calibri"/>
          <w:sz w:val="20"/>
          <w:szCs w:val="20"/>
          <w:b w:val="1"/>
          <w:bCs w:val="1"/>
          <w:color w:val="auto"/>
        </w:rPr>
        <w:t xml:space="preserve">Item 8.  </w:t>
      </w:r>
      <w:r>
        <w:rPr>
          <w:rFonts w:ascii="Calibri" w:cs="Calibri" w:eastAsia="Calibri" w:hAnsi="Calibri"/>
          <w:sz w:val="20"/>
          <w:szCs w:val="20"/>
          <w:b w:val="1"/>
          <w:bCs w:val="1"/>
          <w:i w:val="1"/>
          <w:iCs w:val="1"/>
          <w:color w:val="auto"/>
        </w:rPr>
        <w:t>Consolidated Financial Statements and Supplementary Data</w:t>
      </w:r>
    </w:p>
    <w:p>
      <w:pPr>
        <w:spacing w:after="0" w:line="239" w:lineRule="exact"/>
        <w:rPr>
          <w:sz w:val="20"/>
          <w:szCs w:val="20"/>
          <w:color w:val="auto"/>
        </w:rPr>
      </w:pPr>
    </w:p>
    <w:p>
      <w:pPr>
        <w:ind w:left="4460"/>
        <w:spacing w:after="0"/>
        <w:rPr>
          <w:sz w:val="20"/>
          <w:szCs w:val="20"/>
          <w:color w:val="auto"/>
        </w:rPr>
      </w:pPr>
      <w:r>
        <w:rPr>
          <w:rFonts w:ascii="Calibri" w:cs="Calibri" w:eastAsia="Calibri" w:hAnsi="Calibri"/>
          <w:sz w:val="20"/>
          <w:szCs w:val="20"/>
          <w:b w:val="1"/>
          <w:bCs w:val="1"/>
          <w:color w:val="auto"/>
        </w:rPr>
        <w:t>COHERUS ONCOLOGY, INC.</w:t>
      </w:r>
    </w:p>
    <w:p>
      <w:pPr>
        <w:spacing w:after="0" w:line="241" w:lineRule="exact"/>
        <w:rPr>
          <w:sz w:val="20"/>
          <w:szCs w:val="20"/>
          <w:color w:val="auto"/>
        </w:rPr>
      </w:pPr>
    </w:p>
    <w:p>
      <w:pPr>
        <w:ind w:left="4220"/>
        <w:spacing w:after="0"/>
        <w:rPr>
          <w:sz w:val="20"/>
          <w:szCs w:val="20"/>
          <w:color w:val="auto"/>
        </w:rPr>
      </w:pPr>
      <w:r>
        <w:rPr>
          <w:rFonts w:ascii="Calibri" w:cs="Calibri" w:eastAsia="Calibri" w:hAnsi="Calibri"/>
          <w:sz w:val="20"/>
          <w:szCs w:val="20"/>
          <w:b w:val="1"/>
          <w:bCs w:val="1"/>
          <w:color w:val="auto"/>
        </w:rPr>
        <w:t>ANNUAL REPORT ON FORM 10 - K</w:t>
      </w:r>
    </w:p>
    <w:p>
      <w:pPr>
        <w:spacing w:after="0" w:line="238" w:lineRule="exact"/>
        <w:rPr>
          <w:sz w:val="20"/>
          <w:szCs w:val="20"/>
          <w:color w:val="auto"/>
        </w:rPr>
      </w:pPr>
    </w:p>
    <w:p>
      <w:pPr>
        <w:ind w:left="3060"/>
        <w:spacing w:after="0"/>
        <w:rPr>
          <w:sz w:val="20"/>
          <w:szCs w:val="20"/>
          <w:color w:val="auto"/>
        </w:rPr>
      </w:pPr>
      <w:r>
        <w:rPr>
          <w:rFonts w:ascii="Calibri" w:cs="Calibri" w:eastAsia="Calibri" w:hAnsi="Calibri"/>
          <w:sz w:val="20"/>
          <w:szCs w:val="20"/>
          <w:b w:val="1"/>
          <w:bCs w:val="1"/>
          <w:color w:val="auto"/>
        </w:rPr>
        <w:t>INDEX TO AUDITED CONSOLIDATED FINANCIAL STATEMENTS</w:t>
      </w:r>
    </w:p>
    <w:p>
      <w:pPr>
        <w:spacing w:after="0" w:line="268" w:lineRule="exact"/>
        <w:rPr>
          <w:sz w:val="20"/>
          <w:szCs w:val="20"/>
          <w:color w:val="auto"/>
        </w:rPr>
      </w:pPr>
    </w:p>
    <w:p>
      <w:pPr>
        <w:ind w:left="10560"/>
        <w:spacing w:after="0"/>
        <w:rPr>
          <w:sz w:val="20"/>
          <w:szCs w:val="20"/>
          <w:color w:val="auto"/>
        </w:rPr>
      </w:pPr>
      <w:r>
        <w:rPr>
          <w:rFonts w:ascii="Calibri" w:cs="Calibri" w:eastAsia="Calibri" w:hAnsi="Calibri"/>
          <w:sz w:val="16"/>
          <w:szCs w:val="16"/>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6540500</wp:posOffset>
                </wp:positionH>
                <wp:positionV relativeFrom="paragraph">
                  <wp:posOffset>14605</wp:posOffset>
                </wp:positionV>
                <wp:extent cx="54102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102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5pt,1.15pt" to="557.6pt,1.15pt" o:allowincell="f" strokecolor="#000000" strokeweight="0.9599pt"/>
            </w:pict>
          </mc:Fallback>
        </mc:AlternateContent>
      </w:r>
    </w:p>
    <w:p>
      <w:pPr>
        <w:spacing w:after="0" w:line="4" w:lineRule="exact"/>
        <w:rPr>
          <w:sz w:val="20"/>
          <w:szCs w:val="20"/>
          <w:color w:val="auto"/>
        </w:rPr>
      </w:pPr>
    </w:p>
    <w:p>
      <w:pPr>
        <w:spacing w:after="0"/>
        <w:tabs>
          <w:tab w:leader="none" w:pos="10940" w:val="left"/>
        </w:tabs>
        <w:rPr>
          <w:sz w:val="20"/>
          <w:szCs w:val="20"/>
          <w:color w:val="auto"/>
        </w:rPr>
      </w:pPr>
      <w:r>
        <w:rPr>
          <w:rFonts w:ascii="Calibri" w:cs="Calibri" w:eastAsia="Calibri" w:hAnsi="Calibri"/>
          <w:sz w:val="20"/>
          <w:szCs w:val="20"/>
          <w:color w:val="auto"/>
        </w:rPr>
        <w:t>Report of Independent Registered Public Accounting Firm (PCAOB ID 42) . . . . . . . . . . . . . . . . . . . . . . . . . . . . . . . . . . . . . . . . . . . .</w:t>
      </w:r>
      <w:r>
        <w:rPr>
          <w:sz w:val="20"/>
          <w:szCs w:val="20"/>
          <w:color w:val="auto"/>
        </w:rPr>
        <w:tab/>
      </w:r>
      <w:r>
        <w:rPr>
          <w:rFonts w:ascii="Calibri" w:cs="Calibri" w:eastAsia="Calibri" w:hAnsi="Calibri"/>
          <w:sz w:val="19"/>
          <w:szCs w:val="19"/>
          <w:color w:val="auto"/>
        </w:rPr>
        <w:t>76</w:t>
      </w:r>
    </w:p>
    <w:p>
      <w:pPr>
        <w:spacing w:after="0" w:line="16" w:lineRule="exact"/>
        <w:rPr>
          <w:sz w:val="20"/>
          <w:szCs w:val="20"/>
          <w:color w:val="auto"/>
        </w:rPr>
      </w:pPr>
    </w:p>
    <w:p>
      <w:pPr>
        <w:spacing w:after="0"/>
        <w:rPr>
          <w:sz w:val="20"/>
          <w:szCs w:val="20"/>
          <w:color w:val="auto"/>
        </w:rPr>
      </w:pPr>
      <w:r>
        <w:rPr>
          <w:rFonts w:ascii="Calibri" w:cs="Calibri" w:eastAsia="Calibri" w:hAnsi="Calibri"/>
          <w:sz w:val="20"/>
          <w:szCs w:val="20"/>
          <w:color w:val="auto"/>
        </w:rPr>
        <w:t>Audited Consolidated Financial Statements</w:t>
      </w:r>
    </w:p>
    <w:p>
      <w:pPr>
        <w:ind w:left="480"/>
        <w:spacing w:after="0"/>
        <w:tabs>
          <w:tab w:leader="none" w:pos="10940" w:val="left"/>
        </w:tabs>
        <w:rPr>
          <w:sz w:val="20"/>
          <w:szCs w:val="20"/>
          <w:color w:val="auto"/>
        </w:rPr>
      </w:pPr>
      <w:r>
        <w:rPr>
          <w:rFonts w:ascii="Calibri" w:cs="Calibri" w:eastAsia="Calibri" w:hAnsi="Calibri"/>
          <w:sz w:val="20"/>
          <w:szCs w:val="20"/>
          <w:color w:val="auto"/>
        </w:rPr>
        <w:t>Consolidated Balance Sheets. . . . . . . . . . . . . . . . . . . . . . . . . . . . . . . . . . . . . . . . . . . . . . . . . . . . . . . . . . . . . . . . . . . . . . . . . . . .</w:t>
      </w:r>
      <w:r>
        <w:rPr>
          <w:sz w:val="20"/>
          <w:szCs w:val="20"/>
          <w:color w:val="auto"/>
        </w:rPr>
        <w:tab/>
      </w:r>
      <w:r>
        <w:rPr>
          <w:rFonts w:ascii="Calibri" w:cs="Calibri" w:eastAsia="Calibri" w:hAnsi="Calibri"/>
          <w:sz w:val="19"/>
          <w:szCs w:val="19"/>
          <w:color w:val="auto"/>
        </w:rPr>
        <w:t>78</w:t>
      </w:r>
    </w:p>
    <w:p>
      <w:pPr>
        <w:ind w:left="480"/>
        <w:spacing w:after="0"/>
        <w:tabs>
          <w:tab w:leader="none" w:pos="10920" w:val="left"/>
        </w:tabs>
        <w:rPr>
          <w:sz w:val="20"/>
          <w:szCs w:val="20"/>
          <w:color w:val="auto"/>
        </w:rPr>
      </w:pPr>
      <w:r>
        <w:rPr>
          <w:rFonts w:ascii="Calibri" w:cs="Calibri" w:eastAsia="Calibri" w:hAnsi="Calibri"/>
          <w:sz w:val="20"/>
          <w:szCs w:val="20"/>
          <w:color w:val="auto"/>
        </w:rPr>
        <w:t>Consolidated Statements of Operations . . . . . . . . . . . . . . . . . . . . . . . . . . . . . . . . . . . . . . . . . . . . . . . . . . . . . . . . . . . . . . . . . .</w:t>
      </w:r>
      <w:r>
        <w:rPr>
          <w:sz w:val="20"/>
          <w:szCs w:val="20"/>
          <w:color w:val="auto"/>
        </w:rPr>
        <w:tab/>
      </w:r>
      <w:r>
        <w:rPr>
          <w:rFonts w:ascii="Calibri" w:cs="Calibri" w:eastAsia="Calibri" w:hAnsi="Calibri"/>
          <w:sz w:val="19"/>
          <w:szCs w:val="19"/>
          <w:color w:val="auto"/>
        </w:rPr>
        <w:t>79</w:t>
      </w:r>
    </w:p>
    <w:p>
      <w:pPr>
        <w:ind w:left="480"/>
        <w:spacing w:after="0"/>
        <w:tabs>
          <w:tab w:leader="none" w:pos="10940" w:val="left"/>
        </w:tabs>
        <w:rPr>
          <w:sz w:val="20"/>
          <w:szCs w:val="20"/>
          <w:color w:val="auto"/>
        </w:rPr>
      </w:pPr>
      <w:r>
        <w:rPr>
          <w:rFonts w:ascii="Calibri" w:cs="Calibri" w:eastAsia="Calibri" w:hAnsi="Calibri"/>
          <w:sz w:val="20"/>
          <w:szCs w:val="20"/>
          <w:color w:val="auto"/>
        </w:rPr>
        <w:t>Consolidated Statements of Comprehensive Income  . . . . . . . . . . . . . . . . . . . . . . . . . . . . . . . . . . . . . . . . . . . . . . . . . . . . . . .</w:t>
      </w:r>
      <w:r>
        <w:rPr>
          <w:sz w:val="20"/>
          <w:szCs w:val="20"/>
          <w:color w:val="auto"/>
        </w:rPr>
        <w:tab/>
      </w:r>
      <w:r>
        <w:rPr>
          <w:rFonts w:ascii="Calibri" w:cs="Calibri" w:eastAsia="Calibri" w:hAnsi="Calibri"/>
          <w:sz w:val="19"/>
          <w:szCs w:val="19"/>
          <w:color w:val="auto"/>
        </w:rPr>
        <w:t>80</w:t>
      </w:r>
    </w:p>
    <w:p>
      <w:pPr>
        <w:ind w:left="480"/>
        <w:spacing w:after="0"/>
        <w:tabs>
          <w:tab w:leader="none" w:pos="10940" w:val="left"/>
        </w:tabs>
        <w:rPr>
          <w:sz w:val="20"/>
          <w:szCs w:val="20"/>
          <w:color w:val="auto"/>
        </w:rPr>
      </w:pPr>
      <w:r>
        <w:rPr>
          <w:rFonts w:ascii="Calibri" w:cs="Calibri" w:eastAsia="Calibri" w:hAnsi="Calibri"/>
          <w:sz w:val="20"/>
          <w:szCs w:val="20"/>
          <w:color w:val="auto"/>
        </w:rPr>
        <w:t>Consolidated Statements of Stockholders’ Equity (Deficit) . . . . . . . . . . . . . . . . . . . . . . . . . . . . . . . . . . . . . . . . . . . . . . . . . . .</w:t>
      </w:r>
      <w:r>
        <w:rPr>
          <w:sz w:val="20"/>
          <w:szCs w:val="20"/>
          <w:color w:val="auto"/>
        </w:rPr>
        <w:tab/>
      </w:r>
      <w:r>
        <w:rPr>
          <w:rFonts w:ascii="Calibri" w:cs="Calibri" w:eastAsia="Calibri" w:hAnsi="Calibri"/>
          <w:sz w:val="19"/>
          <w:szCs w:val="19"/>
          <w:color w:val="auto"/>
        </w:rPr>
        <w:t>81</w:t>
      </w:r>
    </w:p>
    <w:p>
      <w:pPr>
        <w:ind w:left="480"/>
        <w:spacing w:after="0"/>
        <w:tabs>
          <w:tab w:leader="none" w:pos="10940" w:val="left"/>
        </w:tabs>
        <w:rPr>
          <w:sz w:val="20"/>
          <w:szCs w:val="20"/>
          <w:color w:val="auto"/>
        </w:rPr>
      </w:pPr>
      <w:r>
        <w:rPr>
          <w:rFonts w:ascii="Calibri" w:cs="Calibri" w:eastAsia="Calibri" w:hAnsi="Calibri"/>
          <w:sz w:val="20"/>
          <w:szCs w:val="20"/>
          <w:color w:val="auto"/>
        </w:rPr>
        <w:t>Consolidated Statements of Cash Flows . . . . . . . . . . . . . . . . . . . . . . . . . . . . . . . . . . . . . . . . . . . . . . . . . . . . . . . . . . . . . . . . . . .</w:t>
      </w:r>
      <w:r>
        <w:rPr>
          <w:sz w:val="20"/>
          <w:szCs w:val="20"/>
          <w:color w:val="auto"/>
        </w:rPr>
        <w:tab/>
      </w:r>
      <w:r>
        <w:rPr>
          <w:rFonts w:ascii="Calibri" w:cs="Calibri" w:eastAsia="Calibri" w:hAnsi="Calibri"/>
          <w:sz w:val="19"/>
          <w:szCs w:val="19"/>
          <w:color w:val="auto"/>
        </w:rPr>
        <w:t>82</w:t>
      </w:r>
    </w:p>
    <w:p>
      <w:pPr>
        <w:ind w:left="480"/>
        <w:spacing w:after="0"/>
        <w:tabs>
          <w:tab w:leader="none" w:pos="10940" w:val="left"/>
        </w:tabs>
        <w:rPr>
          <w:sz w:val="20"/>
          <w:szCs w:val="20"/>
          <w:color w:val="auto"/>
        </w:rPr>
      </w:pPr>
      <w:r>
        <w:rPr>
          <w:rFonts w:ascii="Calibri" w:cs="Calibri" w:eastAsia="Calibri" w:hAnsi="Calibri"/>
          <w:sz w:val="20"/>
          <w:szCs w:val="20"/>
          <w:color w:val="auto"/>
        </w:rPr>
        <w:t>Notes to Consolidated Financial Statements . . . . . . . . . . . . . . . . . . . . . . . . . . . . . . . . . . . . . . . . . . . . . . . . . . . . . . . . . . . . . . .</w:t>
      </w:r>
      <w:r>
        <w:rPr>
          <w:sz w:val="20"/>
          <w:szCs w:val="20"/>
          <w:color w:val="auto"/>
        </w:rPr>
        <w:tab/>
      </w:r>
      <w:r>
        <w:rPr>
          <w:rFonts w:ascii="Calibri" w:cs="Calibri" w:eastAsia="Calibri" w:hAnsi="Calibri"/>
          <w:sz w:val="19"/>
          <w:szCs w:val="19"/>
          <w:color w:val="auto"/>
        </w:rPr>
        <w:t>83</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75</w:t>
      </w:r>
    </w:p>
    <w:p>
      <w:pPr>
        <w:sectPr>
          <w:pgSz w:w="12240" w:h="15840" w:orient="portrait"/>
          <w:cols w:equalWidth="0" w:num="1">
            <w:col w:w="11160"/>
          </w:cols>
          <w:pgMar w:left="540" w:top="531" w:right="540" w:bottom="9" w:gutter="0" w:footer="0" w:header="0"/>
          <w:type w:val="continuous"/>
        </w:sectPr>
      </w:pPr>
    </w:p>
    <w:bookmarkStart w:id="77" w:name="page78"/>
    <w:bookmarkEnd w:id="77"/>
    <w:p>
      <w:pPr>
        <w:jc w:val="center"/>
        <w:spacing w:after="0"/>
        <w:rPr>
          <w:sz w:val="20"/>
          <w:szCs w:val="20"/>
          <w:color w:val="auto"/>
        </w:rPr>
      </w:pPr>
      <w:r>
        <w:rPr>
          <w:rFonts w:ascii="Calibri" w:cs="Calibri" w:eastAsia="Calibri" w:hAnsi="Calibri"/>
          <w:sz w:val="20"/>
          <w:szCs w:val="20"/>
          <w:b w:val="1"/>
          <w:bCs w:val="1"/>
          <w:color w:val="auto"/>
        </w:rPr>
        <w:t>Report of Independent Registered Public Accounting Firm</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color w:val="auto"/>
        </w:rPr>
        <w:t>To the Stockholders and Board of Directors of Coherus Oncology, Inc.</w:t>
      </w:r>
    </w:p>
    <w:p>
      <w:pPr>
        <w:spacing w:after="0" w:line="23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Opinion on the Financial Statements</w:t>
      </w:r>
    </w:p>
    <w:p>
      <w:pPr>
        <w:spacing w:after="0" w:line="240" w:lineRule="exact"/>
        <w:rPr>
          <w:sz w:val="20"/>
          <w:szCs w:val="20"/>
          <w:color w:val="auto"/>
        </w:rPr>
      </w:pPr>
    </w:p>
    <w:p>
      <w:pPr>
        <w:jc w:val="both"/>
        <w:spacing w:after="0" w:line="244" w:lineRule="auto"/>
        <w:rPr>
          <w:sz w:val="20"/>
          <w:szCs w:val="20"/>
          <w:color w:val="auto"/>
        </w:rPr>
      </w:pPr>
      <w:r>
        <w:rPr>
          <w:rFonts w:ascii="Calibri" w:cs="Calibri" w:eastAsia="Calibri" w:hAnsi="Calibri"/>
          <w:sz w:val="20"/>
          <w:szCs w:val="20"/>
          <w:color w:val="auto"/>
        </w:rPr>
        <w:t>We have audited the accompanying consolidated balance sheets of Coherus Oncology, Inc. (the Company) as of December 31, 2025 and 2024, the related consolidated statements of operations, comprehensive income, stockholders' equity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216" w:lineRule="exact"/>
        <w:rPr>
          <w:sz w:val="20"/>
          <w:szCs w:val="20"/>
          <w:color w:val="auto"/>
        </w:rPr>
      </w:pPr>
    </w:p>
    <w:p>
      <w:pPr>
        <w:jc w:val="both"/>
        <w:spacing w:after="0" w:line="247" w:lineRule="auto"/>
        <w:rPr>
          <w:sz w:val="20"/>
          <w:szCs w:val="20"/>
          <w:color w:val="auto"/>
        </w:rPr>
      </w:pPr>
      <w:r>
        <w:rPr>
          <w:rFonts w:ascii="Calibri" w:cs="Calibri" w:eastAsia="Calibri" w:hAnsi="Calibri"/>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9, 2026 expressed an unqualified opinion thereon.</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Basis for Opinion</w:t>
      </w:r>
    </w:p>
    <w:p>
      <w:pPr>
        <w:spacing w:after="0" w:line="240" w:lineRule="exact"/>
        <w:rPr>
          <w:sz w:val="20"/>
          <w:szCs w:val="20"/>
          <w:color w:val="auto"/>
        </w:rPr>
      </w:pPr>
    </w:p>
    <w:p>
      <w:pPr>
        <w:jc w:val="both"/>
        <w:spacing w:after="0" w:line="247" w:lineRule="auto"/>
        <w:rPr>
          <w:sz w:val="20"/>
          <w:szCs w:val="20"/>
          <w:color w:val="auto"/>
        </w:rPr>
      </w:pPr>
      <w:r>
        <w:rPr>
          <w:rFonts w:ascii="Calibri" w:cs="Calibri" w:eastAsia="Calibri" w:hAnsi="Calibri"/>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43" w:lineRule="auto"/>
        <w:rPr>
          <w:sz w:val="20"/>
          <w:szCs w:val="20"/>
          <w:color w:val="auto"/>
        </w:rPr>
      </w:pPr>
      <w:r>
        <w:rPr>
          <w:rFonts w:ascii="Calibri" w:cs="Calibri" w:eastAsia="Calibri" w:hAnsi="Calibri"/>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Critical Audit Matter</w:t>
      </w:r>
    </w:p>
    <w:p>
      <w:pPr>
        <w:spacing w:after="0" w:line="265" w:lineRule="exact"/>
        <w:rPr>
          <w:sz w:val="20"/>
          <w:szCs w:val="20"/>
          <w:color w:val="auto"/>
        </w:rPr>
      </w:pPr>
    </w:p>
    <w:p>
      <w:pPr>
        <w:jc w:val="both"/>
        <w:ind w:right="100"/>
        <w:spacing w:after="0" w:line="244" w:lineRule="auto"/>
        <w:rPr>
          <w:sz w:val="20"/>
          <w:szCs w:val="20"/>
          <w:color w:val="auto"/>
        </w:rPr>
      </w:pPr>
      <w:r>
        <w:rPr>
          <w:rFonts w:ascii="Calibri" w:cs="Calibri" w:eastAsia="Calibri" w:hAnsi="Calibri"/>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76</w:t>
      </w:r>
    </w:p>
    <w:p>
      <w:pPr>
        <w:sectPr>
          <w:pgSz w:w="12240" w:h="15840" w:orient="portrait"/>
          <w:cols w:equalWidth="0" w:num="1">
            <w:col w:w="11160"/>
          </w:cols>
          <w:pgMar w:left="540" w:top="531" w:right="540" w:bottom="9" w:gutter="0" w:footer="0" w:header="0"/>
          <w:type w:val="continuous"/>
        </w:sectPr>
      </w:pPr>
    </w:p>
    <w:bookmarkStart w:id="78" w:name="page79"/>
    <w:bookmarkEnd w:id="78"/>
    <w:p>
      <w:pPr>
        <w:ind w:left="1600"/>
        <w:spacing w:after="0"/>
        <w:rPr>
          <w:sz w:val="20"/>
          <w:szCs w:val="20"/>
          <w:color w:val="auto"/>
        </w:rPr>
      </w:pPr>
      <w:r>
        <w:rPr>
          <w:rFonts w:ascii="Calibri" w:cs="Calibri" w:eastAsia="Calibri" w:hAnsi="Calibri"/>
          <w:sz w:val="20"/>
          <w:szCs w:val="20"/>
          <w:b w:val="1"/>
          <w:bCs w:val="1"/>
          <w:i w:val="1"/>
          <w:iCs w:val="1"/>
          <w:color w:val="auto"/>
        </w:rPr>
        <w:t>Net product revenue</w:t>
      </w:r>
    </w:p>
    <w:p>
      <w:pPr>
        <w:spacing w:after="0" w:line="240" w:lineRule="exact"/>
        <w:rPr>
          <w:sz w:val="20"/>
          <w:szCs w:val="20"/>
          <w:color w:val="auto"/>
        </w:rPr>
      </w:pPr>
    </w:p>
    <w:p>
      <w:pPr>
        <w:spacing w:after="0"/>
        <w:tabs>
          <w:tab w:leader="none" w:pos="1580" w:val="left"/>
        </w:tabs>
        <w:rPr>
          <w:sz w:val="20"/>
          <w:szCs w:val="20"/>
          <w:color w:val="auto"/>
        </w:rPr>
      </w:pPr>
      <w:r>
        <w:rPr>
          <w:rFonts w:ascii="Calibri" w:cs="Calibri" w:eastAsia="Calibri" w:hAnsi="Calibri"/>
          <w:sz w:val="20"/>
          <w:szCs w:val="20"/>
          <w:i w:val="1"/>
          <w:iCs w:val="1"/>
          <w:color w:val="auto"/>
        </w:rPr>
        <w:t>Description of the</w:t>
      </w:r>
      <w:r>
        <w:rPr>
          <w:sz w:val="20"/>
          <w:szCs w:val="20"/>
          <w:color w:val="auto"/>
        </w:rPr>
        <w:tab/>
      </w:r>
      <w:r>
        <w:rPr>
          <w:rFonts w:ascii="Calibri" w:cs="Calibri" w:eastAsia="Calibri" w:hAnsi="Calibri"/>
          <w:sz w:val="20"/>
          <w:szCs w:val="20"/>
          <w:color w:val="auto"/>
        </w:rPr>
        <w:t>For the year ended December 31, 2025, the Company recorded net product revenue of $40.8 million. As described in</w:t>
      </w:r>
    </w:p>
    <w:p>
      <w:pPr>
        <w:spacing w:after="0" w:line="22" w:lineRule="exact"/>
        <w:rPr>
          <w:sz w:val="20"/>
          <w:szCs w:val="20"/>
          <w:color w:val="auto"/>
        </w:rPr>
      </w:pPr>
    </w:p>
    <w:p>
      <w:pPr>
        <w:jc w:val="both"/>
        <w:ind w:left="1600" w:hanging="1599"/>
        <w:spacing w:after="0"/>
        <w:tabs>
          <w:tab w:leader="none" w:pos="1580" w:val="left"/>
        </w:tabs>
        <w:rPr>
          <w:sz w:val="20"/>
          <w:szCs w:val="20"/>
          <w:color w:val="auto"/>
        </w:rPr>
      </w:pPr>
      <w:r>
        <w:rPr>
          <w:rFonts w:ascii="Calibri" w:cs="Calibri" w:eastAsia="Calibri" w:hAnsi="Calibri"/>
          <w:sz w:val="20"/>
          <w:szCs w:val="20"/>
          <w:i w:val="1"/>
          <w:iCs w:val="1"/>
          <w:color w:val="auto"/>
        </w:rPr>
        <w:t>Matter</w:t>
      </w:r>
      <w:r>
        <w:rPr>
          <w:sz w:val="20"/>
          <w:szCs w:val="20"/>
          <w:color w:val="auto"/>
        </w:rPr>
        <w:tab/>
      </w:r>
      <w:r>
        <w:rPr>
          <w:rFonts w:ascii="Calibri" w:cs="Calibri" w:eastAsia="Calibri" w:hAnsi="Calibri"/>
          <w:sz w:val="20"/>
          <w:szCs w:val="20"/>
          <w:color w:val="auto"/>
        </w:rPr>
        <w:t>Note 1 to the consolidated financial statements, the Company recognizes revenues from product sales at the net sales price, which includes estimates of reserves for chargebacks and rebates it provides to hospitals, clinics, and payers under commercial and government programs. These reserves are recorded in the period when sales occur and are based on the amounts to be claimed on the related sales which may not be known at the point of sale.</w:t>
      </w:r>
    </w:p>
    <w:p>
      <w:pPr>
        <w:spacing w:after="0" w:line="219" w:lineRule="exact"/>
        <w:rPr>
          <w:sz w:val="20"/>
          <w:szCs w:val="20"/>
          <w:color w:val="auto"/>
        </w:rPr>
      </w:pPr>
    </w:p>
    <w:p>
      <w:pPr>
        <w:ind w:left="1600"/>
        <w:spacing w:after="0" w:line="262" w:lineRule="auto"/>
        <w:rPr>
          <w:sz w:val="20"/>
          <w:szCs w:val="20"/>
          <w:color w:val="auto"/>
        </w:rPr>
      </w:pPr>
      <w:r>
        <w:rPr>
          <w:rFonts w:ascii="Calibri" w:cs="Calibri" w:eastAsia="Calibri" w:hAnsi="Calibri"/>
          <w:sz w:val="20"/>
          <w:szCs w:val="20"/>
          <w:color w:val="auto"/>
        </w:rPr>
        <w:t>Auditing net product revenue was challenging due to the volume of sales transactions and estimated chargebacks and rebates.</w:t>
      </w:r>
    </w:p>
    <w:p>
      <w:pPr>
        <w:spacing w:after="0" w:line="194" w:lineRule="exact"/>
        <w:rPr>
          <w:sz w:val="20"/>
          <w:szCs w:val="20"/>
          <w:color w:val="auto"/>
        </w:rPr>
      </w:pPr>
    </w:p>
    <w:p>
      <w:pPr>
        <w:ind w:right="100"/>
        <w:spacing w:after="0" w:line="251" w:lineRule="auto"/>
        <w:rPr>
          <w:sz w:val="20"/>
          <w:szCs w:val="20"/>
          <w:color w:val="auto"/>
        </w:rPr>
      </w:pPr>
      <w:r>
        <w:rPr>
          <w:rFonts w:ascii="Calibri" w:cs="Calibri" w:eastAsia="Calibri" w:hAnsi="Calibri"/>
          <w:sz w:val="20"/>
          <w:szCs w:val="20"/>
          <w:i w:val="1"/>
          <w:iCs w:val="1"/>
          <w:color w:val="auto"/>
        </w:rPr>
        <w:t xml:space="preserve">How We Addressed </w:t>
      </w:r>
      <w:r>
        <w:rPr>
          <w:rFonts w:ascii="Calibri" w:cs="Calibri" w:eastAsia="Calibri" w:hAnsi="Calibri"/>
          <w:sz w:val="20"/>
          <w:szCs w:val="20"/>
          <w:color w:val="auto"/>
        </w:rPr>
        <w:t>We obtained an understanding, evaluated the design and tested the operating effectiveness of internal controls over</w:t>
      </w:r>
      <w:r>
        <w:rPr>
          <w:rFonts w:ascii="Calibri" w:cs="Calibri" w:eastAsia="Calibri" w:hAnsi="Calibri"/>
          <w:sz w:val="20"/>
          <w:szCs w:val="20"/>
          <w:i w:val="1"/>
          <w:iCs w:val="1"/>
          <w:color w:val="auto"/>
        </w:rPr>
        <w:t xml:space="preserve"> the Matter in Our </w:t>
      </w:r>
      <w:r>
        <w:rPr>
          <w:rFonts w:ascii="Calibri" w:cs="Calibri" w:eastAsia="Calibri" w:hAnsi="Calibri"/>
          <w:sz w:val="20"/>
          <w:szCs w:val="20"/>
          <w:color w:val="auto"/>
        </w:rPr>
        <w:t>the Company’s revenue recognition process to determine the timing and measurement of product revenue and</w:t>
      </w:r>
    </w:p>
    <w:p>
      <w:pPr>
        <w:ind w:left="1600" w:right="100" w:hanging="1599"/>
        <w:spacing w:after="0" w:line="241" w:lineRule="auto"/>
        <w:tabs>
          <w:tab w:leader="none" w:pos="1580" w:val="left"/>
        </w:tabs>
        <w:rPr>
          <w:sz w:val="20"/>
          <w:szCs w:val="20"/>
          <w:color w:val="auto"/>
        </w:rPr>
      </w:pPr>
      <w:r>
        <w:rPr>
          <w:rFonts w:ascii="Calibri" w:cs="Calibri" w:eastAsia="Calibri" w:hAnsi="Calibri"/>
          <w:sz w:val="20"/>
          <w:szCs w:val="20"/>
          <w:i w:val="1"/>
          <w:iCs w:val="1"/>
          <w:color w:val="auto"/>
        </w:rPr>
        <w:t>Audit</w:t>
      </w:r>
      <w:r>
        <w:rPr>
          <w:sz w:val="20"/>
          <w:szCs w:val="20"/>
          <w:color w:val="auto"/>
        </w:rPr>
        <w:tab/>
      </w:r>
      <w:r>
        <w:rPr>
          <w:rFonts w:ascii="Calibri" w:cs="Calibri" w:eastAsia="Calibri" w:hAnsi="Calibri"/>
          <w:sz w:val="20"/>
          <w:szCs w:val="20"/>
          <w:color w:val="auto"/>
        </w:rPr>
        <w:t>estimation of chargebacks and rebates. This included controls over management’s review of historical claims and trends in payment patterns.</w:t>
      </w:r>
    </w:p>
    <w:p>
      <w:pPr>
        <w:spacing w:after="0" w:line="215" w:lineRule="exact"/>
        <w:rPr>
          <w:sz w:val="20"/>
          <w:szCs w:val="20"/>
          <w:color w:val="auto"/>
        </w:rPr>
      </w:pPr>
    </w:p>
    <w:p>
      <w:pPr>
        <w:jc w:val="both"/>
        <w:ind w:left="1600" w:right="100"/>
        <w:spacing w:after="0" w:line="244" w:lineRule="auto"/>
        <w:rPr>
          <w:sz w:val="20"/>
          <w:szCs w:val="20"/>
          <w:color w:val="auto"/>
        </w:rPr>
      </w:pPr>
      <w:r>
        <w:rPr>
          <w:rFonts w:ascii="Calibri" w:cs="Calibri" w:eastAsia="Calibri" w:hAnsi="Calibri"/>
          <w:sz w:val="20"/>
          <w:szCs w:val="20"/>
          <w:color w:val="auto"/>
        </w:rPr>
        <w:t>Our audit procedures over net product revenue included, among others, performing analytical procedures over net revenues, testing appropriate cut-off of revenue recognition at period-end, confirming a sample of outstanding receivable balances with customers, performing a comparison of actual claims related to amounts accrued during the current and prior years and understanding any material executed chargeback and rebate agreements. We further tested the completeness and accuracy of the underlying data used in the Company’s calculations through reconciliation to third-party invoices, claims data and actual cash payments.</w:t>
      </w:r>
    </w:p>
    <w:p>
      <w:pPr>
        <w:spacing w:after="0" w:line="337" w:lineRule="exact"/>
        <w:rPr>
          <w:sz w:val="20"/>
          <w:szCs w:val="20"/>
          <w:color w:val="auto"/>
        </w:rPr>
      </w:pPr>
    </w:p>
    <w:p>
      <w:pPr>
        <w:spacing w:after="0"/>
        <w:rPr>
          <w:sz w:val="20"/>
          <w:szCs w:val="20"/>
          <w:color w:val="auto"/>
        </w:rPr>
      </w:pPr>
      <w:r>
        <w:rPr>
          <w:rFonts w:ascii="Calibri" w:cs="Calibri" w:eastAsia="Calibri" w:hAnsi="Calibri"/>
          <w:sz w:val="20"/>
          <w:szCs w:val="20"/>
          <w:color w:val="auto"/>
        </w:rPr>
        <w:t>/s/ Ernst &amp; Young LLP</w:t>
      </w:r>
    </w:p>
    <w:p>
      <w:pPr>
        <w:spacing w:after="0" w:line="238" w:lineRule="exact"/>
        <w:rPr>
          <w:sz w:val="20"/>
          <w:szCs w:val="20"/>
          <w:color w:val="auto"/>
        </w:rPr>
      </w:pPr>
    </w:p>
    <w:p>
      <w:pPr>
        <w:spacing w:after="0"/>
        <w:rPr>
          <w:sz w:val="20"/>
          <w:szCs w:val="20"/>
          <w:color w:val="auto"/>
        </w:rPr>
      </w:pPr>
      <w:r>
        <w:rPr>
          <w:rFonts w:ascii="Calibri" w:cs="Calibri" w:eastAsia="Calibri" w:hAnsi="Calibri"/>
          <w:sz w:val="20"/>
          <w:szCs w:val="20"/>
          <w:color w:val="auto"/>
        </w:rPr>
        <w:t>We have served as the Company’s auditor since 2012.</w:t>
      </w:r>
    </w:p>
    <w:p>
      <w:pPr>
        <w:spacing w:after="0" w:line="22" w:lineRule="exact"/>
        <w:rPr>
          <w:sz w:val="20"/>
          <w:szCs w:val="20"/>
          <w:color w:val="auto"/>
        </w:rPr>
      </w:pPr>
    </w:p>
    <w:p>
      <w:pPr>
        <w:spacing w:after="0"/>
        <w:rPr>
          <w:sz w:val="20"/>
          <w:szCs w:val="20"/>
          <w:color w:val="auto"/>
        </w:rPr>
      </w:pPr>
      <w:r>
        <w:rPr>
          <w:rFonts w:ascii="Calibri" w:cs="Calibri" w:eastAsia="Calibri" w:hAnsi="Calibri"/>
          <w:sz w:val="20"/>
          <w:szCs w:val="20"/>
          <w:color w:val="auto"/>
        </w:rPr>
        <w:t>San Francisco, California</w:t>
      </w:r>
    </w:p>
    <w:p>
      <w:pPr>
        <w:spacing w:after="0"/>
        <w:rPr>
          <w:sz w:val="20"/>
          <w:szCs w:val="20"/>
          <w:color w:val="auto"/>
        </w:rPr>
      </w:pPr>
      <w:r>
        <w:rPr>
          <w:rFonts w:ascii="Calibri" w:cs="Calibri" w:eastAsia="Calibri" w:hAnsi="Calibri"/>
          <w:sz w:val="20"/>
          <w:szCs w:val="20"/>
          <w:color w:val="auto"/>
        </w:rPr>
        <w:t>March 9, 2026</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77</w:t>
      </w:r>
    </w:p>
    <w:p>
      <w:pPr>
        <w:sectPr>
          <w:pgSz w:w="12240" w:h="15840" w:orient="portrait"/>
          <w:cols w:equalWidth="0" w:num="1">
            <w:col w:w="11160"/>
          </w:cols>
          <w:pgMar w:left="540" w:top="531" w:right="540" w:bottom="9" w:gutter="0" w:footer="0" w:header="0"/>
          <w:type w:val="continuous"/>
        </w:sectPr>
      </w:pPr>
    </w:p>
    <w:bookmarkStart w:id="79" w:name="page80"/>
    <w:bookmarkEnd w:id="79"/>
    <w:p>
      <w:pPr>
        <w:jc w:val="center"/>
        <w:spacing w:after="0"/>
        <w:rPr>
          <w:sz w:val="20"/>
          <w:szCs w:val="20"/>
          <w:color w:val="auto"/>
        </w:rPr>
      </w:pPr>
      <w:r>
        <w:rPr>
          <w:rFonts w:ascii="Calibri" w:cs="Calibri" w:eastAsia="Calibri" w:hAnsi="Calibri"/>
          <w:sz w:val="20"/>
          <w:szCs w:val="20"/>
          <w:b w:val="1"/>
          <w:bCs w:val="1"/>
          <w:color w:val="auto"/>
        </w:rPr>
        <w:t>Coherus Oncology, Inc.</w:t>
      </w:r>
    </w:p>
    <w:p>
      <w:pPr>
        <w:spacing w:after="0" w:line="30"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Consolidated Balance Sheets</w:t>
      </w:r>
    </w:p>
    <w:p>
      <w:pPr>
        <w:jc w:val="center"/>
        <w:spacing w:after="0"/>
        <w:rPr>
          <w:sz w:val="20"/>
          <w:szCs w:val="20"/>
          <w:color w:val="auto"/>
        </w:rPr>
      </w:pPr>
      <w:r>
        <w:rPr>
          <w:rFonts w:ascii="Calibri" w:cs="Calibri" w:eastAsia="Calibri" w:hAnsi="Calibri"/>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103"/>
              <w:spacing w:after="0"/>
              <w:rPr>
                <w:sz w:val="20"/>
                <w:szCs w:val="20"/>
                <w:color w:val="auto"/>
              </w:rPr>
            </w:pPr>
            <w:r>
              <w:rPr>
                <w:rFonts w:ascii="Calibri" w:cs="Calibri" w:eastAsia="Calibri" w:hAnsi="Calibri"/>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r>
      <w:tr>
        <w:trPr>
          <w:trHeight w:val="186"/>
        </w:trPr>
        <w:tc>
          <w:tcPr>
            <w:tcW w:w="7600" w:type="dxa"/>
            <w:vAlign w:val="bottom"/>
            <w:tcBorders>
              <w:bottom w:val="single" w:sz="8" w:color="E5E5E5"/>
            </w:tcBorders>
          </w:tcPr>
          <w:p>
            <w:pPr>
              <w:spacing w:after="0"/>
              <w:rPr>
                <w:sz w:val="16"/>
                <w:szCs w:val="16"/>
                <w:color w:val="auto"/>
              </w:rPr>
            </w:pPr>
          </w:p>
        </w:tc>
        <w:tc>
          <w:tcPr>
            <w:tcW w:w="16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0"/>
              <w:spacing w:after="0" w:line="187" w:lineRule="exact"/>
              <w:rPr>
                <w:sz w:val="20"/>
                <w:szCs w:val="20"/>
                <w:color w:val="auto"/>
              </w:rPr>
            </w:pPr>
            <w:r>
              <w:rPr>
                <w:rFonts w:ascii="Calibri" w:cs="Calibri" w:eastAsia="Calibri" w:hAnsi="Calibri"/>
                <w:sz w:val="16"/>
                <w:szCs w:val="16"/>
                <w:b w:val="1"/>
                <w:bCs w:val="1"/>
                <w:color w:val="auto"/>
              </w:rPr>
              <w:t>2025</w:t>
            </w:r>
          </w:p>
        </w:tc>
        <w:tc>
          <w:tcPr>
            <w:tcW w:w="32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0"/>
              <w:spacing w:after="0" w:line="187" w:lineRule="exact"/>
              <w:rPr>
                <w:sz w:val="20"/>
                <w:szCs w:val="20"/>
                <w:color w:val="auto"/>
              </w:rPr>
            </w:pPr>
            <w:r>
              <w:rPr>
                <w:rFonts w:ascii="Calibri" w:cs="Calibri" w:eastAsia="Calibri" w:hAnsi="Calibri"/>
                <w:sz w:val="16"/>
                <w:szCs w:val="16"/>
                <w:b w:val="1"/>
                <w:bCs w:val="1"/>
                <w:color w:val="auto"/>
              </w:rPr>
              <w:t>2024</w:t>
            </w:r>
          </w:p>
        </w:tc>
      </w:tr>
      <w:tr>
        <w:trPr>
          <w:trHeight w:val="186"/>
        </w:trPr>
        <w:tc>
          <w:tcPr>
            <w:tcW w:w="7600" w:type="dxa"/>
            <w:vAlign w:val="bottom"/>
            <w:shd w:val="clear" w:color="auto" w:fill="E5E5E5"/>
          </w:tcPr>
          <w:p>
            <w:pPr>
              <w:spacing w:after="0" w:line="187" w:lineRule="exact"/>
              <w:rPr>
                <w:sz w:val="20"/>
                <w:szCs w:val="20"/>
                <w:color w:val="auto"/>
              </w:rPr>
            </w:pPr>
            <w:r>
              <w:rPr>
                <w:rFonts w:ascii="Calibri" w:cs="Calibri" w:eastAsia="Calibri" w:hAnsi="Calibri"/>
                <w:sz w:val="16"/>
                <w:szCs w:val="16"/>
                <w:b w:val="1"/>
                <w:bCs w:val="1"/>
                <w:color w:val="auto"/>
              </w:rPr>
              <w:t>Assets</w:t>
            </w:r>
          </w:p>
        </w:tc>
        <w:tc>
          <w:tcPr>
            <w:tcW w:w="1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3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r>
      <w:tr>
        <w:trPr>
          <w:trHeight w:val="196"/>
        </w:trPr>
        <w:tc>
          <w:tcPr>
            <w:tcW w:w="7600" w:type="dxa"/>
            <w:vAlign w:val="bottom"/>
          </w:tcPr>
          <w:p>
            <w:pPr>
              <w:spacing w:after="0"/>
              <w:rPr>
                <w:sz w:val="20"/>
                <w:szCs w:val="20"/>
                <w:color w:val="auto"/>
              </w:rPr>
            </w:pPr>
            <w:r>
              <w:rPr>
                <w:rFonts w:ascii="Calibri" w:cs="Calibri" w:eastAsia="Calibri" w:hAnsi="Calibri"/>
                <w:sz w:val="16"/>
                <w:szCs w:val="16"/>
                <w:color w:val="auto"/>
              </w:rPr>
              <w:t>Current assets: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7"/>
        </w:trPr>
        <w:tc>
          <w:tcPr>
            <w:tcW w:w="7600" w:type="dxa"/>
            <w:vAlign w:val="bottom"/>
            <w:shd w:val="clear" w:color="auto" w:fill="E5E5E5"/>
          </w:tcPr>
          <w:p>
            <w:pPr>
              <w:ind w:left="120"/>
              <w:spacing w:after="0"/>
              <w:rPr>
                <w:sz w:val="20"/>
                <w:szCs w:val="20"/>
                <w:color w:val="auto"/>
              </w:rPr>
            </w:pPr>
            <w:r>
              <w:rPr>
                <w:rFonts w:ascii="Calibri" w:cs="Calibri" w:eastAsia="Calibri" w:hAnsi="Calibri"/>
                <w:sz w:val="16"/>
                <w:szCs w:val="16"/>
                <w:color w:val="auto"/>
              </w:rPr>
              <w:t>Cash and cash equivalents</w:t>
            </w:r>
          </w:p>
        </w:tc>
        <w:tc>
          <w:tcPr>
            <w:tcW w:w="380" w:type="dxa"/>
            <w:vAlign w:val="bottom"/>
            <w:gridSpan w:val="3"/>
            <w:shd w:val="clear" w:color="auto" w:fill="E5E5E5"/>
          </w:tcPr>
          <w:p>
            <w:pPr>
              <w:jc w:val="right"/>
              <w:ind w:right="40"/>
              <w:spacing w:after="0"/>
              <w:rPr>
                <w:sz w:val="20"/>
                <w:szCs w:val="20"/>
                <w:color w:val="auto"/>
              </w:rPr>
            </w:pPr>
            <w:r>
              <w:rPr>
                <w:rFonts w:ascii="Calibri" w:cs="Calibri" w:eastAsia="Calibri" w:hAnsi="Calibri"/>
                <w:sz w:val="16"/>
                <w:szCs w:val="16"/>
                <w:color w:val="auto"/>
              </w:rPr>
              <w:t>$</w:t>
            </w:r>
          </w:p>
        </w:tc>
        <w:tc>
          <w:tcPr>
            <w:tcW w:w="132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88,879</w:t>
            </w:r>
          </w:p>
        </w:tc>
        <w:tc>
          <w:tcPr>
            <w:tcW w:w="760" w:type="dxa"/>
            <w:vAlign w:val="bottom"/>
            <w:gridSpan w:val="3"/>
            <w:shd w:val="clear" w:color="auto" w:fill="E5E5E5"/>
          </w:tcPr>
          <w:p>
            <w:pPr>
              <w:jc w:val="right"/>
              <w:ind w:right="303"/>
              <w:spacing w:after="0"/>
              <w:rPr>
                <w:sz w:val="20"/>
                <w:szCs w:val="20"/>
                <w:color w:val="auto"/>
              </w:rPr>
            </w:pPr>
            <w:r>
              <w:rPr>
                <w:rFonts w:ascii="Calibri" w:cs="Calibri" w:eastAsia="Calibri" w:hAnsi="Calibri"/>
                <w:sz w:val="16"/>
                <w:szCs w:val="16"/>
                <w:color w:val="auto"/>
              </w:rPr>
              <w:t>$</w:t>
            </w:r>
          </w:p>
        </w:tc>
        <w:tc>
          <w:tcPr>
            <w:tcW w:w="110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125,987</w:t>
            </w:r>
          </w:p>
        </w:tc>
      </w:tr>
      <w:tr>
        <w:trPr>
          <w:trHeight w:val="197"/>
        </w:trPr>
        <w:tc>
          <w:tcPr>
            <w:tcW w:w="7600" w:type="dxa"/>
            <w:vAlign w:val="bottom"/>
          </w:tcPr>
          <w:p>
            <w:pPr>
              <w:ind w:left="120"/>
              <w:spacing w:after="0"/>
              <w:rPr>
                <w:sz w:val="20"/>
                <w:szCs w:val="20"/>
                <w:color w:val="auto"/>
              </w:rPr>
            </w:pPr>
            <w:r>
              <w:rPr>
                <w:rFonts w:ascii="Calibri" w:cs="Calibri" w:eastAsia="Calibri" w:hAnsi="Calibri"/>
                <w:sz w:val="16"/>
                <w:szCs w:val="16"/>
                <w:color w:val="auto"/>
              </w:rPr>
              <w:t>Investments in marketable securities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alibri" w:cs="Calibri" w:eastAsia="Calibri" w:hAnsi="Calibri"/>
                <w:sz w:val="16"/>
                <w:szCs w:val="16"/>
                <w:color w:val="auto"/>
              </w:rPr>
              <w:t>83,246</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196"/>
        </w:trPr>
        <w:tc>
          <w:tcPr>
            <w:tcW w:w="7600" w:type="dxa"/>
            <w:vAlign w:val="bottom"/>
            <w:shd w:val="clear" w:color="auto" w:fill="E5E5E5"/>
          </w:tcPr>
          <w:p>
            <w:pPr>
              <w:ind w:left="120"/>
              <w:spacing w:after="0"/>
              <w:rPr>
                <w:sz w:val="20"/>
                <w:szCs w:val="20"/>
                <w:color w:val="auto"/>
              </w:rPr>
            </w:pPr>
            <w:r>
              <w:rPr>
                <w:rFonts w:ascii="Calibri" w:cs="Calibri" w:eastAsia="Calibri" w:hAnsi="Calibri"/>
                <w:sz w:val="16"/>
                <w:szCs w:val="16"/>
                <w:color w:val="auto"/>
              </w:rPr>
              <w:t>Trade receivables, net</w:t>
            </w:r>
          </w:p>
        </w:tc>
        <w:tc>
          <w:tcPr>
            <w:tcW w:w="1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32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17,815</w:t>
            </w:r>
          </w:p>
        </w:tc>
        <w:tc>
          <w:tcPr>
            <w:tcW w:w="3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111,324</w:t>
            </w:r>
          </w:p>
        </w:tc>
      </w:tr>
      <w:tr>
        <w:trPr>
          <w:trHeight w:val="197"/>
        </w:trPr>
        <w:tc>
          <w:tcPr>
            <w:tcW w:w="7600" w:type="dxa"/>
            <w:vAlign w:val="bottom"/>
          </w:tcPr>
          <w:p>
            <w:pPr>
              <w:ind w:left="120"/>
              <w:spacing w:after="0"/>
              <w:rPr>
                <w:sz w:val="20"/>
                <w:szCs w:val="20"/>
                <w:color w:val="auto"/>
              </w:rPr>
            </w:pPr>
            <w:r>
              <w:rPr>
                <w:rFonts w:ascii="Calibri" w:cs="Calibri" w:eastAsia="Calibri" w:hAnsi="Calibri"/>
                <w:sz w:val="16"/>
                <w:szCs w:val="16"/>
                <w:color w:val="auto"/>
              </w:rPr>
              <w:t>TSA receivables, net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alibri" w:cs="Calibri" w:eastAsia="Calibri" w:hAnsi="Calibri"/>
                <w:sz w:val="16"/>
                <w:szCs w:val="16"/>
                <w:color w:val="auto"/>
              </w:rPr>
              <w:t>603</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11,010</w:t>
            </w:r>
          </w:p>
        </w:tc>
      </w:tr>
      <w:tr>
        <w:trPr>
          <w:trHeight w:val="196"/>
        </w:trPr>
        <w:tc>
          <w:tcPr>
            <w:tcW w:w="7600" w:type="dxa"/>
            <w:vAlign w:val="bottom"/>
            <w:shd w:val="clear" w:color="auto" w:fill="E5E5E5"/>
          </w:tcPr>
          <w:p>
            <w:pPr>
              <w:ind w:left="120"/>
              <w:spacing w:after="0"/>
              <w:rPr>
                <w:sz w:val="20"/>
                <w:szCs w:val="20"/>
                <w:color w:val="auto"/>
              </w:rPr>
            </w:pPr>
            <w:r>
              <w:rPr>
                <w:rFonts w:ascii="Calibri" w:cs="Calibri" w:eastAsia="Calibri" w:hAnsi="Calibri"/>
                <w:sz w:val="16"/>
                <w:szCs w:val="16"/>
                <w:color w:val="auto"/>
              </w:rPr>
              <w:t>Inventory</w:t>
            </w:r>
          </w:p>
        </w:tc>
        <w:tc>
          <w:tcPr>
            <w:tcW w:w="1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32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3,172</w:t>
            </w:r>
          </w:p>
        </w:tc>
        <w:tc>
          <w:tcPr>
            <w:tcW w:w="3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4,207</w:t>
            </w:r>
          </w:p>
        </w:tc>
      </w:tr>
      <w:tr>
        <w:trPr>
          <w:trHeight w:val="197"/>
        </w:trPr>
        <w:tc>
          <w:tcPr>
            <w:tcW w:w="7600" w:type="dxa"/>
            <w:vAlign w:val="bottom"/>
          </w:tcPr>
          <w:p>
            <w:pPr>
              <w:ind w:left="120"/>
              <w:spacing w:after="0"/>
              <w:rPr>
                <w:sz w:val="20"/>
                <w:szCs w:val="20"/>
                <w:color w:val="auto"/>
              </w:rPr>
            </w:pPr>
            <w:r>
              <w:rPr>
                <w:rFonts w:ascii="Calibri" w:cs="Calibri" w:eastAsia="Calibri" w:hAnsi="Calibri"/>
                <w:sz w:val="16"/>
                <w:szCs w:val="16"/>
                <w:color w:val="auto"/>
              </w:rPr>
              <w:t>Prepaid manufacturing</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alibri" w:cs="Calibri" w:eastAsia="Calibri" w:hAnsi="Calibri"/>
                <w:sz w:val="16"/>
                <w:szCs w:val="16"/>
                <w:color w:val="auto"/>
              </w:rPr>
              <w:t>6,758</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6,653</w:t>
            </w:r>
          </w:p>
        </w:tc>
      </w:tr>
      <w:tr>
        <w:trPr>
          <w:trHeight w:val="245"/>
        </w:trPr>
        <w:tc>
          <w:tcPr>
            <w:tcW w:w="7600" w:type="dxa"/>
            <w:vAlign w:val="bottom"/>
            <w:shd w:val="clear" w:color="auto" w:fill="E5E5E5"/>
          </w:tcPr>
          <w:p>
            <w:pPr>
              <w:ind w:left="120"/>
              <w:spacing w:after="0"/>
              <w:rPr>
                <w:sz w:val="20"/>
                <w:szCs w:val="20"/>
                <w:color w:val="auto"/>
              </w:rPr>
            </w:pPr>
            <w:r>
              <w:rPr>
                <w:rFonts w:ascii="Calibri" w:cs="Calibri" w:eastAsia="Calibri" w:hAnsi="Calibri"/>
                <w:sz w:val="16"/>
                <w:szCs w:val="16"/>
                <w:color w:val="auto"/>
              </w:rPr>
              <w:t>Other prepaids and current assets</w:t>
            </w:r>
          </w:p>
        </w:tc>
        <w:tc>
          <w:tcPr>
            <w:tcW w:w="16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132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6,233</w:t>
            </w:r>
          </w:p>
        </w:tc>
        <w:tc>
          <w:tcPr>
            <w:tcW w:w="32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420" w:type="dxa"/>
            <w:vAlign w:val="bottom"/>
            <w:shd w:val="clear" w:color="auto" w:fill="E5E5E5"/>
          </w:tcPr>
          <w:p>
            <w:pPr>
              <w:spacing w:after="0"/>
              <w:rPr>
                <w:sz w:val="21"/>
                <w:szCs w:val="21"/>
                <w:color w:val="auto"/>
              </w:rPr>
            </w:pPr>
          </w:p>
        </w:tc>
        <w:tc>
          <w:tcPr>
            <w:tcW w:w="110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10,222</w:t>
            </w:r>
          </w:p>
        </w:tc>
      </w:tr>
      <w:tr>
        <w:trPr>
          <w:trHeight w:val="197"/>
        </w:trPr>
        <w:tc>
          <w:tcPr>
            <w:tcW w:w="7600" w:type="dxa"/>
            <w:vAlign w:val="bottom"/>
            <w:tcBorders>
              <w:bottom w:val="single" w:sz="8" w:color="E5E5E5"/>
            </w:tcBorders>
          </w:tcPr>
          <w:p>
            <w:pPr>
              <w:ind w:left="120"/>
              <w:spacing w:after="0"/>
              <w:rPr>
                <w:sz w:val="20"/>
                <w:szCs w:val="20"/>
                <w:color w:val="auto"/>
              </w:rPr>
            </w:pPr>
            <w:r>
              <w:rPr>
                <w:rFonts w:ascii="Calibri" w:cs="Calibri" w:eastAsia="Calibri" w:hAnsi="Calibri"/>
                <w:sz w:val="16"/>
                <w:szCs w:val="16"/>
                <w:color w:val="auto"/>
              </w:rPr>
              <w:t>Assets of discontinued operations, current (Note 6)</w:t>
            </w:r>
          </w:p>
        </w:tc>
        <w:tc>
          <w:tcPr>
            <w:tcW w:w="160" w:type="dxa"/>
            <w:vAlign w:val="bottom"/>
            <w:tcBorders>
              <w:bottom w:val="single" w:sz="8" w:color="E5E5E5"/>
            </w:tcBorders>
          </w:tcPr>
          <w:p>
            <w:pPr>
              <w:spacing w:after="0"/>
              <w:rPr>
                <w:sz w:val="17"/>
                <w:szCs w:val="17"/>
                <w:color w:val="auto"/>
              </w:rPr>
            </w:pPr>
          </w:p>
        </w:tc>
        <w:tc>
          <w:tcPr>
            <w:tcW w:w="2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w:t>
            </w:r>
          </w:p>
        </w:tc>
        <w:tc>
          <w:tcPr>
            <w:tcW w:w="320" w:type="dxa"/>
            <w:vAlign w:val="bottom"/>
            <w:tcBorders>
              <w:bottom w:val="single" w:sz="8" w:color="E5E5E5"/>
            </w:tcBorders>
          </w:tcPr>
          <w:p>
            <w:pPr>
              <w:spacing w:after="0"/>
              <w:rPr>
                <w:sz w:val="17"/>
                <w:szCs w:val="17"/>
                <w:color w:val="auto"/>
              </w:rPr>
            </w:pPr>
          </w:p>
        </w:tc>
        <w:tc>
          <w:tcPr>
            <w:tcW w:w="20" w:type="dxa"/>
            <w:vAlign w:val="bottom"/>
            <w:tcBorders>
              <w:bottom w:val="single" w:sz="8" w:color="E5E5E5"/>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72,180</w:t>
            </w:r>
          </w:p>
        </w:tc>
      </w:tr>
      <w:tr>
        <w:trPr>
          <w:trHeight w:val="186"/>
        </w:trPr>
        <w:tc>
          <w:tcPr>
            <w:tcW w:w="7600" w:type="dxa"/>
            <w:vAlign w:val="bottom"/>
            <w:shd w:val="clear" w:color="auto" w:fill="E5E5E5"/>
          </w:tcPr>
          <w:p>
            <w:pPr>
              <w:ind w:left="240"/>
              <w:spacing w:after="0" w:line="187" w:lineRule="exact"/>
              <w:rPr>
                <w:sz w:val="20"/>
                <w:szCs w:val="20"/>
                <w:color w:val="auto"/>
              </w:rPr>
            </w:pPr>
            <w:r>
              <w:rPr>
                <w:rFonts w:ascii="Calibri" w:cs="Calibri" w:eastAsia="Calibri" w:hAnsi="Calibri"/>
                <w:sz w:val="16"/>
                <w:szCs w:val="16"/>
                <w:color w:val="auto"/>
              </w:rPr>
              <w:t>Total current assets</w:t>
            </w:r>
          </w:p>
        </w:tc>
        <w:tc>
          <w:tcPr>
            <w:tcW w:w="1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320" w:type="dxa"/>
            <w:vAlign w:val="bottom"/>
            <w:shd w:val="clear" w:color="auto" w:fill="E5E5E5"/>
          </w:tcPr>
          <w:p>
            <w:pPr>
              <w:jc w:val="right"/>
              <w:spacing w:after="0" w:line="187" w:lineRule="exact"/>
              <w:rPr>
                <w:sz w:val="20"/>
                <w:szCs w:val="20"/>
                <w:color w:val="auto"/>
              </w:rPr>
            </w:pPr>
            <w:r>
              <w:rPr>
                <w:rFonts w:ascii="Calibri" w:cs="Calibri" w:eastAsia="Calibri" w:hAnsi="Calibri"/>
                <w:sz w:val="16"/>
                <w:szCs w:val="16"/>
                <w:color w:val="auto"/>
              </w:rPr>
              <w:t>206,706</w:t>
            </w:r>
          </w:p>
        </w:tc>
        <w:tc>
          <w:tcPr>
            <w:tcW w:w="3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100" w:type="dxa"/>
            <w:vAlign w:val="bottom"/>
            <w:shd w:val="clear" w:color="auto" w:fill="E5E5E5"/>
          </w:tcPr>
          <w:p>
            <w:pPr>
              <w:jc w:val="right"/>
              <w:spacing w:after="0" w:line="187" w:lineRule="exact"/>
              <w:rPr>
                <w:sz w:val="20"/>
                <w:szCs w:val="20"/>
                <w:color w:val="auto"/>
              </w:rPr>
            </w:pPr>
            <w:r>
              <w:rPr>
                <w:rFonts w:ascii="Calibri" w:cs="Calibri" w:eastAsia="Calibri" w:hAnsi="Calibri"/>
                <w:sz w:val="16"/>
                <w:szCs w:val="16"/>
                <w:color w:val="auto"/>
              </w:rPr>
              <w:t>341,583</w:t>
            </w:r>
          </w:p>
        </w:tc>
      </w:tr>
      <w:tr>
        <w:trPr>
          <w:trHeight w:val="196"/>
        </w:trPr>
        <w:tc>
          <w:tcPr>
            <w:tcW w:w="7600" w:type="dxa"/>
            <w:vAlign w:val="bottom"/>
          </w:tcPr>
          <w:p>
            <w:pPr>
              <w:spacing w:after="0"/>
              <w:rPr>
                <w:sz w:val="20"/>
                <w:szCs w:val="20"/>
                <w:color w:val="auto"/>
              </w:rPr>
            </w:pPr>
            <w:r>
              <w:rPr>
                <w:rFonts w:ascii="Calibri" w:cs="Calibri" w:eastAsia="Calibri" w:hAnsi="Calibri"/>
                <w:sz w:val="16"/>
                <w:szCs w:val="16"/>
                <w:color w:val="auto"/>
              </w:rPr>
              <w:t>Property and equipment, net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alibri" w:cs="Calibri" w:eastAsia="Calibri" w:hAnsi="Calibri"/>
                <w:sz w:val="16"/>
                <w:szCs w:val="16"/>
                <w:color w:val="auto"/>
              </w:rPr>
              <w:t>1,345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2,576</w:t>
            </w:r>
          </w:p>
        </w:tc>
      </w:tr>
      <w:tr>
        <w:trPr>
          <w:trHeight w:val="197"/>
        </w:trPr>
        <w:tc>
          <w:tcPr>
            <w:tcW w:w="7600" w:type="dxa"/>
            <w:vAlign w:val="bottom"/>
            <w:shd w:val="clear" w:color="auto" w:fill="E5E5E5"/>
          </w:tcPr>
          <w:p>
            <w:pPr>
              <w:spacing w:after="0"/>
              <w:rPr>
                <w:sz w:val="20"/>
                <w:szCs w:val="20"/>
                <w:color w:val="auto"/>
              </w:rPr>
            </w:pPr>
            <w:r>
              <w:rPr>
                <w:rFonts w:ascii="Calibri" w:cs="Calibri" w:eastAsia="Calibri" w:hAnsi="Calibri"/>
                <w:sz w:val="16"/>
                <w:szCs w:val="16"/>
                <w:color w:val="auto"/>
              </w:rPr>
              <w:t>Intangible assets, net</w:t>
            </w:r>
          </w:p>
        </w:tc>
        <w:tc>
          <w:tcPr>
            <w:tcW w:w="1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32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46,239</w:t>
            </w:r>
          </w:p>
        </w:tc>
        <w:tc>
          <w:tcPr>
            <w:tcW w:w="3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53,646</w:t>
            </w:r>
          </w:p>
        </w:tc>
      </w:tr>
      <w:tr>
        <w:trPr>
          <w:trHeight w:val="245"/>
        </w:trPr>
        <w:tc>
          <w:tcPr>
            <w:tcW w:w="7600" w:type="dxa"/>
            <w:vAlign w:val="bottom"/>
          </w:tcPr>
          <w:p>
            <w:pPr>
              <w:spacing w:after="0"/>
              <w:rPr>
                <w:sz w:val="20"/>
                <w:szCs w:val="20"/>
                <w:color w:val="auto"/>
              </w:rPr>
            </w:pPr>
            <w:r>
              <w:rPr>
                <w:rFonts w:ascii="Calibri" w:cs="Calibri" w:eastAsia="Calibri" w:hAnsi="Calibri"/>
                <w:sz w:val="16"/>
                <w:szCs w:val="16"/>
                <w:color w:val="auto"/>
              </w:rPr>
              <w:t>Other assets, non-current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Calibri" w:cs="Calibri" w:eastAsia="Calibri" w:hAnsi="Calibri"/>
                <w:sz w:val="16"/>
                <w:szCs w:val="16"/>
                <w:color w:val="auto"/>
              </w:rPr>
              <w:t>4,053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6,485</w:t>
            </w:r>
          </w:p>
        </w:tc>
      </w:tr>
      <w:tr>
        <w:trPr>
          <w:trHeight w:val="197"/>
        </w:trPr>
        <w:tc>
          <w:tcPr>
            <w:tcW w:w="7600" w:type="dxa"/>
            <w:vAlign w:val="bottom"/>
            <w:shd w:val="clear" w:color="auto" w:fill="E5E5E5"/>
          </w:tcPr>
          <w:p>
            <w:pPr>
              <w:spacing w:after="0"/>
              <w:rPr>
                <w:sz w:val="20"/>
                <w:szCs w:val="20"/>
                <w:color w:val="auto"/>
              </w:rPr>
            </w:pPr>
            <w:r>
              <w:rPr>
                <w:rFonts w:ascii="Calibri" w:cs="Calibri" w:eastAsia="Calibri" w:hAnsi="Calibri"/>
                <w:sz w:val="16"/>
                <w:szCs w:val="16"/>
                <w:color w:val="auto"/>
              </w:rPr>
              <w:t>Assets of discontinued operations, non-current (Note 6)</w:t>
            </w:r>
          </w:p>
        </w:tc>
        <w:tc>
          <w:tcPr>
            <w:tcW w:w="1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tcBorders>
              <w:bottom w:val="single" w:sz="8" w:color="auto"/>
            </w:tcBorders>
            <w:shd w:val="clear" w:color="auto" w:fill="E5E5E5"/>
          </w:tcPr>
          <w:p>
            <w:pPr>
              <w:spacing w:after="0"/>
              <w:rPr>
                <w:sz w:val="17"/>
                <w:szCs w:val="17"/>
                <w:color w:val="auto"/>
              </w:rPr>
            </w:pPr>
          </w:p>
        </w:tc>
        <w:tc>
          <w:tcPr>
            <w:tcW w:w="132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16"/>
                <w:szCs w:val="16"/>
                <w:color w:val="auto"/>
              </w:rPr>
              <w:t>—</w:t>
            </w:r>
          </w:p>
        </w:tc>
        <w:tc>
          <w:tcPr>
            <w:tcW w:w="3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20" w:type="dxa"/>
            <w:vAlign w:val="bottom"/>
            <w:tcBorders>
              <w:bottom w:val="single" w:sz="8" w:color="auto"/>
            </w:tcBorders>
            <w:shd w:val="clear" w:color="auto" w:fill="E5E5E5"/>
          </w:tcPr>
          <w:p>
            <w:pPr>
              <w:spacing w:after="0"/>
              <w:rPr>
                <w:sz w:val="17"/>
                <w:szCs w:val="17"/>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16"/>
                <w:szCs w:val="16"/>
                <w:color w:val="auto"/>
              </w:rPr>
              <w:t>44,243</w:t>
            </w:r>
          </w:p>
        </w:tc>
      </w:tr>
      <w:tr>
        <w:trPr>
          <w:trHeight w:val="195"/>
        </w:trPr>
        <w:tc>
          <w:tcPr>
            <w:tcW w:w="7600" w:type="dxa"/>
            <w:vAlign w:val="bottom"/>
            <w:tcBorders>
              <w:bottom w:val="single" w:sz="8" w:color="E5E5E5"/>
            </w:tcBorders>
          </w:tcPr>
          <w:p>
            <w:pPr>
              <w:spacing w:after="0" w:line="187" w:lineRule="exact"/>
              <w:rPr>
                <w:sz w:val="20"/>
                <w:szCs w:val="20"/>
                <w:color w:val="auto"/>
              </w:rPr>
            </w:pPr>
            <w:r>
              <w:rPr>
                <w:rFonts w:ascii="Calibri" w:cs="Calibri" w:eastAsia="Calibri" w:hAnsi="Calibri"/>
                <w:sz w:val="16"/>
                <w:szCs w:val="16"/>
                <w:color w:val="auto"/>
              </w:rPr>
              <w:t>Total assets</w:t>
            </w:r>
          </w:p>
        </w:tc>
        <w:tc>
          <w:tcPr>
            <w:tcW w:w="16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jc w:val="right"/>
              <w:ind w:right="40"/>
              <w:spacing w:after="0" w:line="187" w:lineRule="exact"/>
              <w:rPr>
                <w:sz w:val="20"/>
                <w:szCs w:val="20"/>
                <w:color w:val="auto"/>
              </w:rPr>
            </w:pPr>
            <w:r>
              <w:rPr>
                <w:rFonts w:ascii="Calibri" w:cs="Calibri" w:eastAsia="Calibri" w:hAnsi="Calibri"/>
                <w:sz w:val="16"/>
                <w:szCs w:val="16"/>
                <w:color w:val="auto"/>
                <w:w w:val="73"/>
              </w:rPr>
              <w:t>$</w:t>
            </w:r>
          </w:p>
        </w:tc>
        <w:tc>
          <w:tcPr>
            <w:tcW w:w="1320" w:type="dxa"/>
            <w:vAlign w:val="bottom"/>
            <w:tcBorders>
              <w:bottom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258,343</w:t>
            </w:r>
          </w:p>
        </w:tc>
        <w:tc>
          <w:tcPr>
            <w:tcW w:w="32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420" w:type="dxa"/>
            <w:vAlign w:val="bottom"/>
            <w:tcBorders>
              <w:bottom w:val="single" w:sz="8" w:color="auto"/>
            </w:tcBorders>
          </w:tcPr>
          <w:p>
            <w:pPr>
              <w:jc w:val="right"/>
              <w:ind w:right="303"/>
              <w:spacing w:after="0"/>
              <w:rPr>
                <w:sz w:val="20"/>
                <w:szCs w:val="20"/>
                <w:color w:val="auto"/>
              </w:rPr>
            </w:pPr>
            <w:r>
              <w:rPr>
                <w:rFonts w:ascii="Calibri" w:cs="Calibri" w:eastAsia="Calibri" w:hAnsi="Calibri"/>
                <w:sz w:val="11"/>
                <w:szCs w:val="11"/>
                <w:color w:val="auto"/>
                <w:w w:val="70"/>
              </w:rPr>
              <w:t>$</w:t>
            </w:r>
          </w:p>
        </w:tc>
        <w:tc>
          <w:tcPr>
            <w:tcW w:w="1100" w:type="dxa"/>
            <w:vAlign w:val="bottom"/>
            <w:tcBorders>
              <w:bottom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448,533</w:t>
            </w:r>
          </w:p>
        </w:tc>
      </w:tr>
      <w:tr>
        <w:trPr>
          <w:trHeight w:val="197"/>
        </w:trPr>
        <w:tc>
          <w:tcPr>
            <w:tcW w:w="7600" w:type="dxa"/>
            <w:vAlign w:val="bottom"/>
            <w:shd w:val="clear" w:color="auto" w:fill="E5E5E5"/>
          </w:tcPr>
          <w:p>
            <w:pPr>
              <w:spacing w:after="0"/>
              <w:rPr>
                <w:sz w:val="17"/>
                <w:szCs w:val="17"/>
                <w:color w:val="auto"/>
              </w:rPr>
            </w:pPr>
          </w:p>
        </w:tc>
        <w:tc>
          <w:tcPr>
            <w:tcW w:w="1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3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r>
      <w:tr>
        <w:trPr>
          <w:trHeight w:val="197"/>
        </w:trPr>
        <w:tc>
          <w:tcPr>
            <w:tcW w:w="7600" w:type="dxa"/>
            <w:vAlign w:val="bottom"/>
          </w:tcPr>
          <w:p>
            <w:pPr>
              <w:spacing w:after="0"/>
              <w:rPr>
                <w:sz w:val="20"/>
                <w:szCs w:val="20"/>
                <w:color w:val="auto"/>
              </w:rPr>
            </w:pPr>
            <w:r>
              <w:rPr>
                <w:rFonts w:ascii="Calibri" w:cs="Calibri" w:eastAsia="Calibri" w:hAnsi="Calibri"/>
                <w:sz w:val="16"/>
                <w:szCs w:val="16"/>
                <w:b w:val="1"/>
                <w:bCs w:val="1"/>
                <w:color w:val="auto"/>
              </w:rPr>
              <w:t>Liabilities and Stockholders’ Equity (Deficit)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7"/>
        </w:trPr>
        <w:tc>
          <w:tcPr>
            <w:tcW w:w="7600" w:type="dxa"/>
            <w:vAlign w:val="bottom"/>
            <w:shd w:val="clear" w:color="auto" w:fill="E5E5E5"/>
          </w:tcPr>
          <w:p>
            <w:pPr>
              <w:spacing w:after="0"/>
              <w:rPr>
                <w:sz w:val="20"/>
                <w:szCs w:val="20"/>
                <w:color w:val="auto"/>
              </w:rPr>
            </w:pPr>
            <w:r>
              <w:rPr>
                <w:rFonts w:ascii="Calibri" w:cs="Calibri" w:eastAsia="Calibri" w:hAnsi="Calibri"/>
                <w:sz w:val="16"/>
                <w:szCs w:val="16"/>
                <w:color w:val="auto"/>
              </w:rPr>
              <w:t>Current liabilities:</w:t>
            </w:r>
          </w:p>
        </w:tc>
        <w:tc>
          <w:tcPr>
            <w:tcW w:w="1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3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r>
      <w:tr>
        <w:trPr>
          <w:trHeight w:val="196"/>
        </w:trPr>
        <w:tc>
          <w:tcPr>
            <w:tcW w:w="7600" w:type="dxa"/>
            <w:vAlign w:val="bottom"/>
          </w:tcPr>
          <w:p>
            <w:pPr>
              <w:ind w:left="120"/>
              <w:spacing w:after="0"/>
              <w:rPr>
                <w:sz w:val="20"/>
                <w:szCs w:val="20"/>
                <w:color w:val="auto"/>
              </w:rPr>
            </w:pPr>
            <w:r>
              <w:rPr>
                <w:rFonts w:ascii="Calibri" w:cs="Calibri" w:eastAsia="Calibri" w:hAnsi="Calibri"/>
                <w:sz w:val="16"/>
                <w:szCs w:val="16"/>
                <w:color w:val="auto"/>
              </w:rPr>
              <w:t>Accounts payable</w:t>
            </w:r>
          </w:p>
        </w:tc>
        <w:tc>
          <w:tcPr>
            <w:tcW w:w="380" w:type="dxa"/>
            <w:vAlign w:val="bottom"/>
            <w:gridSpan w:val="3"/>
          </w:tcPr>
          <w:p>
            <w:pPr>
              <w:jc w:val="right"/>
              <w:ind w:right="40"/>
              <w:spacing w:after="0"/>
              <w:rPr>
                <w:sz w:val="20"/>
                <w:szCs w:val="20"/>
                <w:color w:val="auto"/>
              </w:rPr>
            </w:pPr>
            <w:r>
              <w:rPr>
                <w:rFonts w:ascii="Calibri" w:cs="Calibri" w:eastAsia="Calibri" w:hAnsi="Calibri"/>
                <w:sz w:val="16"/>
                <w:szCs w:val="16"/>
                <w:color w:val="auto"/>
              </w:rPr>
              <w:t>$</w:t>
            </w:r>
          </w:p>
        </w:tc>
        <w:tc>
          <w:tcPr>
            <w:tcW w:w="1320" w:type="dxa"/>
            <w:vAlign w:val="bottom"/>
          </w:tcPr>
          <w:p>
            <w:pPr>
              <w:jc w:val="right"/>
              <w:spacing w:after="0"/>
              <w:rPr>
                <w:sz w:val="20"/>
                <w:szCs w:val="20"/>
                <w:color w:val="auto"/>
              </w:rPr>
            </w:pPr>
            <w:r>
              <w:rPr>
                <w:rFonts w:ascii="Calibri" w:cs="Calibri" w:eastAsia="Calibri" w:hAnsi="Calibri"/>
                <w:sz w:val="16"/>
                <w:szCs w:val="16"/>
                <w:color w:val="auto"/>
              </w:rPr>
              <w:t>9,915</w:t>
            </w:r>
          </w:p>
        </w:tc>
        <w:tc>
          <w:tcPr>
            <w:tcW w:w="760" w:type="dxa"/>
            <w:vAlign w:val="bottom"/>
            <w:gridSpan w:val="3"/>
          </w:tcPr>
          <w:p>
            <w:pPr>
              <w:jc w:val="right"/>
              <w:ind w:right="303"/>
              <w:spacing w:after="0"/>
              <w:rPr>
                <w:sz w:val="20"/>
                <w:szCs w:val="20"/>
                <w:color w:val="auto"/>
              </w:rPr>
            </w:pPr>
            <w:r>
              <w:rPr>
                <w:rFonts w:ascii="Calibri" w:cs="Calibri" w:eastAsia="Calibri" w:hAnsi="Calibri"/>
                <w:sz w:val="16"/>
                <w:szCs w:val="16"/>
                <w:color w:val="auto"/>
              </w:rPr>
              <w:t>$</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28,456</w:t>
            </w:r>
          </w:p>
        </w:tc>
      </w:tr>
      <w:tr>
        <w:trPr>
          <w:trHeight w:val="197"/>
        </w:trPr>
        <w:tc>
          <w:tcPr>
            <w:tcW w:w="7600" w:type="dxa"/>
            <w:vAlign w:val="bottom"/>
            <w:shd w:val="clear" w:color="auto" w:fill="E5E5E5"/>
          </w:tcPr>
          <w:p>
            <w:pPr>
              <w:ind w:left="120"/>
              <w:spacing w:after="0"/>
              <w:rPr>
                <w:sz w:val="20"/>
                <w:szCs w:val="20"/>
                <w:color w:val="auto"/>
              </w:rPr>
            </w:pPr>
            <w:r>
              <w:rPr>
                <w:rFonts w:ascii="Calibri" w:cs="Calibri" w:eastAsia="Calibri" w:hAnsi="Calibri"/>
                <w:sz w:val="16"/>
                <w:szCs w:val="16"/>
                <w:color w:val="auto"/>
              </w:rPr>
              <w:t>Accrued rebates, fees and reserves</w:t>
            </w:r>
          </w:p>
        </w:tc>
        <w:tc>
          <w:tcPr>
            <w:tcW w:w="1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32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30,397</w:t>
            </w:r>
          </w:p>
        </w:tc>
        <w:tc>
          <w:tcPr>
            <w:tcW w:w="3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164,867</w:t>
            </w:r>
          </w:p>
        </w:tc>
      </w:tr>
      <w:tr>
        <w:trPr>
          <w:trHeight w:val="196"/>
        </w:trPr>
        <w:tc>
          <w:tcPr>
            <w:tcW w:w="7600" w:type="dxa"/>
            <w:vAlign w:val="bottom"/>
          </w:tcPr>
          <w:p>
            <w:pPr>
              <w:ind w:left="120"/>
              <w:spacing w:after="0"/>
              <w:rPr>
                <w:sz w:val="20"/>
                <w:szCs w:val="20"/>
                <w:color w:val="auto"/>
              </w:rPr>
            </w:pPr>
            <w:r>
              <w:rPr>
                <w:rFonts w:ascii="Calibri" w:cs="Calibri" w:eastAsia="Calibri" w:hAnsi="Calibri"/>
                <w:sz w:val="16"/>
                <w:szCs w:val="16"/>
                <w:color w:val="auto"/>
              </w:rPr>
              <w:t>TSA payables and accrued liabilities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alibri" w:cs="Calibri" w:eastAsia="Calibri" w:hAnsi="Calibri"/>
                <w:sz w:val="16"/>
                <w:szCs w:val="16"/>
                <w:color w:val="auto"/>
              </w:rPr>
              <w:t>65,065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11,026</w:t>
            </w:r>
          </w:p>
        </w:tc>
      </w:tr>
      <w:tr>
        <w:trPr>
          <w:trHeight w:val="197"/>
        </w:trPr>
        <w:tc>
          <w:tcPr>
            <w:tcW w:w="7600" w:type="dxa"/>
            <w:vAlign w:val="bottom"/>
            <w:shd w:val="clear" w:color="auto" w:fill="E5E5E5"/>
          </w:tcPr>
          <w:p>
            <w:pPr>
              <w:ind w:left="120"/>
              <w:spacing w:after="0"/>
              <w:rPr>
                <w:sz w:val="20"/>
                <w:szCs w:val="20"/>
                <w:color w:val="auto"/>
              </w:rPr>
            </w:pPr>
            <w:r>
              <w:rPr>
                <w:rFonts w:ascii="Calibri" w:cs="Calibri" w:eastAsia="Calibri" w:hAnsi="Calibri"/>
                <w:sz w:val="16"/>
                <w:szCs w:val="16"/>
                <w:color w:val="auto"/>
              </w:rPr>
              <w:t>Accrued compensation</w:t>
            </w:r>
          </w:p>
        </w:tc>
        <w:tc>
          <w:tcPr>
            <w:tcW w:w="1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32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14,579</w:t>
            </w:r>
          </w:p>
        </w:tc>
        <w:tc>
          <w:tcPr>
            <w:tcW w:w="3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18,344</w:t>
            </w:r>
          </w:p>
        </w:tc>
      </w:tr>
      <w:tr>
        <w:trPr>
          <w:trHeight w:val="196"/>
        </w:trPr>
        <w:tc>
          <w:tcPr>
            <w:tcW w:w="7600" w:type="dxa"/>
            <w:vAlign w:val="bottom"/>
            <w:tcBorders>
              <w:bottom w:val="single" w:sz="8" w:color="E5E5E5"/>
            </w:tcBorders>
          </w:tcPr>
          <w:p>
            <w:pPr>
              <w:ind w:left="120"/>
              <w:spacing w:after="0"/>
              <w:rPr>
                <w:sz w:val="20"/>
                <w:szCs w:val="20"/>
                <w:color w:val="auto"/>
              </w:rPr>
            </w:pPr>
            <w:r>
              <w:rPr>
                <w:rFonts w:ascii="Calibri" w:cs="Calibri" w:eastAsia="Calibri" w:hAnsi="Calibri"/>
                <w:sz w:val="16"/>
                <w:szCs w:val="16"/>
                <w:color w:val="auto"/>
              </w:rPr>
              <w:t>Accrued and other current liabilities</w:t>
            </w:r>
          </w:p>
        </w:tc>
        <w:tc>
          <w:tcPr>
            <w:tcW w:w="160" w:type="dxa"/>
            <w:vAlign w:val="bottom"/>
            <w:tcBorders>
              <w:bottom w:val="single" w:sz="8" w:color="E5E5E5"/>
            </w:tcBorders>
          </w:tcPr>
          <w:p>
            <w:pPr>
              <w:spacing w:after="0"/>
              <w:rPr>
                <w:sz w:val="17"/>
                <w:szCs w:val="17"/>
                <w:color w:val="auto"/>
              </w:rPr>
            </w:pPr>
          </w:p>
        </w:tc>
        <w:tc>
          <w:tcPr>
            <w:tcW w:w="20" w:type="dxa"/>
            <w:vAlign w:val="bottom"/>
            <w:tcBorders>
              <w:bottom w:val="single" w:sz="8" w:color="E5E5E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20,430</w:t>
            </w:r>
          </w:p>
        </w:tc>
        <w:tc>
          <w:tcPr>
            <w:tcW w:w="320" w:type="dxa"/>
            <w:vAlign w:val="bottom"/>
            <w:tcBorders>
              <w:bottom w:val="single" w:sz="8" w:color="E5E5E5"/>
            </w:tcBorders>
          </w:tcPr>
          <w:p>
            <w:pPr>
              <w:spacing w:after="0"/>
              <w:rPr>
                <w:sz w:val="17"/>
                <w:szCs w:val="17"/>
                <w:color w:val="auto"/>
              </w:rPr>
            </w:pPr>
          </w:p>
        </w:tc>
        <w:tc>
          <w:tcPr>
            <w:tcW w:w="20" w:type="dxa"/>
            <w:vAlign w:val="bottom"/>
            <w:tcBorders>
              <w:bottom w:val="single" w:sz="8" w:color="E5E5E5"/>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60,288</w:t>
            </w:r>
          </w:p>
        </w:tc>
      </w:tr>
      <w:tr>
        <w:trPr>
          <w:trHeight w:val="186"/>
        </w:trPr>
        <w:tc>
          <w:tcPr>
            <w:tcW w:w="7600" w:type="dxa"/>
            <w:vAlign w:val="bottom"/>
            <w:shd w:val="clear" w:color="auto" w:fill="E5E5E5"/>
          </w:tcPr>
          <w:p>
            <w:pPr>
              <w:ind w:left="120"/>
              <w:spacing w:after="0" w:line="187" w:lineRule="exact"/>
              <w:rPr>
                <w:sz w:val="20"/>
                <w:szCs w:val="20"/>
                <w:color w:val="auto"/>
              </w:rPr>
            </w:pPr>
            <w:r>
              <w:rPr>
                <w:rFonts w:ascii="Calibri" w:cs="Calibri" w:eastAsia="Calibri" w:hAnsi="Calibri"/>
                <w:sz w:val="16"/>
                <w:szCs w:val="16"/>
                <w:color w:val="auto"/>
              </w:rPr>
              <w:t>Total current liabilities</w:t>
            </w:r>
          </w:p>
        </w:tc>
        <w:tc>
          <w:tcPr>
            <w:tcW w:w="1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320" w:type="dxa"/>
            <w:vAlign w:val="bottom"/>
            <w:shd w:val="clear" w:color="auto" w:fill="E5E5E5"/>
          </w:tcPr>
          <w:p>
            <w:pPr>
              <w:jc w:val="right"/>
              <w:spacing w:after="0" w:line="187" w:lineRule="exact"/>
              <w:rPr>
                <w:sz w:val="20"/>
                <w:szCs w:val="20"/>
                <w:color w:val="auto"/>
              </w:rPr>
            </w:pPr>
            <w:r>
              <w:rPr>
                <w:rFonts w:ascii="Calibri" w:cs="Calibri" w:eastAsia="Calibri" w:hAnsi="Calibri"/>
                <w:sz w:val="16"/>
                <w:szCs w:val="16"/>
                <w:color w:val="auto"/>
              </w:rPr>
              <w:t>140,386</w:t>
            </w:r>
          </w:p>
        </w:tc>
        <w:tc>
          <w:tcPr>
            <w:tcW w:w="3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100" w:type="dxa"/>
            <w:vAlign w:val="bottom"/>
            <w:shd w:val="clear" w:color="auto" w:fill="E5E5E5"/>
          </w:tcPr>
          <w:p>
            <w:pPr>
              <w:jc w:val="right"/>
              <w:spacing w:after="0" w:line="187" w:lineRule="exact"/>
              <w:rPr>
                <w:sz w:val="20"/>
                <w:szCs w:val="20"/>
                <w:color w:val="auto"/>
              </w:rPr>
            </w:pPr>
            <w:r>
              <w:rPr>
                <w:rFonts w:ascii="Calibri" w:cs="Calibri" w:eastAsia="Calibri" w:hAnsi="Calibri"/>
                <w:sz w:val="16"/>
                <w:szCs w:val="16"/>
                <w:color w:val="auto"/>
              </w:rPr>
              <w:t>282,981</w:t>
            </w:r>
          </w:p>
        </w:tc>
      </w:tr>
      <w:tr>
        <w:trPr>
          <w:trHeight w:val="197"/>
        </w:trPr>
        <w:tc>
          <w:tcPr>
            <w:tcW w:w="7600" w:type="dxa"/>
            <w:vAlign w:val="bottom"/>
          </w:tcPr>
          <w:p>
            <w:pPr>
              <w:spacing w:after="0"/>
              <w:rPr>
                <w:sz w:val="20"/>
                <w:szCs w:val="20"/>
                <w:color w:val="auto"/>
              </w:rPr>
            </w:pPr>
            <w:r>
              <w:rPr>
                <w:rFonts w:ascii="Calibri" w:cs="Calibri" w:eastAsia="Calibri" w:hAnsi="Calibri"/>
                <w:sz w:val="16"/>
                <w:szCs w:val="16"/>
                <w:color w:val="auto"/>
              </w:rPr>
              <w:t>Term loan, non-current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alibri" w:cs="Calibri" w:eastAsia="Calibri" w:hAnsi="Calibri"/>
                <w:sz w:val="16"/>
                <w:szCs w:val="16"/>
                <w:color w:val="auto"/>
              </w:rPr>
              <w:t>37,051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36,698</w:t>
            </w:r>
          </w:p>
        </w:tc>
      </w:tr>
      <w:tr>
        <w:trPr>
          <w:trHeight w:val="197"/>
        </w:trPr>
        <w:tc>
          <w:tcPr>
            <w:tcW w:w="7600" w:type="dxa"/>
            <w:vAlign w:val="bottom"/>
            <w:shd w:val="clear" w:color="auto" w:fill="E5E5E5"/>
          </w:tcPr>
          <w:p>
            <w:pPr>
              <w:spacing w:after="0"/>
              <w:rPr>
                <w:sz w:val="20"/>
                <w:szCs w:val="20"/>
                <w:color w:val="auto"/>
              </w:rPr>
            </w:pPr>
            <w:r>
              <w:rPr>
                <w:rFonts w:ascii="Calibri" w:cs="Calibri" w:eastAsia="Calibri" w:hAnsi="Calibri"/>
                <w:sz w:val="16"/>
                <w:szCs w:val="16"/>
                <w:color w:val="auto"/>
              </w:rPr>
              <w:t>Convertible notes, non-current</w:t>
            </w:r>
          </w:p>
        </w:tc>
        <w:tc>
          <w:tcPr>
            <w:tcW w:w="1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32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w:t>
            </w:r>
          </w:p>
        </w:tc>
        <w:tc>
          <w:tcPr>
            <w:tcW w:w="3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228,229</w:t>
            </w:r>
          </w:p>
        </w:tc>
      </w:tr>
      <w:tr>
        <w:trPr>
          <w:trHeight w:val="196"/>
        </w:trPr>
        <w:tc>
          <w:tcPr>
            <w:tcW w:w="7600" w:type="dxa"/>
            <w:vAlign w:val="bottom"/>
          </w:tcPr>
          <w:p>
            <w:pPr>
              <w:spacing w:after="0"/>
              <w:rPr>
                <w:sz w:val="20"/>
                <w:szCs w:val="20"/>
                <w:color w:val="auto"/>
              </w:rPr>
            </w:pPr>
            <w:r>
              <w:rPr>
                <w:rFonts w:ascii="Calibri" w:cs="Calibri" w:eastAsia="Calibri" w:hAnsi="Calibri"/>
                <w:sz w:val="16"/>
                <w:szCs w:val="16"/>
                <w:color w:val="auto"/>
              </w:rPr>
              <w:t>Lease liabilities, non-current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alibri" w:cs="Calibri" w:eastAsia="Calibri" w:hAnsi="Calibri"/>
                <w:sz w:val="16"/>
                <w:szCs w:val="16"/>
                <w:color w:val="auto"/>
              </w:rPr>
              <w:t>1,457</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3,286</w:t>
            </w:r>
          </w:p>
        </w:tc>
      </w:tr>
      <w:tr>
        <w:trPr>
          <w:trHeight w:val="217"/>
        </w:trPr>
        <w:tc>
          <w:tcPr>
            <w:tcW w:w="7600" w:type="dxa"/>
            <w:vAlign w:val="bottom"/>
            <w:tcBorders>
              <w:bottom w:val="single" w:sz="8" w:color="E5E5E5"/>
            </w:tcBorders>
            <w:shd w:val="clear" w:color="auto" w:fill="E5E5E5"/>
          </w:tcPr>
          <w:p>
            <w:pPr>
              <w:spacing w:after="0"/>
              <w:rPr>
                <w:sz w:val="20"/>
                <w:szCs w:val="20"/>
                <w:color w:val="auto"/>
              </w:rPr>
            </w:pPr>
            <w:r>
              <w:rPr>
                <w:rFonts w:ascii="Calibri" w:cs="Calibri" w:eastAsia="Calibri" w:hAnsi="Calibri"/>
                <w:sz w:val="16"/>
                <w:szCs w:val="16"/>
                <w:color w:val="auto"/>
              </w:rPr>
              <w:t>Other liabilities, non-current</w:t>
            </w:r>
          </w:p>
        </w:tc>
        <w:tc>
          <w:tcPr>
            <w:tcW w:w="160" w:type="dxa"/>
            <w:vAlign w:val="bottom"/>
            <w:tcBorders>
              <w:bottom w:val="single" w:sz="8" w:color="E5E5E5"/>
            </w:tcBorders>
            <w:shd w:val="clear" w:color="auto" w:fill="E5E5E5"/>
          </w:tcPr>
          <w:p>
            <w:pPr>
              <w:spacing w:after="0"/>
              <w:rPr>
                <w:sz w:val="18"/>
                <w:szCs w:val="18"/>
                <w:color w:val="auto"/>
              </w:rPr>
            </w:pPr>
          </w:p>
        </w:tc>
        <w:tc>
          <w:tcPr>
            <w:tcW w:w="20" w:type="dxa"/>
            <w:vAlign w:val="bottom"/>
            <w:tcBorders>
              <w:bottom w:val="single" w:sz="8" w:color="E5E5E5"/>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16"/>
                <w:szCs w:val="16"/>
                <w:color w:val="auto"/>
              </w:rPr>
              <w:t>18,435</w:t>
            </w:r>
          </w:p>
        </w:tc>
        <w:tc>
          <w:tcPr>
            <w:tcW w:w="320" w:type="dxa"/>
            <w:vAlign w:val="bottom"/>
            <w:tcBorders>
              <w:bottom w:val="single" w:sz="8" w:color="E5E5E5"/>
            </w:tcBorders>
            <w:shd w:val="clear" w:color="auto" w:fill="E5E5E5"/>
          </w:tcPr>
          <w:p>
            <w:pPr>
              <w:spacing w:after="0"/>
              <w:rPr>
                <w:sz w:val="18"/>
                <w:szCs w:val="18"/>
                <w:color w:val="auto"/>
              </w:rPr>
            </w:pPr>
          </w:p>
        </w:tc>
        <w:tc>
          <w:tcPr>
            <w:tcW w:w="20" w:type="dxa"/>
            <w:vAlign w:val="bottom"/>
            <w:tcBorders>
              <w:bottom w:val="single" w:sz="8" w:color="E5E5E5"/>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16"/>
                <w:szCs w:val="16"/>
                <w:color w:val="auto"/>
              </w:rPr>
              <w:t>29,329</w:t>
            </w:r>
          </w:p>
        </w:tc>
      </w:tr>
      <w:tr>
        <w:trPr>
          <w:trHeight w:val="166"/>
        </w:trPr>
        <w:tc>
          <w:tcPr>
            <w:tcW w:w="7600" w:type="dxa"/>
            <w:vAlign w:val="bottom"/>
            <w:tcBorders>
              <w:bottom w:val="single" w:sz="8" w:color="E5E5E5"/>
            </w:tcBorders>
          </w:tcPr>
          <w:p>
            <w:pPr>
              <w:spacing w:after="0" w:line="167" w:lineRule="exact"/>
              <w:rPr>
                <w:sz w:val="20"/>
                <w:szCs w:val="20"/>
                <w:color w:val="auto"/>
              </w:rPr>
            </w:pPr>
            <w:r>
              <w:rPr>
                <w:rFonts w:ascii="Calibri" w:cs="Calibri" w:eastAsia="Calibri" w:hAnsi="Calibri"/>
                <w:sz w:val="16"/>
                <w:szCs w:val="16"/>
                <w:color w:val="auto"/>
              </w:rPr>
              <w:t>Total liabilities</w:t>
            </w:r>
          </w:p>
        </w:tc>
        <w:tc>
          <w:tcPr>
            <w:tcW w:w="160" w:type="dxa"/>
            <w:vAlign w:val="bottom"/>
            <w:tcBorders>
              <w:bottom w:val="single" w:sz="8" w:color="E5E5E5"/>
            </w:tcBorders>
          </w:tcPr>
          <w:p>
            <w:pPr>
              <w:spacing w:after="0"/>
              <w:rPr>
                <w:sz w:val="14"/>
                <w:szCs w:val="14"/>
                <w:color w:val="auto"/>
              </w:rPr>
            </w:pPr>
          </w:p>
        </w:tc>
        <w:tc>
          <w:tcPr>
            <w:tcW w:w="20" w:type="dxa"/>
            <w:vAlign w:val="bottom"/>
            <w:tcBorders>
              <w:bottom w:val="single" w:sz="8" w:color="E5E5E5"/>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67" w:lineRule="exact"/>
              <w:rPr>
                <w:sz w:val="20"/>
                <w:szCs w:val="20"/>
                <w:color w:val="auto"/>
              </w:rPr>
            </w:pPr>
            <w:r>
              <w:rPr>
                <w:rFonts w:ascii="Calibri" w:cs="Calibri" w:eastAsia="Calibri" w:hAnsi="Calibri"/>
                <w:sz w:val="16"/>
                <w:szCs w:val="16"/>
                <w:color w:val="auto"/>
              </w:rPr>
              <w:t>197,329</w:t>
            </w:r>
          </w:p>
        </w:tc>
        <w:tc>
          <w:tcPr>
            <w:tcW w:w="320" w:type="dxa"/>
            <w:vAlign w:val="bottom"/>
            <w:tcBorders>
              <w:bottom w:val="single" w:sz="8" w:color="E5E5E5"/>
            </w:tcBorders>
          </w:tcPr>
          <w:p>
            <w:pPr>
              <w:spacing w:after="0"/>
              <w:rPr>
                <w:sz w:val="14"/>
                <w:szCs w:val="14"/>
                <w:color w:val="auto"/>
              </w:rPr>
            </w:pPr>
          </w:p>
        </w:tc>
        <w:tc>
          <w:tcPr>
            <w:tcW w:w="20" w:type="dxa"/>
            <w:vAlign w:val="bottom"/>
            <w:tcBorders>
              <w:bottom w:val="single" w:sz="8" w:color="E5E5E5"/>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7" w:lineRule="exact"/>
              <w:rPr>
                <w:sz w:val="20"/>
                <w:szCs w:val="20"/>
                <w:color w:val="auto"/>
              </w:rPr>
            </w:pPr>
            <w:r>
              <w:rPr>
                <w:rFonts w:ascii="Calibri" w:cs="Calibri" w:eastAsia="Calibri" w:hAnsi="Calibri"/>
                <w:sz w:val="16"/>
                <w:szCs w:val="16"/>
                <w:color w:val="auto"/>
              </w:rPr>
              <w:t>580,523</w:t>
            </w:r>
          </w:p>
        </w:tc>
      </w:tr>
      <w:tr>
        <w:trPr>
          <w:trHeight w:val="186"/>
        </w:trPr>
        <w:tc>
          <w:tcPr>
            <w:tcW w:w="7600" w:type="dxa"/>
            <w:vAlign w:val="bottom"/>
            <w:shd w:val="clear" w:color="auto" w:fill="E5E5E5"/>
          </w:tcPr>
          <w:p>
            <w:pPr>
              <w:spacing w:after="0" w:line="187" w:lineRule="exact"/>
              <w:rPr>
                <w:sz w:val="20"/>
                <w:szCs w:val="20"/>
                <w:color w:val="auto"/>
              </w:rPr>
            </w:pPr>
            <w:r>
              <w:rPr>
                <w:rFonts w:ascii="Calibri" w:cs="Calibri" w:eastAsia="Calibri" w:hAnsi="Calibri"/>
                <w:sz w:val="16"/>
                <w:szCs w:val="16"/>
                <w:color w:val="auto"/>
              </w:rPr>
              <w:t>Commitments and contingencies (Note 9)</w:t>
            </w:r>
          </w:p>
        </w:tc>
        <w:tc>
          <w:tcPr>
            <w:tcW w:w="1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32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1100" w:type="dxa"/>
            <w:vAlign w:val="bottom"/>
            <w:shd w:val="clear" w:color="auto" w:fill="E5E5E5"/>
          </w:tcPr>
          <w:p>
            <w:pPr>
              <w:spacing w:after="0"/>
              <w:rPr>
                <w:sz w:val="16"/>
                <w:szCs w:val="16"/>
                <w:color w:val="auto"/>
              </w:rPr>
            </w:pPr>
          </w:p>
        </w:tc>
      </w:tr>
      <w:tr>
        <w:trPr>
          <w:trHeight w:val="196"/>
        </w:trPr>
        <w:tc>
          <w:tcPr>
            <w:tcW w:w="7600" w:type="dxa"/>
            <w:vAlign w:val="bottom"/>
          </w:tcPr>
          <w:p>
            <w:pPr>
              <w:spacing w:after="0"/>
              <w:rPr>
                <w:sz w:val="20"/>
                <w:szCs w:val="20"/>
                <w:color w:val="auto"/>
              </w:rPr>
            </w:pPr>
            <w:r>
              <w:rPr>
                <w:rFonts w:ascii="Calibri" w:cs="Calibri" w:eastAsia="Calibri" w:hAnsi="Calibri"/>
                <w:sz w:val="16"/>
                <w:szCs w:val="16"/>
                <w:color w:val="auto"/>
              </w:rPr>
              <w:t>Stockholders’ equity (deficit):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7600" w:type="dxa"/>
            <w:vAlign w:val="bottom"/>
            <w:shd w:val="clear" w:color="auto" w:fill="E5E5E5"/>
          </w:tcPr>
          <w:p>
            <w:pPr>
              <w:ind w:left="120"/>
              <w:spacing w:after="0"/>
              <w:rPr>
                <w:sz w:val="20"/>
                <w:szCs w:val="20"/>
                <w:color w:val="auto"/>
              </w:rPr>
            </w:pPr>
            <w:r>
              <w:rPr>
                <w:rFonts w:ascii="Calibri" w:cs="Calibri" w:eastAsia="Calibri" w:hAnsi="Calibri"/>
                <w:sz w:val="16"/>
                <w:szCs w:val="16"/>
                <w:color w:val="auto"/>
              </w:rPr>
              <w:t>Preferred stock ($0.0001 par value; shares authorized: 5,000,000; shares issued and outstanding: 0 at December</w:t>
            </w:r>
          </w:p>
        </w:tc>
        <w:tc>
          <w:tcPr>
            <w:tcW w:w="1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32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r>
      <w:tr>
        <w:trPr>
          <w:trHeight w:val="197"/>
        </w:trPr>
        <w:tc>
          <w:tcPr>
            <w:tcW w:w="7600" w:type="dxa"/>
            <w:vAlign w:val="bottom"/>
            <w:shd w:val="clear" w:color="auto" w:fill="E5E5E5"/>
          </w:tcPr>
          <w:p>
            <w:pPr>
              <w:ind w:left="120"/>
              <w:spacing w:after="0"/>
              <w:rPr>
                <w:sz w:val="20"/>
                <w:szCs w:val="20"/>
                <w:color w:val="auto"/>
              </w:rPr>
            </w:pPr>
            <w:r>
              <w:rPr>
                <w:rFonts w:ascii="Calibri" w:cs="Calibri" w:eastAsia="Calibri" w:hAnsi="Calibri"/>
                <w:sz w:val="16"/>
                <w:szCs w:val="16"/>
                <w:color w:val="auto"/>
              </w:rPr>
              <w:t>31, 2025 and December 31, 2024)</w:t>
            </w:r>
          </w:p>
        </w:tc>
        <w:tc>
          <w:tcPr>
            <w:tcW w:w="1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32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w:t>
            </w:r>
          </w:p>
        </w:tc>
        <w:tc>
          <w:tcPr>
            <w:tcW w:w="3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w:t>
            </w:r>
          </w:p>
        </w:tc>
      </w:tr>
      <w:tr>
        <w:trPr>
          <w:trHeight w:val="183"/>
        </w:trPr>
        <w:tc>
          <w:tcPr>
            <w:tcW w:w="7600" w:type="dxa"/>
            <w:vAlign w:val="bottom"/>
          </w:tcPr>
          <w:p>
            <w:pPr>
              <w:ind w:left="120"/>
              <w:spacing w:after="0" w:line="184" w:lineRule="exact"/>
              <w:rPr>
                <w:sz w:val="20"/>
                <w:szCs w:val="20"/>
                <w:color w:val="auto"/>
              </w:rPr>
            </w:pPr>
            <w:r>
              <w:rPr>
                <w:rFonts w:ascii="Calibri" w:cs="Calibri" w:eastAsia="Calibri" w:hAnsi="Calibri"/>
                <w:sz w:val="16"/>
                <w:szCs w:val="16"/>
                <w:color w:val="auto"/>
              </w:rPr>
              <w:t>Common stock ($0.0001 par value; shares authorized: 300,000,000; shares issued and outstanding: 121,154,925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8"/>
        </w:trPr>
        <w:tc>
          <w:tcPr>
            <w:tcW w:w="7600" w:type="dxa"/>
            <w:vAlign w:val="bottom"/>
          </w:tcPr>
          <w:p>
            <w:pPr>
              <w:ind w:left="120"/>
              <w:spacing w:after="0"/>
              <w:rPr>
                <w:sz w:val="20"/>
                <w:szCs w:val="20"/>
                <w:color w:val="auto"/>
              </w:rPr>
            </w:pPr>
            <w:r>
              <w:rPr>
                <w:rFonts w:ascii="Calibri" w:cs="Calibri" w:eastAsia="Calibri" w:hAnsi="Calibri"/>
                <w:sz w:val="16"/>
                <w:szCs w:val="16"/>
                <w:color w:val="auto"/>
              </w:rPr>
              <w:t>and 115,614,548 at December 31, 2025 and December 31, 2024, respectively)</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Calibri" w:cs="Calibri" w:eastAsia="Calibri" w:hAnsi="Calibri"/>
                <w:sz w:val="16"/>
                <w:szCs w:val="16"/>
                <w:color w:val="auto"/>
              </w:rPr>
              <w:t>12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12</w:t>
            </w:r>
          </w:p>
        </w:tc>
      </w:tr>
      <w:tr>
        <w:trPr>
          <w:trHeight w:val="197"/>
        </w:trPr>
        <w:tc>
          <w:tcPr>
            <w:tcW w:w="7600" w:type="dxa"/>
            <w:vAlign w:val="bottom"/>
            <w:shd w:val="clear" w:color="auto" w:fill="E5E5E5"/>
          </w:tcPr>
          <w:p>
            <w:pPr>
              <w:ind w:left="120"/>
              <w:spacing w:after="0"/>
              <w:rPr>
                <w:sz w:val="20"/>
                <w:szCs w:val="20"/>
                <w:color w:val="auto"/>
              </w:rPr>
            </w:pPr>
            <w:r>
              <w:rPr>
                <w:rFonts w:ascii="Calibri" w:cs="Calibri" w:eastAsia="Calibri" w:hAnsi="Calibri"/>
                <w:sz w:val="16"/>
                <w:szCs w:val="16"/>
                <w:color w:val="auto"/>
              </w:rPr>
              <w:t>Additional paid-in capital</w:t>
            </w:r>
          </w:p>
        </w:tc>
        <w:tc>
          <w:tcPr>
            <w:tcW w:w="16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32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1,444,166</w:t>
            </w:r>
          </w:p>
        </w:tc>
        <w:tc>
          <w:tcPr>
            <w:tcW w:w="3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1,419,266</w:t>
            </w:r>
          </w:p>
        </w:tc>
      </w:tr>
      <w:tr>
        <w:trPr>
          <w:trHeight w:val="196"/>
        </w:trPr>
        <w:tc>
          <w:tcPr>
            <w:tcW w:w="7600" w:type="dxa"/>
            <w:vAlign w:val="bottom"/>
          </w:tcPr>
          <w:p>
            <w:pPr>
              <w:ind w:left="120"/>
              <w:spacing w:after="0"/>
              <w:rPr>
                <w:sz w:val="20"/>
                <w:szCs w:val="20"/>
                <w:color w:val="auto"/>
              </w:rPr>
            </w:pPr>
            <w:r>
              <w:rPr>
                <w:rFonts w:ascii="Calibri" w:cs="Calibri" w:eastAsia="Calibri" w:hAnsi="Calibri"/>
                <w:sz w:val="16"/>
                <w:szCs w:val="16"/>
                <w:color w:val="auto"/>
              </w:rPr>
              <w:t>Accumulated other comprehensive loss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alibri" w:cs="Calibri" w:eastAsia="Calibri" w:hAnsi="Calibri"/>
                <w:sz w:val="16"/>
                <w:szCs w:val="16"/>
                <w:color w:val="auto"/>
              </w:rPr>
              <w:t>(195)</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(275)</w:t>
            </w:r>
          </w:p>
        </w:tc>
      </w:tr>
      <w:tr>
        <w:trPr>
          <w:trHeight w:val="217"/>
        </w:trPr>
        <w:tc>
          <w:tcPr>
            <w:tcW w:w="7600" w:type="dxa"/>
            <w:vAlign w:val="bottom"/>
            <w:tcBorders>
              <w:bottom w:val="single" w:sz="8" w:color="E5E5E5"/>
            </w:tcBorders>
            <w:shd w:val="clear" w:color="auto" w:fill="E5E5E5"/>
          </w:tcPr>
          <w:p>
            <w:pPr>
              <w:ind w:left="120"/>
              <w:spacing w:after="0"/>
              <w:rPr>
                <w:sz w:val="20"/>
                <w:szCs w:val="20"/>
                <w:color w:val="auto"/>
              </w:rPr>
            </w:pPr>
            <w:r>
              <w:rPr>
                <w:rFonts w:ascii="Calibri" w:cs="Calibri" w:eastAsia="Calibri" w:hAnsi="Calibri"/>
                <w:sz w:val="16"/>
                <w:szCs w:val="16"/>
                <w:color w:val="auto"/>
              </w:rPr>
              <w:t>Accumulated deficit</w:t>
            </w:r>
          </w:p>
        </w:tc>
        <w:tc>
          <w:tcPr>
            <w:tcW w:w="160" w:type="dxa"/>
            <w:vAlign w:val="bottom"/>
            <w:tcBorders>
              <w:bottom w:val="single" w:sz="8" w:color="E5E5E5"/>
            </w:tcBorders>
            <w:shd w:val="clear" w:color="auto" w:fill="E5E5E5"/>
          </w:tcPr>
          <w:p>
            <w:pPr>
              <w:spacing w:after="0"/>
              <w:rPr>
                <w:sz w:val="18"/>
                <w:szCs w:val="18"/>
                <w:color w:val="auto"/>
              </w:rPr>
            </w:pPr>
          </w:p>
        </w:tc>
        <w:tc>
          <w:tcPr>
            <w:tcW w:w="20" w:type="dxa"/>
            <w:vAlign w:val="bottom"/>
            <w:tcBorders>
              <w:bottom w:val="single" w:sz="8" w:color="E5E5E5"/>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16"/>
                <w:szCs w:val="16"/>
                <w:color w:val="auto"/>
              </w:rPr>
              <w:t>(1,382,969)</w:t>
            </w:r>
          </w:p>
        </w:tc>
        <w:tc>
          <w:tcPr>
            <w:tcW w:w="320" w:type="dxa"/>
            <w:vAlign w:val="bottom"/>
            <w:tcBorders>
              <w:bottom w:val="single" w:sz="8" w:color="E5E5E5"/>
            </w:tcBorders>
            <w:shd w:val="clear" w:color="auto" w:fill="E5E5E5"/>
          </w:tcPr>
          <w:p>
            <w:pPr>
              <w:spacing w:after="0"/>
              <w:rPr>
                <w:sz w:val="18"/>
                <w:szCs w:val="18"/>
                <w:color w:val="auto"/>
              </w:rPr>
            </w:pPr>
          </w:p>
        </w:tc>
        <w:tc>
          <w:tcPr>
            <w:tcW w:w="20" w:type="dxa"/>
            <w:vAlign w:val="bottom"/>
            <w:tcBorders>
              <w:bottom w:val="single" w:sz="8" w:color="E5E5E5"/>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16"/>
                <w:szCs w:val="16"/>
                <w:color w:val="auto"/>
              </w:rPr>
              <w:t>(1,550,993)</w:t>
            </w:r>
          </w:p>
        </w:tc>
      </w:tr>
      <w:tr>
        <w:trPr>
          <w:trHeight w:val="166"/>
        </w:trPr>
        <w:tc>
          <w:tcPr>
            <w:tcW w:w="7600" w:type="dxa"/>
            <w:vAlign w:val="bottom"/>
            <w:tcBorders>
              <w:bottom w:val="single" w:sz="8" w:color="E5E5E5"/>
            </w:tcBorders>
          </w:tcPr>
          <w:p>
            <w:pPr>
              <w:spacing w:after="0" w:line="167" w:lineRule="exact"/>
              <w:rPr>
                <w:sz w:val="20"/>
                <w:szCs w:val="20"/>
                <w:color w:val="auto"/>
              </w:rPr>
            </w:pPr>
            <w:r>
              <w:rPr>
                <w:rFonts w:ascii="Calibri" w:cs="Calibri" w:eastAsia="Calibri" w:hAnsi="Calibri"/>
                <w:sz w:val="16"/>
                <w:szCs w:val="16"/>
                <w:color w:val="auto"/>
              </w:rPr>
              <w:t>Total stockholders' equity (deficit)</w:t>
            </w:r>
          </w:p>
        </w:tc>
        <w:tc>
          <w:tcPr>
            <w:tcW w:w="160" w:type="dxa"/>
            <w:vAlign w:val="bottom"/>
            <w:tcBorders>
              <w:bottom w:val="single" w:sz="8" w:color="E5E5E5"/>
            </w:tcBorders>
          </w:tcPr>
          <w:p>
            <w:pPr>
              <w:spacing w:after="0"/>
              <w:rPr>
                <w:sz w:val="14"/>
                <w:szCs w:val="14"/>
                <w:color w:val="auto"/>
              </w:rPr>
            </w:pPr>
          </w:p>
        </w:tc>
        <w:tc>
          <w:tcPr>
            <w:tcW w:w="20" w:type="dxa"/>
            <w:vAlign w:val="bottom"/>
            <w:tcBorders>
              <w:bottom w:val="single" w:sz="8" w:color="E5E5E5"/>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67" w:lineRule="exact"/>
              <w:rPr>
                <w:sz w:val="20"/>
                <w:szCs w:val="20"/>
                <w:color w:val="auto"/>
              </w:rPr>
            </w:pPr>
            <w:r>
              <w:rPr>
                <w:rFonts w:ascii="Calibri" w:cs="Calibri" w:eastAsia="Calibri" w:hAnsi="Calibri"/>
                <w:sz w:val="16"/>
                <w:szCs w:val="16"/>
                <w:color w:val="auto"/>
              </w:rPr>
              <w:t>61,014</w:t>
            </w:r>
          </w:p>
        </w:tc>
        <w:tc>
          <w:tcPr>
            <w:tcW w:w="320" w:type="dxa"/>
            <w:vAlign w:val="bottom"/>
            <w:tcBorders>
              <w:bottom w:val="single" w:sz="8" w:color="E5E5E5"/>
            </w:tcBorders>
          </w:tcPr>
          <w:p>
            <w:pPr>
              <w:spacing w:after="0"/>
              <w:rPr>
                <w:sz w:val="14"/>
                <w:szCs w:val="14"/>
                <w:color w:val="auto"/>
              </w:rPr>
            </w:pPr>
          </w:p>
        </w:tc>
        <w:tc>
          <w:tcPr>
            <w:tcW w:w="20" w:type="dxa"/>
            <w:vAlign w:val="bottom"/>
            <w:tcBorders>
              <w:bottom w:val="single" w:sz="8" w:color="E5E5E5"/>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7" w:lineRule="exact"/>
              <w:rPr>
                <w:sz w:val="20"/>
                <w:szCs w:val="20"/>
                <w:color w:val="auto"/>
              </w:rPr>
            </w:pPr>
            <w:r>
              <w:rPr>
                <w:rFonts w:ascii="Calibri" w:cs="Calibri" w:eastAsia="Calibri" w:hAnsi="Calibri"/>
                <w:sz w:val="16"/>
                <w:szCs w:val="16"/>
                <w:color w:val="auto"/>
              </w:rPr>
              <w:t>(131,990)</w:t>
            </w:r>
          </w:p>
        </w:tc>
      </w:tr>
      <w:tr>
        <w:trPr>
          <w:trHeight w:val="196"/>
        </w:trPr>
        <w:tc>
          <w:tcPr>
            <w:tcW w:w="7600" w:type="dxa"/>
            <w:vAlign w:val="bottom"/>
            <w:shd w:val="clear" w:color="auto" w:fill="E5E5E5"/>
          </w:tcPr>
          <w:p>
            <w:pPr>
              <w:spacing w:after="0" w:line="187" w:lineRule="exact"/>
              <w:rPr>
                <w:sz w:val="20"/>
                <w:szCs w:val="20"/>
                <w:color w:val="auto"/>
              </w:rPr>
            </w:pPr>
            <w:r>
              <w:rPr>
                <w:rFonts w:ascii="Calibri" w:cs="Calibri" w:eastAsia="Calibri" w:hAnsi="Calibri"/>
                <w:sz w:val="16"/>
                <w:szCs w:val="16"/>
                <w:color w:val="auto"/>
              </w:rPr>
              <w:t>Total liabilities and stockholders’ equity (deficit)</w:t>
            </w:r>
          </w:p>
        </w:tc>
        <w:tc>
          <w:tcPr>
            <w:tcW w:w="160" w:type="dxa"/>
            <w:vAlign w:val="bottom"/>
            <w:shd w:val="clear" w:color="auto" w:fill="E5E5E5"/>
          </w:tcPr>
          <w:p>
            <w:pPr>
              <w:spacing w:after="0"/>
              <w:rPr>
                <w:sz w:val="17"/>
                <w:szCs w:val="17"/>
                <w:color w:val="auto"/>
              </w:rPr>
            </w:pPr>
          </w:p>
        </w:tc>
        <w:tc>
          <w:tcPr>
            <w:tcW w:w="220" w:type="dxa"/>
            <w:vAlign w:val="bottom"/>
            <w:tcBorders>
              <w:bottom w:val="single" w:sz="8" w:color="auto"/>
            </w:tcBorders>
            <w:gridSpan w:val="2"/>
            <w:shd w:val="clear" w:color="auto" w:fill="E5E5E5"/>
          </w:tcPr>
          <w:p>
            <w:pPr>
              <w:jc w:val="right"/>
              <w:ind w:right="40"/>
              <w:spacing w:after="0" w:line="187" w:lineRule="exact"/>
              <w:rPr>
                <w:sz w:val="20"/>
                <w:szCs w:val="20"/>
                <w:color w:val="auto"/>
              </w:rPr>
            </w:pPr>
            <w:r>
              <w:rPr>
                <w:rFonts w:ascii="Calibri" w:cs="Calibri" w:eastAsia="Calibri" w:hAnsi="Calibri"/>
                <w:sz w:val="16"/>
                <w:szCs w:val="16"/>
                <w:color w:val="auto"/>
                <w:w w:val="97"/>
              </w:rPr>
              <w:t>$</w:t>
            </w:r>
          </w:p>
        </w:tc>
        <w:tc>
          <w:tcPr>
            <w:tcW w:w="1320" w:type="dxa"/>
            <w:vAlign w:val="bottom"/>
            <w:tcBorders>
              <w:bottom w:val="single" w:sz="8" w:color="auto"/>
            </w:tcBorders>
            <w:shd w:val="clear" w:color="auto" w:fill="E5E5E5"/>
          </w:tcPr>
          <w:p>
            <w:pPr>
              <w:jc w:val="right"/>
              <w:spacing w:after="0" w:line="187" w:lineRule="exact"/>
              <w:rPr>
                <w:sz w:val="20"/>
                <w:szCs w:val="20"/>
                <w:color w:val="auto"/>
              </w:rPr>
            </w:pPr>
            <w:r>
              <w:rPr>
                <w:rFonts w:ascii="Calibri" w:cs="Calibri" w:eastAsia="Calibri" w:hAnsi="Calibri"/>
                <w:sz w:val="16"/>
                <w:szCs w:val="16"/>
                <w:color w:val="auto"/>
              </w:rPr>
              <w:t>258,343</w:t>
            </w:r>
          </w:p>
        </w:tc>
        <w:tc>
          <w:tcPr>
            <w:tcW w:w="320" w:type="dxa"/>
            <w:vAlign w:val="bottom"/>
            <w:shd w:val="clear" w:color="auto" w:fill="E5E5E5"/>
          </w:tcPr>
          <w:p>
            <w:pPr>
              <w:spacing w:after="0"/>
              <w:rPr>
                <w:sz w:val="17"/>
                <w:szCs w:val="17"/>
                <w:color w:val="auto"/>
              </w:rPr>
            </w:pPr>
          </w:p>
        </w:tc>
        <w:tc>
          <w:tcPr>
            <w:tcW w:w="440" w:type="dxa"/>
            <w:vAlign w:val="bottom"/>
            <w:tcBorders>
              <w:bottom w:val="single" w:sz="8" w:color="auto"/>
            </w:tcBorders>
            <w:gridSpan w:val="2"/>
            <w:shd w:val="clear" w:color="auto" w:fill="E5E5E5"/>
          </w:tcPr>
          <w:p>
            <w:pPr>
              <w:jc w:val="right"/>
              <w:ind w:right="303"/>
              <w:spacing w:after="0" w:line="187" w:lineRule="exact"/>
              <w:rPr>
                <w:sz w:val="20"/>
                <w:szCs w:val="20"/>
                <w:color w:val="auto"/>
              </w:rPr>
            </w:pPr>
            <w:r>
              <w:rPr>
                <w:rFonts w:ascii="Calibri" w:cs="Calibri" w:eastAsia="Calibri" w:hAnsi="Calibri"/>
                <w:sz w:val="16"/>
                <w:szCs w:val="16"/>
                <w:color w:val="auto"/>
                <w:w w:val="73"/>
              </w:rPr>
              <w:t>$</w:t>
            </w:r>
          </w:p>
        </w:tc>
        <w:tc>
          <w:tcPr>
            <w:tcW w:w="1100" w:type="dxa"/>
            <w:vAlign w:val="bottom"/>
            <w:tcBorders>
              <w:bottom w:val="single" w:sz="8" w:color="auto"/>
            </w:tcBorders>
            <w:shd w:val="clear" w:color="auto" w:fill="E5E5E5"/>
          </w:tcPr>
          <w:p>
            <w:pPr>
              <w:jc w:val="right"/>
              <w:spacing w:after="0" w:line="187" w:lineRule="exact"/>
              <w:rPr>
                <w:sz w:val="20"/>
                <w:szCs w:val="20"/>
                <w:color w:val="auto"/>
              </w:rPr>
            </w:pPr>
            <w:r>
              <w:rPr>
                <w:rFonts w:ascii="Calibri" w:cs="Calibri" w:eastAsia="Calibri" w:hAnsi="Calibri"/>
                <w:sz w:val="16"/>
                <w:szCs w:val="16"/>
                <w:color w:val="auto"/>
              </w:rPr>
              <w:t>448,533</w:t>
            </w:r>
          </w:p>
        </w:tc>
      </w:tr>
    </w:tbl>
    <w:p>
      <w:pPr>
        <w:spacing w:after="0" w:line="23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See accompanying notes.</w:t>
      </w:r>
    </w:p>
    <w:p>
      <w:pPr>
        <w:sectPr>
          <w:pgSz w:w="12240" w:h="15840" w:orient="portrait"/>
          <w:cols w:equalWidth="0" w:num="1">
            <w:col w:w="11160"/>
          </w:cols>
          <w:pgMar w:left="540" w:top="530"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78</w:t>
      </w:r>
    </w:p>
    <w:p>
      <w:pPr>
        <w:sectPr>
          <w:pgSz w:w="12240" w:h="15840" w:orient="portrait"/>
          <w:cols w:equalWidth="0" w:num="1">
            <w:col w:w="11160"/>
          </w:cols>
          <w:pgMar w:left="540" w:top="530" w:right="540" w:bottom="9" w:gutter="0" w:footer="0" w:header="0"/>
          <w:type w:val="continuous"/>
        </w:sectPr>
      </w:pPr>
    </w:p>
    <w:bookmarkStart w:id="80" w:name="page81"/>
    <w:bookmarkEnd w:id="80"/>
    <w:p>
      <w:pPr>
        <w:jc w:val="center"/>
        <w:spacing w:after="0"/>
        <w:rPr>
          <w:sz w:val="20"/>
          <w:szCs w:val="20"/>
          <w:color w:val="auto"/>
        </w:rPr>
      </w:pPr>
      <w:r>
        <w:rPr>
          <w:rFonts w:ascii="Calibri" w:cs="Calibri" w:eastAsia="Calibri" w:hAnsi="Calibri"/>
          <w:sz w:val="20"/>
          <w:szCs w:val="20"/>
          <w:b w:val="1"/>
          <w:bCs w:val="1"/>
          <w:color w:val="auto"/>
        </w:rPr>
        <w:t>Coherus Oncology, Inc.</w:t>
      </w:r>
    </w:p>
    <w:p>
      <w:pPr>
        <w:spacing w:after="0" w:line="30"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Consolidated Statements of Operations</w:t>
      </w:r>
    </w:p>
    <w:p>
      <w:pPr>
        <w:jc w:val="center"/>
        <w:spacing w:after="0"/>
        <w:rPr>
          <w:sz w:val="20"/>
          <w:szCs w:val="20"/>
          <w:color w:val="auto"/>
        </w:rPr>
      </w:pPr>
      <w:r>
        <w:rPr>
          <w:rFonts w:ascii="Calibri" w:cs="Calibri" w:eastAsia="Calibri" w:hAnsi="Calibri"/>
          <w:sz w:val="20"/>
          <w:szCs w:val="20"/>
          <w:b w:val="1"/>
          <w:bCs w:val="1"/>
          <w:color w:val="auto"/>
        </w:rPr>
        <w:t>(in thousands, except share and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00"/>
              <w:spacing w:after="0"/>
              <w:rPr>
                <w:sz w:val="20"/>
                <w:szCs w:val="20"/>
                <w:color w:val="auto"/>
              </w:rPr>
            </w:pPr>
            <w:r>
              <w:rPr>
                <w:rFonts w:ascii="Calibri" w:cs="Calibri" w:eastAsia="Calibri" w:hAnsi="Calibri"/>
                <w:sz w:val="16"/>
                <w:szCs w:val="16"/>
                <w:b w:val="1"/>
                <w:bCs w:val="1"/>
                <w:color w:val="auto"/>
              </w:rPr>
              <w:t>Year Ended December 31,</w:t>
            </w:r>
          </w:p>
        </w:tc>
      </w:tr>
      <w:tr>
        <w:trPr>
          <w:trHeight w:val="185"/>
        </w:trPr>
        <w:tc>
          <w:tcPr>
            <w:tcW w:w="7420" w:type="dxa"/>
            <w:vAlign w:val="bottom"/>
            <w:tcBorders>
              <w:bottom w:val="single" w:sz="8" w:color="E5E5E5"/>
            </w:tcBorders>
          </w:tcPr>
          <w:p>
            <w:pPr>
              <w:spacing w:after="0"/>
              <w:rPr>
                <w:sz w:val="16"/>
                <w:szCs w:val="16"/>
                <w:color w:val="auto"/>
              </w:rPr>
            </w:pPr>
          </w:p>
        </w:tc>
        <w:tc>
          <w:tcPr>
            <w:tcW w:w="520" w:type="dxa"/>
            <w:vAlign w:val="bottom"/>
            <w:tcBorders>
              <w:bottom w:val="single" w:sz="8" w:color="E5E5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0"/>
              <w:spacing w:after="0" w:line="185" w:lineRule="exact"/>
              <w:rPr>
                <w:sz w:val="20"/>
                <w:szCs w:val="20"/>
                <w:color w:val="auto"/>
              </w:rPr>
            </w:pPr>
            <w:r>
              <w:rPr>
                <w:rFonts w:ascii="Calibri" w:cs="Calibri" w:eastAsia="Calibri" w:hAnsi="Calibri"/>
                <w:sz w:val="16"/>
                <w:szCs w:val="16"/>
                <w:b w:val="1"/>
                <w:bCs w:val="1"/>
                <w:color w:val="auto"/>
              </w:rPr>
              <w:t>2025</w:t>
            </w:r>
          </w:p>
        </w:tc>
        <w:tc>
          <w:tcPr>
            <w:tcW w:w="280" w:type="dxa"/>
            <w:vAlign w:val="bottom"/>
            <w:tcBorders>
              <w:bottom w:val="single" w:sz="8" w:color="E5E5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0"/>
              <w:spacing w:after="0" w:line="185" w:lineRule="exact"/>
              <w:rPr>
                <w:sz w:val="20"/>
                <w:szCs w:val="20"/>
                <w:color w:val="auto"/>
              </w:rPr>
            </w:pPr>
            <w:r>
              <w:rPr>
                <w:rFonts w:ascii="Calibri" w:cs="Calibri" w:eastAsia="Calibri" w:hAnsi="Calibri"/>
                <w:sz w:val="16"/>
                <w:szCs w:val="16"/>
                <w:b w:val="1"/>
                <w:bCs w:val="1"/>
                <w:color w:val="auto"/>
              </w:rPr>
              <w:t>2024</w:t>
            </w:r>
          </w:p>
        </w:tc>
      </w:tr>
      <w:tr>
        <w:trPr>
          <w:trHeight w:val="234"/>
        </w:trPr>
        <w:tc>
          <w:tcPr>
            <w:tcW w:w="7420" w:type="dxa"/>
            <w:vAlign w:val="bottom"/>
            <w:shd w:val="clear" w:color="auto" w:fill="E5E5E5"/>
          </w:tcPr>
          <w:p>
            <w:pPr>
              <w:spacing w:after="0"/>
              <w:rPr>
                <w:sz w:val="20"/>
                <w:szCs w:val="20"/>
                <w:color w:val="auto"/>
              </w:rPr>
            </w:pPr>
            <w:r>
              <w:rPr>
                <w:rFonts w:ascii="Calibri" w:cs="Calibri" w:eastAsia="Calibri" w:hAnsi="Calibri"/>
                <w:sz w:val="16"/>
                <w:szCs w:val="16"/>
                <w:color w:val="auto"/>
              </w:rPr>
              <w:t>Net revenue</w:t>
            </w:r>
          </w:p>
        </w:tc>
        <w:tc>
          <w:tcPr>
            <w:tcW w:w="840" w:type="dxa"/>
            <w:vAlign w:val="bottom"/>
            <w:gridSpan w:val="2"/>
            <w:shd w:val="clear" w:color="auto" w:fill="E5E5E5"/>
          </w:tcPr>
          <w:p>
            <w:pPr>
              <w:jc w:val="right"/>
              <w:ind w:right="240"/>
              <w:spacing w:after="0"/>
              <w:rPr>
                <w:sz w:val="20"/>
                <w:szCs w:val="20"/>
                <w:color w:val="auto"/>
              </w:rPr>
            </w:pPr>
            <w:r>
              <w:rPr>
                <w:rFonts w:ascii="Calibri" w:cs="Calibri" w:eastAsia="Calibri" w:hAnsi="Calibri"/>
                <w:sz w:val="16"/>
                <w:szCs w:val="16"/>
                <w:color w:val="auto"/>
              </w:rPr>
              <w:t>$</w:t>
            </w:r>
          </w:p>
        </w:tc>
        <w:tc>
          <w:tcPr>
            <w:tcW w:w="114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42,172</w:t>
            </w:r>
          </w:p>
        </w:tc>
        <w:tc>
          <w:tcPr>
            <w:tcW w:w="600" w:type="dxa"/>
            <w:vAlign w:val="bottom"/>
            <w:gridSpan w:val="2"/>
            <w:shd w:val="clear" w:color="auto" w:fill="E5E5E5"/>
          </w:tcPr>
          <w:p>
            <w:pPr>
              <w:jc w:val="right"/>
              <w:ind w:right="240"/>
              <w:spacing w:after="0"/>
              <w:rPr>
                <w:sz w:val="20"/>
                <w:szCs w:val="20"/>
                <w:color w:val="auto"/>
              </w:rPr>
            </w:pPr>
            <w:r>
              <w:rPr>
                <w:rFonts w:ascii="Calibri" w:cs="Calibri" w:eastAsia="Calibri" w:hAnsi="Calibri"/>
                <w:sz w:val="16"/>
                <w:szCs w:val="16"/>
                <w:color w:val="auto"/>
              </w:rPr>
              <w:t>$</w:t>
            </w:r>
          </w:p>
        </w:tc>
        <w:tc>
          <w:tcPr>
            <w:tcW w:w="116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26,389</w:t>
            </w:r>
          </w:p>
        </w:tc>
      </w:tr>
      <w:tr>
        <w:trPr>
          <w:trHeight w:val="244"/>
        </w:trPr>
        <w:tc>
          <w:tcPr>
            <w:tcW w:w="7420" w:type="dxa"/>
            <w:vAlign w:val="bottom"/>
          </w:tcPr>
          <w:p>
            <w:pPr>
              <w:spacing w:after="0"/>
              <w:rPr>
                <w:sz w:val="20"/>
                <w:szCs w:val="20"/>
                <w:color w:val="auto"/>
              </w:rPr>
            </w:pPr>
            <w:r>
              <w:rPr>
                <w:rFonts w:ascii="Calibri" w:cs="Calibri" w:eastAsia="Calibri" w:hAnsi="Calibri"/>
                <w:sz w:val="16"/>
                <w:szCs w:val="16"/>
                <w:color w:val="auto"/>
              </w:rPr>
              <w:t>Costs and expenses:</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5"/>
        </w:trPr>
        <w:tc>
          <w:tcPr>
            <w:tcW w:w="7420" w:type="dxa"/>
            <w:vAlign w:val="bottom"/>
            <w:shd w:val="clear" w:color="auto" w:fill="E5E5E5"/>
          </w:tcPr>
          <w:p>
            <w:pPr>
              <w:ind w:left="240"/>
              <w:spacing w:after="0"/>
              <w:rPr>
                <w:sz w:val="20"/>
                <w:szCs w:val="20"/>
                <w:color w:val="auto"/>
              </w:rPr>
            </w:pPr>
            <w:r>
              <w:rPr>
                <w:rFonts w:ascii="Calibri" w:cs="Calibri" w:eastAsia="Calibri" w:hAnsi="Calibri"/>
                <w:sz w:val="16"/>
                <w:szCs w:val="16"/>
                <w:color w:val="auto"/>
              </w:rPr>
              <w:t>Cost of goods sold</w:t>
            </w:r>
          </w:p>
        </w:tc>
        <w:tc>
          <w:tcPr>
            <w:tcW w:w="52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114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13,814</w:t>
            </w:r>
          </w:p>
        </w:tc>
        <w:tc>
          <w:tcPr>
            <w:tcW w:w="28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116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8,727</w:t>
            </w:r>
          </w:p>
        </w:tc>
      </w:tr>
      <w:tr>
        <w:trPr>
          <w:trHeight w:val="244"/>
        </w:trPr>
        <w:tc>
          <w:tcPr>
            <w:tcW w:w="7420" w:type="dxa"/>
            <w:vAlign w:val="bottom"/>
          </w:tcPr>
          <w:p>
            <w:pPr>
              <w:ind w:left="240"/>
              <w:spacing w:after="0"/>
              <w:rPr>
                <w:sz w:val="20"/>
                <w:szCs w:val="20"/>
                <w:color w:val="auto"/>
              </w:rPr>
            </w:pPr>
            <w:r>
              <w:rPr>
                <w:rFonts w:ascii="Calibri" w:cs="Calibri" w:eastAsia="Calibri" w:hAnsi="Calibri"/>
                <w:sz w:val="16"/>
                <w:szCs w:val="16"/>
                <w:color w:val="auto"/>
              </w:rPr>
              <w:t>Research and development</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auto"/>
              </w:rPr>
              <w:t>108,888</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91,833</w:t>
            </w:r>
          </w:p>
        </w:tc>
      </w:tr>
      <w:tr>
        <w:trPr>
          <w:trHeight w:val="245"/>
        </w:trPr>
        <w:tc>
          <w:tcPr>
            <w:tcW w:w="7420" w:type="dxa"/>
            <w:vAlign w:val="bottom"/>
            <w:tcBorders>
              <w:bottom w:val="single" w:sz="8" w:color="E5E5E5"/>
            </w:tcBorders>
            <w:shd w:val="clear" w:color="auto" w:fill="E5E5E5"/>
          </w:tcPr>
          <w:p>
            <w:pPr>
              <w:ind w:left="240"/>
              <w:spacing w:after="0"/>
              <w:rPr>
                <w:sz w:val="20"/>
                <w:szCs w:val="20"/>
                <w:color w:val="auto"/>
              </w:rPr>
            </w:pPr>
            <w:r>
              <w:rPr>
                <w:rFonts w:ascii="Calibri" w:cs="Calibri" w:eastAsia="Calibri" w:hAnsi="Calibri"/>
                <w:sz w:val="16"/>
                <w:szCs w:val="16"/>
                <w:color w:val="auto"/>
              </w:rPr>
              <w:t>Selling, general and administrative</w:t>
            </w:r>
          </w:p>
        </w:tc>
        <w:tc>
          <w:tcPr>
            <w:tcW w:w="52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spacing w:after="0"/>
              <w:rPr>
                <w:sz w:val="21"/>
                <w:szCs w:val="21"/>
                <w:color w:val="auto"/>
              </w:rPr>
            </w:pPr>
          </w:p>
        </w:tc>
        <w:tc>
          <w:tcPr>
            <w:tcW w:w="114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16"/>
                <w:szCs w:val="16"/>
                <w:color w:val="auto"/>
              </w:rPr>
              <w:t>100,604</w:t>
            </w:r>
          </w:p>
        </w:tc>
        <w:tc>
          <w:tcPr>
            <w:tcW w:w="280" w:type="dxa"/>
            <w:vAlign w:val="bottom"/>
            <w:tcBorders>
              <w:bottom w:val="single" w:sz="8" w:color="E5E5E5"/>
            </w:tcBorders>
            <w:shd w:val="clear" w:color="auto" w:fill="E5E5E5"/>
          </w:tcPr>
          <w:p>
            <w:pPr>
              <w:spacing w:after="0"/>
              <w:rPr>
                <w:sz w:val="21"/>
                <w:szCs w:val="21"/>
                <w:color w:val="auto"/>
              </w:rPr>
            </w:pPr>
          </w:p>
        </w:tc>
        <w:tc>
          <w:tcPr>
            <w:tcW w:w="320" w:type="dxa"/>
            <w:vAlign w:val="bottom"/>
            <w:tcBorders>
              <w:bottom w:val="single" w:sz="8" w:color="auto"/>
            </w:tcBorders>
            <w:shd w:val="clear" w:color="auto" w:fill="E5E5E5"/>
          </w:tcPr>
          <w:p>
            <w:pPr>
              <w:spacing w:after="0"/>
              <w:rPr>
                <w:sz w:val="21"/>
                <w:szCs w:val="21"/>
                <w:color w:val="auto"/>
              </w:rPr>
            </w:pPr>
          </w:p>
        </w:tc>
        <w:tc>
          <w:tcPr>
            <w:tcW w:w="116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16"/>
                <w:szCs w:val="16"/>
                <w:color w:val="auto"/>
              </w:rPr>
              <w:t>125,482</w:t>
            </w:r>
          </w:p>
        </w:tc>
      </w:tr>
      <w:tr>
        <w:trPr>
          <w:trHeight w:val="234"/>
        </w:trPr>
        <w:tc>
          <w:tcPr>
            <w:tcW w:w="7420" w:type="dxa"/>
            <w:vAlign w:val="bottom"/>
            <w:tcBorders>
              <w:bottom w:val="single" w:sz="8" w:color="E5E5E5"/>
            </w:tcBorders>
          </w:tcPr>
          <w:p>
            <w:pPr>
              <w:ind w:left="480"/>
              <w:spacing w:after="0"/>
              <w:rPr>
                <w:sz w:val="20"/>
                <w:szCs w:val="20"/>
                <w:color w:val="auto"/>
              </w:rPr>
            </w:pPr>
            <w:r>
              <w:rPr>
                <w:rFonts w:ascii="Calibri" w:cs="Calibri" w:eastAsia="Calibri" w:hAnsi="Calibri"/>
                <w:sz w:val="16"/>
                <w:szCs w:val="16"/>
                <w:color w:val="auto"/>
              </w:rPr>
              <w:t>Total costs and expenses</w:t>
            </w:r>
          </w:p>
        </w:tc>
        <w:tc>
          <w:tcPr>
            <w:tcW w:w="520" w:type="dxa"/>
            <w:vAlign w:val="bottom"/>
            <w:tcBorders>
              <w:bottom w:val="single" w:sz="8" w:color="E5E5E5"/>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223,306</w:t>
            </w:r>
          </w:p>
        </w:tc>
        <w:tc>
          <w:tcPr>
            <w:tcW w:w="280" w:type="dxa"/>
            <w:vAlign w:val="bottom"/>
            <w:tcBorders>
              <w:bottom w:val="single" w:sz="8" w:color="E5E5E5"/>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226,042</w:t>
            </w:r>
          </w:p>
        </w:tc>
      </w:tr>
      <w:tr>
        <w:trPr>
          <w:trHeight w:val="233"/>
        </w:trPr>
        <w:tc>
          <w:tcPr>
            <w:tcW w:w="7420" w:type="dxa"/>
            <w:vAlign w:val="bottom"/>
            <w:shd w:val="clear" w:color="auto" w:fill="E5E5E5"/>
          </w:tcPr>
          <w:p>
            <w:pPr>
              <w:spacing w:after="0"/>
              <w:rPr>
                <w:sz w:val="20"/>
                <w:szCs w:val="20"/>
                <w:color w:val="auto"/>
              </w:rPr>
            </w:pPr>
            <w:r>
              <w:rPr>
                <w:rFonts w:ascii="Calibri" w:cs="Calibri" w:eastAsia="Calibri" w:hAnsi="Calibri"/>
                <w:sz w:val="16"/>
                <w:szCs w:val="16"/>
                <w:color w:val="auto"/>
              </w:rPr>
              <w:t>Loss from operations</w:t>
            </w:r>
          </w:p>
        </w:tc>
        <w:tc>
          <w:tcPr>
            <w:tcW w:w="52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(181,134)</w:t>
            </w:r>
          </w:p>
        </w:tc>
        <w:tc>
          <w:tcPr>
            <w:tcW w:w="2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16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(199,653)</w:t>
            </w:r>
          </w:p>
        </w:tc>
      </w:tr>
      <w:tr>
        <w:trPr>
          <w:trHeight w:val="245"/>
        </w:trPr>
        <w:tc>
          <w:tcPr>
            <w:tcW w:w="7420" w:type="dxa"/>
            <w:vAlign w:val="bottom"/>
          </w:tcPr>
          <w:p>
            <w:pPr>
              <w:spacing w:after="0"/>
              <w:rPr>
                <w:sz w:val="20"/>
                <w:szCs w:val="20"/>
                <w:color w:val="auto"/>
              </w:rPr>
            </w:pPr>
            <w:r>
              <w:rPr>
                <w:rFonts w:ascii="Calibri" w:cs="Calibri" w:eastAsia="Calibri" w:hAnsi="Calibri"/>
                <w:sz w:val="16"/>
                <w:szCs w:val="16"/>
                <w:color w:val="auto"/>
              </w:rPr>
              <w:t>Interest expense</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16"/>
                <w:szCs w:val="16"/>
                <w:color w:val="auto"/>
              </w:rPr>
              <w:t>(9,001)</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(10,734)</w:t>
            </w:r>
          </w:p>
        </w:tc>
      </w:tr>
      <w:tr>
        <w:trPr>
          <w:trHeight w:val="244"/>
        </w:trPr>
        <w:tc>
          <w:tcPr>
            <w:tcW w:w="7420" w:type="dxa"/>
            <w:vAlign w:val="bottom"/>
            <w:shd w:val="clear" w:color="auto" w:fill="E5E5E5"/>
          </w:tcPr>
          <w:p>
            <w:pPr>
              <w:spacing w:after="0"/>
              <w:rPr>
                <w:sz w:val="20"/>
                <w:szCs w:val="20"/>
                <w:color w:val="auto"/>
              </w:rPr>
            </w:pPr>
            <w:r>
              <w:rPr>
                <w:rFonts w:ascii="Calibri" w:cs="Calibri" w:eastAsia="Calibri" w:hAnsi="Calibri"/>
                <w:sz w:val="16"/>
                <w:szCs w:val="16"/>
                <w:color w:val="auto"/>
              </w:rPr>
              <w:t>Loss on debt extinguishment</w:t>
            </w:r>
          </w:p>
        </w:tc>
        <w:tc>
          <w:tcPr>
            <w:tcW w:w="52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114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w:t>
            </w:r>
          </w:p>
        </w:tc>
        <w:tc>
          <w:tcPr>
            <w:tcW w:w="28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116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(12,630)</w:t>
            </w:r>
          </w:p>
        </w:tc>
      </w:tr>
      <w:tr>
        <w:trPr>
          <w:trHeight w:val="245"/>
        </w:trPr>
        <w:tc>
          <w:tcPr>
            <w:tcW w:w="7420" w:type="dxa"/>
            <w:vAlign w:val="bottom"/>
            <w:tcBorders>
              <w:bottom w:val="single" w:sz="8" w:color="E5E5E5"/>
            </w:tcBorders>
          </w:tcPr>
          <w:p>
            <w:pPr>
              <w:spacing w:after="0"/>
              <w:rPr>
                <w:sz w:val="20"/>
                <w:szCs w:val="20"/>
                <w:color w:val="auto"/>
              </w:rPr>
            </w:pPr>
            <w:r>
              <w:rPr>
                <w:rFonts w:ascii="Calibri" w:cs="Calibri" w:eastAsia="Calibri" w:hAnsi="Calibri"/>
                <w:sz w:val="16"/>
                <w:szCs w:val="16"/>
                <w:color w:val="auto"/>
              </w:rPr>
              <w:t>Other income (expense), net</w:t>
            </w:r>
          </w:p>
        </w:tc>
        <w:tc>
          <w:tcPr>
            <w:tcW w:w="52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7,011</w:t>
            </w:r>
          </w:p>
        </w:tc>
        <w:tc>
          <w:tcPr>
            <w:tcW w:w="28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7,623</w:t>
            </w:r>
          </w:p>
        </w:tc>
      </w:tr>
      <w:tr>
        <w:trPr>
          <w:trHeight w:val="233"/>
        </w:trPr>
        <w:tc>
          <w:tcPr>
            <w:tcW w:w="7420" w:type="dxa"/>
            <w:vAlign w:val="bottom"/>
            <w:shd w:val="clear" w:color="auto" w:fill="E5E5E5"/>
          </w:tcPr>
          <w:p>
            <w:pPr>
              <w:spacing w:after="0"/>
              <w:rPr>
                <w:sz w:val="20"/>
                <w:szCs w:val="20"/>
                <w:color w:val="auto"/>
              </w:rPr>
            </w:pPr>
            <w:r>
              <w:rPr>
                <w:rFonts w:ascii="Calibri" w:cs="Calibri" w:eastAsia="Calibri" w:hAnsi="Calibri"/>
                <w:sz w:val="16"/>
                <w:szCs w:val="16"/>
                <w:color w:val="auto"/>
              </w:rPr>
              <w:t>Loss from continuing operations before income taxes</w:t>
            </w:r>
          </w:p>
        </w:tc>
        <w:tc>
          <w:tcPr>
            <w:tcW w:w="52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(183,124)</w:t>
            </w:r>
          </w:p>
        </w:tc>
        <w:tc>
          <w:tcPr>
            <w:tcW w:w="2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16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(215,394)</w:t>
            </w:r>
          </w:p>
        </w:tc>
      </w:tr>
      <w:tr>
        <w:trPr>
          <w:trHeight w:val="245"/>
        </w:trPr>
        <w:tc>
          <w:tcPr>
            <w:tcW w:w="7420" w:type="dxa"/>
            <w:vAlign w:val="bottom"/>
            <w:tcBorders>
              <w:bottom w:val="single" w:sz="8" w:color="E5E5E5"/>
            </w:tcBorders>
          </w:tcPr>
          <w:p>
            <w:pPr>
              <w:spacing w:after="0"/>
              <w:rPr>
                <w:sz w:val="20"/>
                <w:szCs w:val="20"/>
                <w:color w:val="auto"/>
              </w:rPr>
            </w:pPr>
            <w:r>
              <w:rPr>
                <w:rFonts w:ascii="Calibri" w:cs="Calibri" w:eastAsia="Calibri" w:hAnsi="Calibri"/>
                <w:sz w:val="16"/>
                <w:szCs w:val="16"/>
                <w:color w:val="auto"/>
              </w:rPr>
              <w:t>Income tax provision</w:t>
            </w:r>
          </w:p>
        </w:tc>
        <w:tc>
          <w:tcPr>
            <w:tcW w:w="52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w:t>
            </w:r>
          </w:p>
        </w:tc>
        <w:tc>
          <w:tcPr>
            <w:tcW w:w="28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w:t>
            </w:r>
          </w:p>
        </w:tc>
      </w:tr>
      <w:tr>
        <w:trPr>
          <w:trHeight w:val="234"/>
        </w:trPr>
        <w:tc>
          <w:tcPr>
            <w:tcW w:w="7420" w:type="dxa"/>
            <w:vAlign w:val="bottom"/>
            <w:shd w:val="clear" w:color="auto" w:fill="E5E5E5"/>
          </w:tcPr>
          <w:p>
            <w:pPr>
              <w:spacing w:after="0"/>
              <w:rPr>
                <w:sz w:val="20"/>
                <w:szCs w:val="20"/>
                <w:color w:val="auto"/>
              </w:rPr>
            </w:pPr>
            <w:r>
              <w:rPr>
                <w:rFonts w:ascii="Calibri" w:cs="Calibri" w:eastAsia="Calibri" w:hAnsi="Calibri"/>
                <w:sz w:val="16"/>
                <w:szCs w:val="16"/>
                <w:color w:val="auto"/>
              </w:rPr>
              <w:t>Net loss from continuing operations</w:t>
            </w:r>
          </w:p>
        </w:tc>
        <w:tc>
          <w:tcPr>
            <w:tcW w:w="52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14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(183,124)</w:t>
            </w:r>
          </w:p>
        </w:tc>
        <w:tc>
          <w:tcPr>
            <w:tcW w:w="28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116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(215,394)</w:t>
            </w:r>
          </w:p>
        </w:tc>
      </w:tr>
      <w:tr>
        <w:trPr>
          <w:trHeight w:val="244"/>
        </w:trPr>
        <w:tc>
          <w:tcPr>
            <w:tcW w:w="7420" w:type="dxa"/>
            <w:vAlign w:val="bottom"/>
            <w:tcBorders>
              <w:bottom w:val="single" w:sz="8" w:color="E5E5E5"/>
            </w:tcBorders>
          </w:tcPr>
          <w:p>
            <w:pPr>
              <w:spacing w:after="0"/>
              <w:rPr>
                <w:sz w:val="20"/>
                <w:szCs w:val="20"/>
                <w:color w:val="auto"/>
              </w:rPr>
            </w:pPr>
            <w:r>
              <w:rPr>
                <w:rFonts w:ascii="Calibri" w:cs="Calibri" w:eastAsia="Calibri" w:hAnsi="Calibri"/>
                <w:sz w:val="16"/>
                <w:szCs w:val="16"/>
                <w:color w:val="auto"/>
              </w:rPr>
              <w:t>Net income from discontinued operations, net of tax (Note 6)</w:t>
            </w:r>
          </w:p>
        </w:tc>
        <w:tc>
          <w:tcPr>
            <w:tcW w:w="52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351,148</w:t>
            </w:r>
          </w:p>
        </w:tc>
        <w:tc>
          <w:tcPr>
            <w:tcW w:w="280" w:type="dxa"/>
            <w:vAlign w:val="bottom"/>
            <w:tcBorders>
              <w:bottom w:val="single" w:sz="8" w:color="E5E5E5"/>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243,901</w:t>
            </w:r>
          </w:p>
        </w:tc>
      </w:tr>
      <w:tr>
        <w:trPr>
          <w:trHeight w:val="243"/>
        </w:trPr>
        <w:tc>
          <w:tcPr>
            <w:tcW w:w="7420" w:type="dxa"/>
            <w:vAlign w:val="bottom"/>
            <w:shd w:val="clear" w:color="auto" w:fill="E5E5E5"/>
          </w:tcPr>
          <w:p>
            <w:pPr>
              <w:spacing w:after="0"/>
              <w:rPr>
                <w:sz w:val="20"/>
                <w:szCs w:val="20"/>
                <w:color w:val="auto"/>
              </w:rPr>
            </w:pPr>
            <w:r>
              <w:rPr>
                <w:rFonts w:ascii="Calibri" w:cs="Calibri" w:eastAsia="Calibri" w:hAnsi="Calibri"/>
                <w:sz w:val="16"/>
                <w:szCs w:val="16"/>
                <w:color w:val="auto"/>
              </w:rPr>
              <w:t>Net income</w:t>
            </w:r>
          </w:p>
        </w:tc>
        <w:tc>
          <w:tcPr>
            <w:tcW w:w="840" w:type="dxa"/>
            <w:vAlign w:val="bottom"/>
            <w:gridSpan w:val="2"/>
            <w:shd w:val="clear" w:color="auto" w:fill="E5E5E5"/>
          </w:tcPr>
          <w:p>
            <w:pPr>
              <w:jc w:val="right"/>
              <w:ind w:right="240"/>
              <w:spacing w:after="0"/>
              <w:rPr>
                <w:sz w:val="20"/>
                <w:szCs w:val="20"/>
                <w:color w:val="auto"/>
              </w:rPr>
            </w:pPr>
            <w:r>
              <w:rPr>
                <w:rFonts w:ascii="Calibri" w:cs="Calibri" w:eastAsia="Calibri" w:hAnsi="Calibri"/>
                <w:sz w:val="16"/>
                <w:szCs w:val="16"/>
                <w:color w:val="auto"/>
              </w:rPr>
              <w:t>$</w:t>
            </w:r>
          </w:p>
        </w:tc>
        <w:tc>
          <w:tcPr>
            <w:tcW w:w="114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168,024</w:t>
            </w:r>
          </w:p>
        </w:tc>
        <w:tc>
          <w:tcPr>
            <w:tcW w:w="600" w:type="dxa"/>
            <w:vAlign w:val="bottom"/>
            <w:gridSpan w:val="2"/>
            <w:shd w:val="clear" w:color="auto" w:fill="E5E5E5"/>
          </w:tcPr>
          <w:p>
            <w:pPr>
              <w:jc w:val="right"/>
              <w:ind w:right="240"/>
              <w:spacing w:after="0"/>
              <w:rPr>
                <w:sz w:val="20"/>
                <w:szCs w:val="20"/>
                <w:color w:val="auto"/>
              </w:rPr>
            </w:pPr>
            <w:r>
              <w:rPr>
                <w:rFonts w:ascii="Calibri" w:cs="Calibri" w:eastAsia="Calibri" w:hAnsi="Calibri"/>
                <w:sz w:val="16"/>
                <w:szCs w:val="16"/>
                <w:color w:val="auto"/>
              </w:rPr>
              <w:t>$</w:t>
            </w:r>
          </w:p>
        </w:tc>
        <w:tc>
          <w:tcPr>
            <w:tcW w:w="116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28,507</w:t>
            </w:r>
          </w:p>
        </w:tc>
      </w:tr>
      <w:tr>
        <w:trPr>
          <w:trHeight w:val="245"/>
        </w:trPr>
        <w:tc>
          <w:tcPr>
            <w:tcW w:w="7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r>
      <w:tr>
        <w:trPr>
          <w:trHeight w:val="245"/>
        </w:trPr>
        <w:tc>
          <w:tcPr>
            <w:tcW w:w="7420" w:type="dxa"/>
            <w:vAlign w:val="bottom"/>
            <w:shd w:val="clear" w:color="auto" w:fill="E5E5E5"/>
          </w:tcPr>
          <w:p>
            <w:pPr>
              <w:spacing w:after="0"/>
              <w:rPr>
                <w:sz w:val="20"/>
                <w:szCs w:val="20"/>
                <w:color w:val="auto"/>
              </w:rPr>
            </w:pPr>
            <w:r>
              <w:rPr>
                <w:rFonts w:ascii="Calibri" w:cs="Calibri" w:eastAsia="Calibri" w:hAnsi="Calibri"/>
                <w:sz w:val="16"/>
                <w:szCs w:val="16"/>
                <w:color w:val="auto"/>
              </w:rPr>
              <w:t>Net income (loss) per share:</w:t>
            </w:r>
          </w:p>
        </w:tc>
        <w:tc>
          <w:tcPr>
            <w:tcW w:w="52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1160" w:type="dxa"/>
            <w:vAlign w:val="bottom"/>
            <w:shd w:val="clear" w:color="auto" w:fill="E5E5E5"/>
          </w:tcPr>
          <w:p>
            <w:pPr>
              <w:spacing w:after="0"/>
              <w:rPr>
                <w:sz w:val="21"/>
                <w:szCs w:val="21"/>
                <w:color w:val="auto"/>
              </w:rPr>
            </w:pPr>
          </w:p>
        </w:tc>
      </w:tr>
      <w:tr>
        <w:trPr>
          <w:trHeight w:val="244"/>
        </w:trPr>
        <w:tc>
          <w:tcPr>
            <w:tcW w:w="7420" w:type="dxa"/>
            <w:vAlign w:val="bottom"/>
          </w:tcPr>
          <w:p>
            <w:pPr>
              <w:spacing w:after="0"/>
              <w:rPr>
                <w:sz w:val="20"/>
                <w:szCs w:val="20"/>
                <w:color w:val="auto"/>
              </w:rPr>
            </w:pPr>
            <w:r>
              <w:rPr>
                <w:rFonts w:ascii="Calibri" w:cs="Calibri" w:eastAsia="Calibri" w:hAnsi="Calibri"/>
                <w:sz w:val="16"/>
                <w:szCs w:val="16"/>
                <w:color w:val="auto"/>
              </w:rPr>
              <w:t>Net loss from continuing operations - basic and diluted</w:t>
            </w:r>
          </w:p>
        </w:tc>
        <w:tc>
          <w:tcPr>
            <w:tcW w:w="840" w:type="dxa"/>
            <w:vAlign w:val="bottom"/>
            <w:gridSpan w:val="2"/>
          </w:tcPr>
          <w:p>
            <w:pPr>
              <w:jc w:val="right"/>
              <w:ind w:right="240"/>
              <w:spacing w:after="0"/>
              <w:rPr>
                <w:sz w:val="20"/>
                <w:szCs w:val="20"/>
                <w:color w:val="auto"/>
              </w:rPr>
            </w:pPr>
            <w:r>
              <w:rPr>
                <w:rFonts w:ascii="Calibri" w:cs="Calibri" w:eastAsia="Calibri" w:hAnsi="Calibri"/>
                <w:sz w:val="16"/>
                <w:szCs w:val="16"/>
                <w:color w:val="auto"/>
              </w:rPr>
              <w:t>$</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(1.56)</w:t>
            </w:r>
          </w:p>
        </w:tc>
        <w:tc>
          <w:tcPr>
            <w:tcW w:w="600" w:type="dxa"/>
            <w:vAlign w:val="bottom"/>
            <w:gridSpan w:val="2"/>
          </w:tcPr>
          <w:p>
            <w:pPr>
              <w:jc w:val="right"/>
              <w:ind w:right="240"/>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(1.88)</w:t>
            </w:r>
          </w:p>
        </w:tc>
      </w:tr>
      <w:tr>
        <w:trPr>
          <w:trHeight w:val="245"/>
        </w:trPr>
        <w:tc>
          <w:tcPr>
            <w:tcW w:w="7420" w:type="dxa"/>
            <w:vAlign w:val="bottom"/>
            <w:shd w:val="clear" w:color="auto" w:fill="E5E5E5"/>
          </w:tcPr>
          <w:p>
            <w:pPr>
              <w:spacing w:after="0"/>
              <w:rPr>
                <w:sz w:val="20"/>
                <w:szCs w:val="20"/>
                <w:color w:val="auto"/>
              </w:rPr>
            </w:pPr>
            <w:r>
              <w:rPr>
                <w:rFonts w:ascii="Calibri" w:cs="Calibri" w:eastAsia="Calibri" w:hAnsi="Calibri"/>
                <w:sz w:val="16"/>
                <w:szCs w:val="16"/>
                <w:color w:val="auto"/>
              </w:rPr>
              <w:t>Net income from discontinued operations - basic and diluted</w:t>
            </w:r>
          </w:p>
        </w:tc>
        <w:tc>
          <w:tcPr>
            <w:tcW w:w="840" w:type="dxa"/>
            <w:vAlign w:val="bottom"/>
            <w:gridSpan w:val="2"/>
            <w:shd w:val="clear" w:color="auto" w:fill="E5E5E5"/>
          </w:tcPr>
          <w:p>
            <w:pPr>
              <w:jc w:val="right"/>
              <w:ind w:right="240"/>
              <w:spacing w:after="0"/>
              <w:rPr>
                <w:sz w:val="20"/>
                <w:szCs w:val="20"/>
                <w:color w:val="auto"/>
              </w:rPr>
            </w:pPr>
            <w:r>
              <w:rPr>
                <w:rFonts w:ascii="Calibri" w:cs="Calibri" w:eastAsia="Calibri" w:hAnsi="Calibri"/>
                <w:sz w:val="16"/>
                <w:szCs w:val="16"/>
                <w:color w:val="auto"/>
              </w:rPr>
              <w:t>$</w:t>
            </w:r>
          </w:p>
        </w:tc>
        <w:tc>
          <w:tcPr>
            <w:tcW w:w="114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3.00</w:t>
            </w:r>
          </w:p>
        </w:tc>
        <w:tc>
          <w:tcPr>
            <w:tcW w:w="600" w:type="dxa"/>
            <w:vAlign w:val="bottom"/>
            <w:gridSpan w:val="2"/>
            <w:shd w:val="clear" w:color="auto" w:fill="E5E5E5"/>
          </w:tcPr>
          <w:p>
            <w:pPr>
              <w:jc w:val="right"/>
              <w:ind w:right="240"/>
              <w:spacing w:after="0"/>
              <w:rPr>
                <w:sz w:val="20"/>
                <w:szCs w:val="20"/>
                <w:color w:val="auto"/>
              </w:rPr>
            </w:pPr>
            <w:r>
              <w:rPr>
                <w:rFonts w:ascii="Calibri" w:cs="Calibri" w:eastAsia="Calibri" w:hAnsi="Calibri"/>
                <w:sz w:val="16"/>
                <w:szCs w:val="16"/>
                <w:color w:val="auto"/>
              </w:rPr>
              <w:t>$</w:t>
            </w:r>
          </w:p>
        </w:tc>
        <w:tc>
          <w:tcPr>
            <w:tcW w:w="116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2.13</w:t>
            </w:r>
          </w:p>
        </w:tc>
      </w:tr>
      <w:tr>
        <w:trPr>
          <w:trHeight w:val="244"/>
        </w:trPr>
        <w:tc>
          <w:tcPr>
            <w:tcW w:w="7420" w:type="dxa"/>
            <w:vAlign w:val="bottom"/>
          </w:tcPr>
          <w:p>
            <w:pPr>
              <w:spacing w:after="0"/>
              <w:rPr>
                <w:sz w:val="20"/>
                <w:szCs w:val="20"/>
                <w:color w:val="auto"/>
              </w:rPr>
            </w:pPr>
            <w:r>
              <w:rPr>
                <w:rFonts w:ascii="Calibri" w:cs="Calibri" w:eastAsia="Calibri" w:hAnsi="Calibri"/>
                <w:sz w:val="16"/>
                <w:szCs w:val="16"/>
                <w:color w:val="auto"/>
              </w:rPr>
              <w:t>Net income per share - basic and diluted</w:t>
            </w:r>
          </w:p>
        </w:tc>
        <w:tc>
          <w:tcPr>
            <w:tcW w:w="840" w:type="dxa"/>
            <w:vAlign w:val="bottom"/>
            <w:gridSpan w:val="2"/>
          </w:tcPr>
          <w:p>
            <w:pPr>
              <w:jc w:val="right"/>
              <w:ind w:right="240"/>
              <w:spacing w:after="0"/>
              <w:rPr>
                <w:sz w:val="20"/>
                <w:szCs w:val="20"/>
                <w:color w:val="auto"/>
              </w:rPr>
            </w:pPr>
            <w:r>
              <w:rPr>
                <w:rFonts w:ascii="Calibri" w:cs="Calibri" w:eastAsia="Calibri" w:hAnsi="Calibri"/>
                <w:sz w:val="16"/>
                <w:szCs w:val="16"/>
                <w:color w:val="auto"/>
              </w:rPr>
              <w:t>$</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1.43</w:t>
            </w:r>
          </w:p>
        </w:tc>
        <w:tc>
          <w:tcPr>
            <w:tcW w:w="600" w:type="dxa"/>
            <w:vAlign w:val="bottom"/>
            <w:gridSpan w:val="2"/>
          </w:tcPr>
          <w:p>
            <w:pPr>
              <w:jc w:val="right"/>
              <w:ind w:right="240"/>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0.25</w:t>
            </w:r>
          </w:p>
        </w:tc>
      </w:tr>
      <w:tr>
        <w:trPr>
          <w:trHeight w:val="245"/>
        </w:trPr>
        <w:tc>
          <w:tcPr>
            <w:tcW w:w="7420" w:type="dxa"/>
            <w:vAlign w:val="bottom"/>
            <w:shd w:val="clear" w:color="auto" w:fill="E5E5E5"/>
          </w:tcPr>
          <w:p>
            <w:pPr>
              <w:spacing w:after="0"/>
              <w:rPr>
                <w:sz w:val="21"/>
                <w:szCs w:val="21"/>
                <w:color w:val="auto"/>
              </w:rPr>
            </w:pPr>
          </w:p>
        </w:tc>
        <w:tc>
          <w:tcPr>
            <w:tcW w:w="52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114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1160" w:type="dxa"/>
            <w:vAlign w:val="bottom"/>
            <w:shd w:val="clear" w:color="auto" w:fill="E5E5E5"/>
          </w:tcPr>
          <w:p>
            <w:pPr>
              <w:spacing w:after="0"/>
              <w:rPr>
                <w:sz w:val="21"/>
                <w:szCs w:val="21"/>
                <w:color w:val="auto"/>
              </w:rPr>
            </w:pPr>
          </w:p>
        </w:tc>
      </w:tr>
      <w:tr>
        <w:trPr>
          <w:trHeight w:val="244"/>
        </w:trPr>
        <w:tc>
          <w:tcPr>
            <w:tcW w:w="7420" w:type="dxa"/>
            <w:vAlign w:val="bottom"/>
          </w:tcPr>
          <w:p>
            <w:pPr>
              <w:spacing w:after="0"/>
              <w:rPr>
                <w:sz w:val="20"/>
                <w:szCs w:val="20"/>
                <w:color w:val="auto"/>
              </w:rPr>
            </w:pPr>
            <w:r>
              <w:rPr>
                <w:rFonts w:ascii="Calibri" w:cs="Calibri" w:eastAsia="Calibri" w:hAnsi="Calibri"/>
                <w:sz w:val="16"/>
                <w:szCs w:val="16"/>
                <w:color w:val="auto"/>
              </w:rPr>
              <w:t>Weighted-average number of shares used in computing net income (loss) per share:</w:t>
            </w: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5"/>
        </w:trPr>
        <w:tc>
          <w:tcPr>
            <w:tcW w:w="7420" w:type="dxa"/>
            <w:vAlign w:val="bottom"/>
            <w:shd w:val="clear" w:color="auto" w:fill="E5E5E5"/>
          </w:tcPr>
          <w:p>
            <w:pPr>
              <w:spacing w:after="0"/>
              <w:rPr>
                <w:sz w:val="20"/>
                <w:szCs w:val="20"/>
                <w:color w:val="auto"/>
              </w:rPr>
            </w:pPr>
            <w:r>
              <w:rPr>
                <w:rFonts w:ascii="Calibri" w:cs="Calibri" w:eastAsia="Calibri" w:hAnsi="Calibri"/>
                <w:sz w:val="16"/>
                <w:szCs w:val="16"/>
                <w:color w:val="auto"/>
              </w:rPr>
              <w:t>Basic and diluted</w:t>
            </w:r>
          </w:p>
        </w:tc>
        <w:tc>
          <w:tcPr>
            <w:tcW w:w="52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114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117,143,457</w:t>
            </w:r>
          </w:p>
        </w:tc>
        <w:tc>
          <w:tcPr>
            <w:tcW w:w="280" w:type="dxa"/>
            <w:vAlign w:val="bottom"/>
            <w:shd w:val="clear" w:color="auto" w:fill="E5E5E5"/>
          </w:tcPr>
          <w:p>
            <w:pPr>
              <w:spacing w:after="0"/>
              <w:rPr>
                <w:sz w:val="21"/>
                <w:szCs w:val="21"/>
                <w:color w:val="auto"/>
              </w:rPr>
            </w:pPr>
          </w:p>
        </w:tc>
        <w:tc>
          <w:tcPr>
            <w:tcW w:w="320" w:type="dxa"/>
            <w:vAlign w:val="bottom"/>
            <w:shd w:val="clear" w:color="auto" w:fill="E5E5E5"/>
          </w:tcPr>
          <w:p>
            <w:pPr>
              <w:spacing w:after="0"/>
              <w:rPr>
                <w:sz w:val="21"/>
                <w:szCs w:val="21"/>
                <w:color w:val="auto"/>
              </w:rPr>
            </w:pPr>
          </w:p>
        </w:tc>
        <w:tc>
          <w:tcPr>
            <w:tcW w:w="116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114,553,537</w:t>
            </w:r>
          </w:p>
        </w:tc>
      </w:tr>
    </w:tbl>
    <w:p>
      <w:pPr>
        <w:spacing w:after="0" w:line="230" w:lineRule="exact"/>
        <w:rPr>
          <w:sz w:val="20"/>
          <w:szCs w:val="20"/>
          <w:color w:val="auto"/>
        </w:rPr>
      </w:pPr>
    </w:p>
    <w:p>
      <w:pPr>
        <w:ind w:left="4920"/>
        <w:spacing w:after="0"/>
        <w:rPr>
          <w:sz w:val="20"/>
          <w:szCs w:val="20"/>
          <w:color w:val="auto"/>
        </w:rPr>
      </w:pPr>
      <w:r>
        <w:rPr>
          <w:rFonts w:ascii="Calibri" w:cs="Calibri" w:eastAsia="Calibri" w:hAnsi="Calibri"/>
          <w:sz w:val="20"/>
          <w:szCs w:val="20"/>
          <w:color w:val="auto"/>
        </w:rPr>
        <w:t>See accompanying notes.</w:t>
      </w:r>
    </w:p>
    <w:p>
      <w:pPr>
        <w:sectPr>
          <w:pgSz w:w="12240" w:h="15840" w:orient="portrait"/>
          <w:cols w:equalWidth="0" w:num="1">
            <w:col w:w="11160"/>
          </w:cols>
          <w:pgMar w:left="540" w:top="530"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79</w:t>
      </w:r>
    </w:p>
    <w:p>
      <w:pPr>
        <w:sectPr>
          <w:pgSz w:w="12240" w:h="15840" w:orient="portrait"/>
          <w:cols w:equalWidth="0" w:num="1">
            <w:col w:w="11160"/>
          </w:cols>
          <w:pgMar w:left="540" w:top="530" w:right="540" w:bottom="9" w:gutter="0" w:footer="0" w:header="0"/>
          <w:type w:val="continuous"/>
        </w:sectPr>
      </w:pPr>
    </w:p>
    <w:bookmarkStart w:id="81" w:name="page82"/>
    <w:bookmarkEnd w:id="81"/>
    <w:p>
      <w:pPr>
        <w:jc w:val="center"/>
        <w:spacing w:after="0"/>
        <w:rPr>
          <w:sz w:val="20"/>
          <w:szCs w:val="20"/>
          <w:color w:val="auto"/>
        </w:rPr>
      </w:pPr>
      <w:r>
        <w:rPr>
          <w:rFonts w:ascii="Calibri" w:cs="Calibri" w:eastAsia="Calibri" w:hAnsi="Calibri"/>
          <w:sz w:val="20"/>
          <w:szCs w:val="20"/>
          <w:b w:val="1"/>
          <w:bCs w:val="1"/>
          <w:color w:val="auto"/>
        </w:rPr>
        <w:t>Coherus Oncology, Inc.</w:t>
      </w:r>
    </w:p>
    <w:p>
      <w:pPr>
        <w:spacing w:after="0" w:line="30"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Consolidated Statements of Comprehensive Income</w:t>
      </w:r>
    </w:p>
    <w:p>
      <w:pPr>
        <w:jc w:val="center"/>
        <w:spacing w:after="0"/>
        <w:rPr>
          <w:sz w:val="20"/>
          <w:szCs w:val="20"/>
          <w:color w:val="auto"/>
        </w:rPr>
      </w:pPr>
      <w:r>
        <w:rPr>
          <w:rFonts w:ascii="Calibri" w:cs="Calibri" w:eastAsia="Calibri" w:hAnsi="Calibri"/>
          <w:sz w:val="20"/>
          <w:szCs w:val="20"/>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tcBorders>
              <w:bottom w:val="single" w:sz="8" w:color="auto"/>
            </w:tcBorders>
            <w:gridSpan w:val="5"/>
          </w:tcPr>
          <w:p>
            <w:pPr>
              <w:jc w:val="right"/>
              <w:ind w:right="260"/>
              <w:spacing w:after="0"/>
              <w:rPr>
                <w:sz w:val="20"/>
                <w:szCs w:val="20"/>
                <w:color w:val="auto"/>
              </w:rPr>
            </w:pPr>
            <w:r>
              <w:rPr>
                <w:rFonts w:ascii="Calibri" w:cs="Calibri" w:eastAsia="Calibri" w:hAnsi="Calibri"/>
                <w:sz w:val="16"/>
                <w:szCs w:val="16"/>
                <w:b w:val="1"/>
                <w:bCs w:val="1"/>
                <w:color w:val="auto"/>
              </w:rPr>
              <w:t>Year Ended December 31,</w:t>
            </w:r>
          </w:p>
        </w:tc>
        <w:tc>
          <w:tcPr>
            <w:tcW w:w="560" w:type="dxa"/>
            <w:vAlign w:val="bottom"/>
            <w:tcBorders>
              <w:bottom w:val="single" w:sz="8" w:color="auto"/>
            </w:tcBorders>
          </w:tcPr>
          <w:p>
            <w:pPr>
              <w:spacing w:after="0"/>
              <w:rPr>
                <w:sz w:val="18"/>
                <w:szCs w:val="18"/>
                <w:color w:val="auto"/>
              </w:rPr>
            </w:pPr>
          </w:p>
        </w:tc>
      </w:tr>
      <w:tr>
        <w:trPr>
          <w:trHeight w:val="186"/>
        </w:trPr>
        <w:tc>
          <w:tcPr>
            <w:tcW w:w="7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2025</w:t>
            </w:r>
          </w:p>
        </w:tc>
        <w:tc>
          <w:tcPr>
            <w:tcW w:w="600" w:type="dxa"/>
            <w:vAlign w:val="bottom"/>
          </w:tcPr>
          <w:p>
            <w:pPr>
              <w:spacing w:after="0"/>
              <w:rPr>
                <w:sz w:val="16"/>
                <w:szCs w:val="16"/>
                <w:color w:val="auto"/>
              </w:rPr>
            </w:pPr>
          </w:p>
        </w:tc>
        <w:tc>
          <w:tcPr>
            <w:tcW w:w="1340" w:type="dxa"/>
            <w:vAlign w:val="bottom"/>
            <w:gridSpan w:val="3"/>
          </w:tcPr>
          <w:p>
            <w:pPr>
              <w:jc w:val="right"/>
              <w:spacing w:after="0" w:line="187" w:lineRule="exact"/>
              <w:rPr>
                <w:sz w:val="20"/>
                <w:szCs w:val="20"/>
                <w:color w:val="auto"/>
              </w:rPr>
            </w:pPr>
            <w:r>
              <w:rPr>
                <w:rFonts w:ascii="Calibri" w:cs="Calibri" w:eastAsia="Calibri" w:hAnsi="Calibri"/>
                <w:sz w:val="16"/>
                <w:szCs w:val="16"/>
                <w:b w:val="1"/>
                <w:bCs w:val="1"/>
                <w:color w:val="auto"/>
              </w:rPr>
              <w:t>2024</w:t>
            </w:r>
          </w:p>
        </w:tc>
        <w:tc>
          <w:tcPr>
            <w:tcW w:w="560" w:type="dxa"/>
            <w:vAlign w:val="bottom"/>
          </w:tcPr>
          <w:p>
            <w:pPr>
              <w:spacing w:after="0"/>
              <w:rPr>
                <w:sz w:val="16"/>
                <w:szCs w:val="16"/>
                <w:color w:val="auto"/>
              </w:rPr>
            </w:pPr>
          </w:p>
        </w:tc>
      </w:tr>
      <w:tr>
        <w:trPr>
          <w:trHeight w:val="236"/>
        </w:trPr>
        <w:tc>
          <w:tcPr>
            <w:tcW w:w="7680" w:type="dxa"/>
            <w:vAlign w:val="bottom"/>
            <w:tcBorders>
              <w:top w:val="single" w:sz="8" w:color="E5E5E5"/>
            </w:tcBorders>
            <w:shd w:val="clear" w:color="auto" w:fill="E5E5E5"/>
          </w:tcPr>
          <w:p>
            <w:pPr>
              <w:spacing w:after="0"/>
              <w:rPr>
                <w:sz w:val="20"/>
                <w:szCs w:val="20"/>
                <w:color w:val="auto"/>
              </w:rPr>
            </w:pPr>
            <w:r>
              <w:rPr>
                <w:rFonts w:ascii="Calibri" w:cs="Calibri" w:eastAsia="Calibri" w:hAnsi="Calibri"/>
                <w:sz w:val="16"/>
                <w:szCs w:val="16"/>
                <w:color w:val="auto"/>
              </w:rPr>
              <w:t>Net income</w:t>
            </w:r>
          </w:p>
        </w:tc>
        <w:tc>
          <w:tcPr>
            <w:tcW w:w="20" w:type="dxa"/>
            <w:vAlign w:val="bottom"/>
            <w:tcBorders>
              <w:top w:val="single" w:sz="8" w:color="E5E5E5"/>
            </w:tcBorders>
            <w:shd w:val="clear" w:color="auto" w:fill="E5E5E5"/>
          </w:tcPr>
          <w:p>
            <w:pPr>
              <w:spacing w:after="0"/>
              <w:rPr>
                <w:sz w:val="20"/>
                <w:szCs w:val="20"/>
                <w:color w:val="auto"/>
              </w:rPr>
            </w:pPr>
          </w:p>
        </w:tc>
        <w:tc>
          <w:tcPr>
            <w:tcW w:w="960" w:type="dxa"/>
            <w:vAlign w:val="bottom"/>
            <w:tcBorders>
              <w:top w:val="single" w:sz="8" w:color="auto"/>
            </w:tcBorders>
            <w:shd w:val="clear" w:color="auto" w:fill="E5E5E5"/>
          </w:tcPr>
          <w:p>
            <w:pPr>
              <w:jc w:val="right"/>
              <w:ind w:right="800"/>
              <w:spacing w:after="0"/>
              <w:rPr>
                <w:sz w:val="20"/>
                <w:szCs w:val="20"/>
                <w:color w:val="auto"/>
              </w:rPr>
            </w:pPr>
            <w:r>
              <w:rPr>
                <w:rFonts w:ascii="Calibri" w:cs="Calibri" w:eastAsia="Calibri" w:hAnsi="Calibri"/>
                <w:sz w:val="16"/>
                <w:szCs w:val="16"/>
                <w:color w:val="auto"/>
                <w:w w:val="73"/>
              </w:rPr>
              <w:t>$</w:t>
            </w:r>
          </w:p>
        </w:tc>
        <w:tc>
          <w:tcPr>
            <w:tcW w:w="600" w:type="dxa"/>
            <w:vAlign w:val="bottom"/>
            <w:tcBorders>
              <w:top w:val="single" w:sz="8" w:color="auto"/>
            </w:tcBorders>
            <w:shd w:val="clear" w:color="auto" w:fill="E5E5E5"/>
          </w:tcPr>
          <w:p>
            <w:pPr>
              <w:jc w:val="right"/>
              <w:spacing w:after="0"/>
              <w:rPr>
                <w:sz w:val="20"/>
                <w:szCs w:val="20"/>
                <w:color w:val="auto"/>
              </w:rPr>
            </w:pPr>
            <w:r>
              <w:rPr>
                <w:rFonts w:ascii="Calibri" w:cs="Calibri" w:eastAsia="Calibri" w:hAnsi="Calibri"/>
                <w:sz w:val="16"/>
                <w:szCs w:val="16"/>
                <w:color w:val="auto"/>
                <w:w w:val="98"/>
              </w:rPr>
              <w:t>168,024</w:t>
            </w:r>
          </w:p>
        </w:tc>
        <w:tc>
          <w:tcPr>
            <w:tcW w:w="320" w:type="dxa"/>
            <w:vAlign w:val="bottom"/>
            <w:tcBorders>
              <w:top w:val="single" w:sz="8" w:color="E5E5E5"/>
            </w:tcBorders>
            <w:shd w:val="clear" w:color="auto" w:fill="E5E5E5"/>
          </w:tcPr>
          <w:p>
            <w:pPr>
              <w:spacing w:after="0"/>
              <w:rPr>
                <w:sz w:val="20"/>
                <w:szCs w:val="20"/>
                <w:color w:val="auto"/>
              </w:rPr>
            </w:pPr>
          </w:p>
        </w:tc>
        <w:tc>
          <w:tcPr>
            <w:tcW w:w="20" w:type="dxa"/>
            <w:vAlign w:val="bottom"/>
            <w:tcBorders>
              <w:top w:val="single" w:sz="8" w:color="E5E5E5"/>
            </w:tcBorders>
            <w:shd w:val="clear" w:color="auto" w:fill="E5E5E5"/>
          </w:tcPr>
          <w:p>
            <w:pPr>
              <w:spacing w:after="0"/>
              <w:rPr>
                <w:sz w:val="20"/>
                <w:szCs w:val="20"/>
                <w:color w:val="auto"/>
              </w:rPr>
            </w:pPr>
          </w:p>
        </w:tc>
        <w:tc>
          <w:tcPr>
            <w:tcW w:w="1000" w:type="dxa"/>
            <w:vAlign w:val="bottom"/>
            <w:tcBorders>
              <w:top w:val="single" w:sz="8" w:color="auto"/>
            </w:tcBorders>
            <w:shd w:val="clear" w:color="auto" w:fill="E5E5E5"/>
          </w:tcPr>
          <w:p>
            <w:pPr>
              <w:jc w:val="right"/>
              <w:ind w:right="840"/>
              <w:spacing w:after="0"/>
              <w:rPr>
                <w:sz w:val="20"/>
                <w:szCs w:val="20"/>
                <w:color w:val="auto"/>
              </w:rPr>
            </w:pPr>
            <w:r>
              <w:rPr>
                <w:rFonts w:ascii="Calibri" w:cs="Calibri" w:eastAsia="Calibri" w:hAnsi="Calibri"/>
                <w:sz w:val="16"/>
                <w:szCs w:val="16"/>
                <w:color w:val="auto"/>
                <w:w w:val="73"/>
              </w:rPr>
              <w:t>$</w:t>
            </w:r>
          </w:p>
        </w:tc>
        <w:tc>
          <w:tcPr>
            <w:tcW w:w="560" w:type="dxa"/>
            <w:vAlign w:val="bottom"/>
            <w:tcBorders>
              <w:top w:val="single" w:sz="8" w:color="auto"/>
            </w:tcBorders>
            <w:shd w:val="clear" w:color="auto" w:fill="E5E5E5"/>
          </w:tcPr>
          <w:p>
            <w:pPr>
              <w:jc w:val="right"/>
              <w:spacing w:after="0"/>
              <w:rPr>
                <w:sz w:val="20"/>
                <w:szCs w:val="20"/>
                <w:color w:val="auto"/>
              </w:rPr>
            </w:pPr>
            <w:r>
              <w:rPr>
                <w:rFonts w:ascii="Calibri" w:cs="Calibri" w:eastAsia="Calibri" w:hAnsi="Calibri"/>
                <w:sz w:val="16"/>
                <w:szCs w:val="16"/>
                <w:color w:val="auto"/>
              </w:rPr>
              <w:t>28,507</w:t>
            </w:r>
          </w:p>
        </w:tc>
      </w:tr>
      <w:tr>
        <w:trPr>
          <w:trHeight w:val="197"/>
        </w:trPr>
        <w:tc>
          <w:tcPr>
            <w:tcW w:w="7680" w:type="dxa"/>
            <w:vAlign w:val="bottom"/>
          </w:tcPr>
          <w:p>
            <w:pPr>
              <w:spacing w:after="0"/>
              <w:rPr>
                <w:sz w:val="20"/>
                <w:szCs w:val="20"/>
                <w:color w:val="auto"/>
              </w:rPr>
            </w:pPr>
            <w:r>
              <w:rPr>
                <w:rFonts w:ascii="Calibri" w:cs="Calibri" w:eastAsia="Calibri" w:hAnsi="Calibri"/>
                <w:sz w:val="16"/>
                <w:szCs w:val="16"/>
                <w:color w:val="auto"/>
              </w:rPr>
              <w:t>Other comprehensive income (loss):</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7680" w:type="dxa"/>
            <w:vAlign w:val="bottom"/>
            <w:shd w:val="clear" w:color="auto" w:fill="E5E5E5"/>
          </w:tcPr>
          <w:p>
            <w:pPr>
              <w:ind w:left="240"/>
              <w:spacing w:after="0"/>
              <w:rPr>
                <w:sz w:val="20"/>
                <w:szCs w:val="20"/>
                <w:color w:val="auto"/>
              </w:rPr>
            </w:pPr>
            <w:r>
              <w:rPr>
                <w:rFonts w:ascii="Calibri" w:cs="Calibri" w:eastAsia="Calibri" w:hAnsi="Calibri"/>
                <w:sz w:val="16"/>
                <w:szCs w:val="16"/>
                <w:color w:val="auto"/>
              </w:rPr>
              <w:t>Unrealized gain (loss) on available-for-sale securities, net of tax</w:t>
            </w:r>
          </w:p>
        </w:tc>
        <w:tc>
          <w:tcPr>
            <w:tcW w:w="20" w:type="dxa"/>
            <w:vAlign w:val="bottom"/>
            <w:shd w:val="clear" w:color="auto" w:fill="E5E5E5"/>
          </w:tcPr>
          <w:p>
            <w:pPr>
              <w:spacing w:after="0"/>
              <w:rPr>
                <w:sz w:val="17"/>
                <w:szCs w:val="17"/>
                <w:color w:val="auto"/>
              </w:rPr>
            </w:pPr>
          </w:p>
        </w:tc>
        <w:tc>
          <w:tcPr>
            <w:tcW w:w="9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80</w:t>
            </w:r>
          </w:p>
        </w:tc>
        <w:tc>
          <w:tcPr>
            <w:tcW w:w="32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100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rPr>
                <w:sz w:val="20"/>
                <w:szCs w:val="20"/>
                <w:color w:val="auto"/>
              </w:rPr>
            </w:pPr>
            <w:r>
              <w:rPr>
                <w:rFonts w:ascii="Calibri" w:cs="Calibri" w:eastAsia="Calibri" w:hAnsi="Calibri"/>
                <w:sz w:val="16"/>
                <w:szCs w:val="16"/>
                <w:color w:val="auto"/>
              </w:rPr>
              <w:t>(24)</w:t>
            </w:r>
          </w:p>
        </w:tc>
      </w:tr>
      <w:tr>
        <w:trPr>
          <w:trHeight w:val="197"/>
        </w:trPr>
        <w:tc>
          <w:tcPr>
            <w:tcW w:w="7680" w:type="dxa"/>
            <w:vAlign w:val="bottom"/>
            <w:tcBorders>
              <w:bottom w:val="single" w:sz="8" w:color="E5E5E5"/>
            </w:tcBorders>
          </w:tcPr>
          <w:p>
            <w:pPr>
              <w:ind w:left="240"/>
              <w:spacing w:after="0"/>
              <w:rPr>
                <w:sz w:val="20"/>
                <w:szCs w:val="20"/>
                <w:color w:val="auto"/>
              </w:rPr>
            </w:pPr>
            <w:r>
              <w:rPr>
                <w:rFonts w:ascii="Calibri" w:cs="Calibri" w:eastAsia="Calibri" w:hAnsi="Calibri"/>
                <w:sz w:val="16"/>
                <w:szCs w:val="16"/>
                <w:color w:val="auto"/>
              </w:rPr>
              <w:t>Foreign currency translation adjustments, net of tax</w:t>
            </w:r>
          </w:p>
        </w:tc>
        <w:tc>
          <w:tcPr>
            <w:tcW w:w="20" w:type="dxa"/>
            <w:vAlign w:val="bottom"/>
            <w:tcBorders>
              <w:bottom w:val="single" w:sz="8" w:color="E5E5E5"/>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w:t>
            </w:r>
          </w:p>
        </w:tc>
        <w:tc>
          <w:tcPr>
            <w:tcW w:w="320" w:type="dxa"/>
            <w:vAlign w:val="bottom"/>
            <w:tcBorders>
              <w:bottom w:val="single" w:sz="8" w:color="E5E5E5"/>
            </w:tcBorders>
          </w:tcPr>
          <w:p>
            <w:pPr>
              <w:spacing w:after="0"/>
              <w:rPr>
                <w:sz w:val="17"/>
                <w:szCs w:val="17"/>
                <w:color w:val="auto"/>
              </w:rPr>
            </w:pPr>
          </w:p>
        </w:tc>
        <w:tc>
          <w:tcPr>
            <w:tcW w:w="20" w:type="dxa"/>
            <w:vAlign w:val="bottom"/>
            <w:tcBorders>
              <w:bottom w:val="single" w:sz="8" w:color="E5E5E5"/>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rPr>
              <w:t>(3)</w:t>
            </w:r>
          </w:p>
        </w:tc>
      </w:tr>
      <w:tr>
        <w:trPr>
          <w:trHeight w:val="196"/>
        </w:trPr>
        <w:tc>
          <w:tcPr>
            <w:tcW w:w="7680" w:type="dxa"/>
            <w:vAlign w:val="bottom"/>
            <w:shd w:val="clear" w:color="auto" w:fill="E5E5E5"/>
          </w:tcPr>
          <w:p>
            <w:pPr>
              <w:spacing w:after="0" w:line="187" w:lineRule="exact"/>
              <w:rPr>
                <w:sz w:val="20"/>
                <w:szCs w:val="20"/>
                <w:color w:val="auto"/>
              </w:rPr>
            </w:pPr>
            <w:r>
              <w:rPr>
                <w:rFonts w:ascii="Calibri" w:cs="Calibri" w:eastAsia="Calibri" w:hAnsi="Calibri"/>
                <w:sz w:val="16"/>
                <w:szCs w:val="16"/>
                <w:color w:val="auto"/>
              </w:rPr>
              <w:t>Comprehensive income</w:t>
            </w:r>
          </w:p>
        </w:tc>
        <w:tc>
          <w:tcPr>
            <w:tcW w:w="20" w:type="dxa"/>
            <w:vAlign w:val="bottom"/>
            <w:tcBorders>
              <w:bottom w:val="single" w:sz="8" w:color="auto"/>
            </w:tcBorders>
            <w:shd w:val="clear" w:color="auto" w:fill="E5E5E5"/>
          </w:tcPr>
          <w:p>
            <w:pPr>
              <w:spacing w:after="0"/>
              <w:rPr>
                <w:sz w:val="17"/>
                <w:szCs w:val="17"/>
                <w:color w:val="auto"/>
              </w:rPr>
            </w:pPr>
          </w:p>
        </w:tc>
        <w:tc>
          <w:tcPr>
            <w:tcW w:w="960" w:type="dxa"/>
            <w:vAlign w:val="bottom"/>
            <w:tcBorders>
              <w:bottom w:val="single" w:sz="8" w:color="auto"/>
            </w:tcBorders>
            <w:shd w:val="clear" w:color="auto" w:fill="E5E5E5"/>
          </w:tcPr>
          <w:p>
            <w:pPr>
              <w:jc w:val="right"/>
              <w:ind w:right="800"/>
              <w:spacing w:after="0" w:line="187" w:lineRule="exact"/>
              <w:rPr>
                <w:sz w:val="20"/>
                <w:szCs w:val="20"/>
                <w:color w:val="auto"/>
              </w:rPr>
            </w:pPr>
            <w:r>
              <w:rPr>
                <w:rFonts w:ascii="Calibri" w:cs="Calibri" w:eastAsia="Calibri" w:hAnsi="Calibri"/>
                <w:sz w:val="16"/>
                <w:szCs w:val="16"/>
                <w:color w:val="auto"/>
                <w:w w:val="73"/>
              </w:rPr>
              <w:t>$</w:t>
            </w:r>
          </w:p>
        </w:tc>
        <w:tc>
          <w:tcPr>
            <w:tcW w:w="600" w:type="dxa"/>
            <w:vAlign w:val="bottom"/>
            <w:tcBorders>
              <w:bottom w:val="single" w:sz="8" w:color="auto"/>
            </w:tcBorders>
            <w:shd w:val="clear" w:color="auto" w:fill="E5E5E5"/>
          </w:tcPr>
          <w:p>
            <w:pPr>
              <w:jc w:val="right"/>
              <w:spacing w:after="0" w:line="187" w:lineRule="exact"/>
              <w:rPr>
                <w:sz w:val="20"/>
                <w:szCs w:val="20"/>
                <w:color w:val="auto"/>
              </w:rPr>
            </w:pPr>
            <w:r>
              <w:rPr>
                <w:rFonts w:ascii="Calibri" w:cs="Calibri" w:eastAsia="Calibri" w:hAnsi="Calibri"/>
                <w:sz w:val="16"/>
                <w:szCs w:val="16"/>
                <w:color w:val="auto"/>
                <w:w w:val="98"/>
              </w:rPr>
              <w:t>168,104</w:t>
            </w:r>
          </w:p>
        </w:tc>
        <w:tc>
          <w:tcPr>
            <w:tcW w:w="320" w:type="dxa"/>
            <w:vAlign w:val="bottom"/>
            <w:shd w:val="clear" w:color="auto" w:fill="E5E5E5"/>
          </w:tcPr>
          <w:p>
            <w:pPr>
              <w:spacing w:after="0"/>
              <w:rPr>
                <w:sz w:val="17"/>
                <w:szCs w:val="17"/>
                <w:color w:val="auto"/>
              </w:rPr>
            </w:pPr>
          </w:p>
        </w:tc>
        <w:tc>
          <w:tcPr>
            <w:tcW w:w="1020" w:type="dxa"/>
            <w:vAlign w:val="bottom"/>
            <w:tcBorders>
              <w:bottom w:val="single" w:sz="8" w:color="auto"/>
            </w:tcBorders>
            <w:gridSpan w:val="2"/>
            <w:shd w:val="clear" w:color="auto" w:fill="E5E5E5"/>
          </w:tcPr>
          <w:p>
            <w:pPr>
              <w:jc w:val="right"/>
              <w:ind w:right="840"/>
              <w:spacing w:after="0" w:line="187"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auto"/>
            </w:tcBorders>
            <w:shd w:val="clear" w:color="auto" w:fill="E5E5E5"/>
          </w:tcPr>
          <w:p>
            <w:pPr>
              <w:jc w:val="right"/>
              <w:spacing w:after="0" w:line="187" w:lineRule="exact"/>
              <w:rPr>
                <w:sz w:val="20"/>
                <w:szCs w:val="20"/>
                <w:color w:val="auto"/>
              </w:rPr>
            </w:pPr>
            <w:r>
              <w:rPr>
                <w:rFonts w:ascii="Calibri" w:cs="Calibri" w:eastAsia="Calibri" w:hAnsi="Calibri"/>
                <w:sz w:val="16"/>
                <w:szCs w:val="16"/>
                <w:color w:val="auto"/>
              </w:rPr>
              <w:t>28,480</w:t>
            </w:r>
          </w:p>
        </w:tc>
      </w:tr>
    </w:tbl>
    <w:p>
      <w:pPr>
        <w:spacing w:after="0" w:line="230" w:lineRule="exact"/>
        <w:rPr>
          <w:sz w:val="20"/>
          <w:szCs w:val="20"/>
          <w:color w:val="auto"/>
        </w:rPr>
      </w:pPr>
    </w:p>
    <w:p>
      <w:pPr>
        <w:ind w:left="4920"/>
        <w:spacing w:after="0"/>
        <w:rPr>
          <w:sz w:val="20"/>
          <w:szCs w:val="20"/>
          <w:color w:val="auto"/>
        </w:rPr>
      </w:pPr>
      <w:r>
        <w:rPr>
          <w:rFonts w:ascii="Calibri" w:cs="Calibri" w:eastAsia="Calibri" w:hAnsi="Calibri"/>
          <w:sz w:val="20"/>
          <w:szCs w:val="20"/>
          <w:color w:val="auto"/>
        </w:rPr>
        <w:t>See accompanying notes.</w:t>
      </w:r>
    </w:p>
    <w:p>
      <w:pPr>
        <w:sectPr>
          <w:pgSz w:w="12240" w:h="15840" w:orient="portrait"/>
          <w:cols w:equalWidth="0" w:num="1">
            <w:col w:w="11160"/>
          </w:cols>
          <w:pgMar w:left="540" w:top="530"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80</w:t>
      </w:r>
    </w:p>
    <w:p>
      <w:pPr>
        <w:sectPr>
          <w:pgSz w:w="12240" w:h="15840" w:orient="portrait"/>
          <w:cols w:equalWidth="0" w:num="1">
            <w:col w:w="11160"/>
          </w:cols>
          <w:pgMar w:left="540" w:top="530" w:right="540" w:bottom="9" w:gutter="0" w:footer="0" w:header="0"/>
          <w:type w:val="continuous"/>
        </w:sectPr>
      </w:pPr>
    </w:p>
    <w:bookmarkStart w:id="82" w:name="page83"/>
    <w:bookmarkEnd w:id="82"/>
    <w:p>
      <w:pPr>
        <w:jc w:val="center"/>
        <w:ind w:left="720"/>
        <w:spacing w:after="0"/>
        <w:rPr>
          <w:sz w:val="20"/>
          <w:szCs w:val="20"/>
          <w:color w:val="auto"/>
        </w:rPr>
      </w:pPr>
      <w:r>
        <w:rPr>
          <w:rFonts w:ascii="Calibri" w:cs="Calibri" w:eastAsia="Calibri" w:hAnsi="Calibri"/>
          <w:sz w:val="20"/>
          <w:szCs w:val="20"/>
          <w:b w:val="1"/>
          <w:bCs w:val="1"/>
          <w:color w:val="auto"/>
        </w:rPr>
        <w:t>Coherus Oncology, Inc.</w:t>
      </w:r>
    </w:p>
    <w:p>
      <w:pPr>
        <w:spacing w:after="0" w:line="30" w:lineRule="exact"/>
        <w:rPr>
          <w:sz w:val="20"/>
          <w:szCs w:val="20"/>
          <w:color w:val="auto"/>
        </w:rPr>
      </w:pPr>
    </w:p>
    <w:p>
      <w:pPr>
        <w:jc w:val="center"/>
        <w:ind w:left="720"/>
        <w:spacing w:after="0"/>
        <w:rPr>
          <w:sz w:val="20"/>
          <w:szCs w:val="20"/>
          <w:color w:val="auto"/>
        </w:rPr>
      </w:pPr>
      <w:r>
        <w:rPr>
          <w:rFonts w:ascii="Calibri" w:cs="Calibri" w:eastAsia="Calibri" w:hAnsi="Calibri"/>
          <w:sz w:val="20"/>
          <w:szCs w:val="20"/>
          <w:b w:val="1"/>
          <w:bCs w:val="1"/>
          <w:color w:val="auto"/>
        </w:rPr>
        <w:t>Consolidated Statements of Stockholders’ Equity (Deficit)</w:t>
      </w:r>
    </w:p>
    <w:p>
      <w:pPr>
        <w:jc w:val="center"/>
        <w:ind w:left="720"/>
        <w:spacing w:after="0"/>
        <w:rPr>
          <w:sz w:val="20"/>
          <w:szCs w:val="20"/>
          <w:color w:val="auto"/>
        </w:rPr>
      </w:pPr>
      <w:r>
        <w:rPr>
          <w:rFonts w:ascii="Calibri" w:cs="Calibri" w:eastAsia="Calibri" w:hAnsi="Calibri"/>
          <w:sz w:val="20"/>
          <w:szCs w:val="20"/>
          <w:b w:val="1"/>
          <w:bCs w:val="1"/>
          <w:color w:val="auto"/>
        </w:rPr>
        <w:t>(in thousands,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45"/>
              <w:spacing w:after="0"/>
              <w:rPr>
                <w:sz w:val="20"/>
                <w:szCs w:val="20"/>
                <w:color w:val="auto"/>
              </w:rPr>
            </w:pPr>
            <w:r>
              <w:rPr>
                <w:rFonts w:ascii="Calibri" w:cs="Calibri" w:eastAsia="Calibri" w:hAnsi="Calibri"/>
                <w:sz w:val="15"/>
                <w:szCs w:val="15"/>
                <w:b w:val="1"/>
                <w:bCs w:val="1"/>
                <w:color w:val="auto"/>
              </w:rPr>
              <w:t>Accumulated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4"/>
        </w:trPr>
        <w:tc>
          <w:tcPr>
            <w:tcW w:w="4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65"/>
              <w:spacing w:after="0"/>
              <w:rPr>
                <w:sz w:val="20"/>
                <w:szCs w:val="20"/>
                <w:color w:val="auto"/>
              </w:rPr>
            </w:pPr>
            <w:r>
              <w:rPr>
                <w:rFonts w:ascii="Calibri" w:cs="Calibri" w:eastAsia="Calibri" w:hAnsi="Calibri"/>
                <w:sz w:val="15"/>
                <w:szCs w:val="15"/>
                <w:b w:val="1"/>
                <w:bCs w:val="1"/>
                <w:color w:val="auto"/>
                <w:w w:val="98"/>
              </w:rPr>
              <w:t>Additional</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25"/>
              <w:spacing w:after="0"/>
              <w:rPr>
                <w:sz w:val="20"/>
                <w:szCs w:val="20"/>
                <w:color w:val="auto"/>
              </w:rPr>
            </w:pPr>
            <w:r>
              <w:rPr>
                <w:rFonts w:ascii="Calibri" w:cs="Calibri" w:eastAsia="Calibri" w:hAnsi="Calibri"/>
                <w:sz w:val="15"/>
                <w:szCs w:val="15"/>
                <w:b w:val="1"/>
                <w:bCs w:val="1"/>
                <w:color w:val="auto"/>
                <w:w w:val="99"/>
              </w:rPr>
              <w:t>Other</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65"/>
              <w:spacing w:after="0"/>
              <w:rPr>
                <w:sz w:val="20"/>
                <w:szCs w:val="20"/>
                <w:color w:val="auto"/>
              </w:rPr>
            </w:pPr>
            <w:r>
              <w:rPr>
                <w:rFonts w:ascii="Calibri" w:cs="Calibri" w:eastAsia="Calibri" w:hAnsi="Calibri"/>
                <w:sz w:val="15"/>
                <w:szCs w:val="15"/>
                <w:b w:val="1"/>
                <w:bCs w:val="1"/>
                <w:color w:val="auto"/>
              </w:rPr>
              <w:t>Total</w:t>
            </w:r>
          </w:p>
        </w:tc>
      </w:tr>
      <w:tr>
        <w:trPr>
          <w:trHeight w:val="196"/>
        </w:trPr>
        <w:tc>
          <w:tcPr>
            <w:tcW w:w="4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auto"/>
            </w:tcBorders>
            <w:gridSpan w:val="5"/>
          </w:tcPr>
          <w:p>
            <w:pPr>
              <w:jc w:val="right"/>
              <w:ind w:right="505"/>
              <w:spacing w:after="0"/>
              <w:rPr>
                <w:sz w:val="20"/>
                <w:szCs w:val="20"/>
                <w:color w:val="auto"/>
              </w:rPr>
            </w:pPr>
            <w:r>
              <w:rPr>
                <w:rFonts w:ascii="Calibri" w:cs="Calibri" w:eastAsia="Calibri" w:hAnsi="Calibri"/>
                <w:sz w:val="15"/>
                <w:szCs w:val="15"/>
                <w:b w:val="1"/>
                <w:bCs w:val="1"/>
                <w:color w:val="auto"/>
              </w:rPr>
              <w:t>Common Stock</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65"/>
              <w:spacing w:after="0"/>
              <w:rPr>
                <w:sz w:val="20"/>
                <w:szCs w:val="20"/>
                <w:color w:val="auto"/>
              </w:rPr>
            </w:pPr>
            <w:r>
              <w:rPr>
                <w:rFonts w:ascii="Calibri" w:cs="Calibri" w:eastAsia="Calibri" w:hAnsi="Calibri"/>
                <w:sz w:val="15"/>
                <w:szCs w:val="15"/>
                <w:b w:val="1"/>
                <w:bCs w:val="1"/>
                <w:color w:val="auto"/>
              </w:rPr>
              <w:t>Paid-In</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Calibri" w:cs="Calibri" w:eastAsia="Calibri" w:hAnsi="Calibri"/>
                <w:sz w:val="15"/>
                <w:szCs w:val="15"/>
                <w:b w:val="1"/>
                <w:bCs w:val="1"/>
                <w:color w:val="auto"/>
                <w:w w:val="98"/>
              </w:rPr>
              <w:t>Comprehensive</w:t>
            </w:r>
          </w:p>
        </w:tc>
        <w:tc>
          <w:tcPr>
            <w:tcW w:w="180" w:type="dxa"/>
            <w:vAlign w:val="bottom"/>
          </w:tcPr>
          <w:p>
            <w:pPr>
              <w:spacing w:after="0"/>
              <w:rPr>
                <w:sz w:val="17"/>
                <w:szCs w:val="17"/>
                <w:color w:val="auto"/>
              </w:rPr>
            </w:pPr>
          </w:p>
        </w:tc>
        <w:tc>
          <w:tcPr>
            <w:tcW w:w="1120" w:type="dxa"/>
            <w:vAlign w:val="bottom"/>
            <w:gridSpan w:val="4"/>
          </w:tcPr>
          <w:p>
            <w:pPr>
              <w:ind w:left="60"/>
              <w:spacing w:after="0"/>
              <w:rPr>
                <w:sz w:val="20"/>
                <w:szCs w:val="20"/>
                <w:color w:val="auto"/>
              </w:rPr>
            </w:pPr>
            <w:r>
              <w:rPr>
                <w:rFonts w:ascii="Calibri" w:cs="Calibri" w:eastAsia="Calibri" w:hAnsi="Calibri"/>
                <w:sz w:val="15"/>
                <w:szCs w:val="15"/>
                <w:b w:val="1"/>
                <w:bCs w:val="1"/>
                <w:color w:val="auto"/>
              </w:rPr>
              <w:t>Accumulated</w:t>
            </w:r>
          </w:p>
        </w:tc>
        <w:tc>
          <w:tcPr>
            <w:tcW w:w="980" w:type="dxa"/>
            <w:vAlign w:val="bottom"/>
            <w:gridSpan w:val="2"/>
          </w:tcPr>
          <w:p>
            <w:pPr>
              <w:jc w:val="right"/>
              <w:ind w:right="5"/>
              <w:spacing w:after="0"/>
              <w:rPr>
                <w:sz w:val="20"/>
                <w:szCs w:val="20"/>
                <w:color w:val="auto"/>
              </w:rPr>
            </w:pPr>
            <w:r>
              <w:rPr>
                <w:rFonts w:ascii="Calibri" w:cs="Calibri" w:eastAsia="Calibri" w:hAnsi="Calibri"/>
                <w:sz w:val="15"/>
                <w:szCs w:val="15"/>
                <w:b w:val="1"/>
                <w:bCs w:val="1"/>
                <w:color w:val="auto"/>
              </w:rPr>
              <w:t>Stockholders'</w:t>
            </w:r>
          </w:p>
        </w:tc>
      </w:tr>
      <w:tr>
        <w:trPr>
          <w:trHeight w:val="174"/>
        </w:trPr>
        <w:tc>
          <w:tcPr>
            <w:tcW w:w="442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000" w:type="dxa"/>
            <w:vAlign w:val="bottom"/>
            <w:tcBorders>
              <w:bottom w:val="single" w:sz="8" w:color="auto"/>
            </w:tcBorders>
          </w:tcPr>
          <w:p>
            <w:pPr>
              <w:jc w:val="right"/>
              <w:ind w:right="225"/>
              <w:spacing w:after="0" w:line="174" w:lineRule="exact"/>
              <w:rPr>
                <w:sz w:val="20"/>
                <w:szCs w:val="20"/>
                <w:color w:val="auto"/>
              </w:rPr>
            </w:pPr>
            <w:r>
              <w:rPr>
                <w:rFonts w:ascii="Calibri" w:cs="Calibri" w:eastAsia="Calibri" w:hAnsi="Calibri"/>
                <w:sz w:val="15"/>
                <w:szCs w:val="15"/>
                <w:b w:val="1"/>
                <w:bCs w:val="1"/>
                <w:color w:val="auto"/>
              </w:rPr>
              <w:t>Shares</w:t>
            </w:r>
          </w:p>
        </w:tc>
        <w:tc>
          <w:tcPr>
            <w:tcW w:w="18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5"/>
              <w:spacing w:after="0" w:line="174" w:lineRule="exact"/>
              <w:rPr>
                <w:sz w:val="20"/>
                <w:szCs w:val="20"/>
                <w:color w:val="auto"/>
              </w:rPr>
            </w:pPr>
            <w:r>
              <w:rPr>
                <w:rFonts w:ascii="Calibri" w:cs="Calibri" w:eastAsia="Calibri" w:hAnsi="Calibri"/>
                <w:sz w:val="15"/>
                <w:szCs w:val="15"/>
                <w:b w:val="1"/>
                <w:bCs w:val="1"/>
                <w:color w:val="auto"/>
              </w:rPr>
              <w:t>Amount</w:t>
            </w:r>
          </w:p>
        </w:tc>
        <w:tc>
          <w:tcPr>
            <w:tcW w:w="18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5"/>
              <w:spacing w:after="0" w:line="174" w:lineRule="exact"/>
              <w:rPr>
                <w:sz w:val="20"/>
                <w:szCs w:val="20"/>
                <w:color w:val="auto"/>
              </w:rPr>
            </w:pPr>
            <w:r>
              <w:rPr>
                <w:rFonts w:ascii="Calibri" w:cs="Calibri" w:eastAsia="Calibri" w:hAnsi="Calibri"/>
                <w:sz w:val="15"/>
                <w:szCs w:val="15"/>
                <w:b w:val="1"/>
                <w:bCs w:val="1"/>
                <w:color w:val="auto"/>
              </w:rPr>
              <w:t>Capital</w:t>
            </w:r>
          </w:p>
        </w:tc>
        <w:tc>
          <w:tcPr>
            <w:tcW w:w="180" w:type="dxa"/>
            <w:vAlign w:val="bottom"/>
            <w:tcBorders>
              <w:bottom w:val="single" w:sz="8" w:color="E5E5E5"/>
            </w:tcBorders>
          </w:tcPr>
          <w:p>
            <w:pPr>
              <w:spacing w:after="0"/>
              <w:rPr>
                <w:sz w:val="15"/>
                <w:szCs w:val="15"/>
                <w:color w:val="auto"/>
              </w:rPr>
            </w:pPr>
          </w:p>
        </w:tc>
        <w:tc>
          <w:tcPr>
            <w:tcW w:w="20" w:type="dxa"/>
            <w:vAlign w:val="bottom"/>
            <w:tcBorders>
              <w:bottom w:val="single" w:sz="8" w:color="E5E5E5"/>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5"/>
              <w:spacing w:after="0" w:line="174" w:lineRule="exact"/>
              <w:rPr>
                <w:sz w:val="20"/>
                <w:szCs w:val="20"/>
                <w:color w:val="auto"/>
              </w:rPr>
            </w:pPr>
            <w:r>
              <w:rPr>
                <w:rFonts w:ascii="Calibri" w:cs="Calibri" w:eastAsia="Calibri" w:hAnsi="Calibri"/>
                <w:sz w:val="15"/>
                <w:szCs w:val="15"/>
                <w:b w:val="1"/>
                <w:bCs w:val="1"/>
                <w:color w:val="auto"/>
              </w:rPr>
              <w:t>Loss</w:t>
            </w:r>
          </w:p>
        </w:tc>
        <w:tc>
          <w:tcPr>
            <w:tcW w:w="180" w:type="dxa"/>
            <w:vAlign w:val="bottom"/>
            <w:tcBorders>
              <w:bottom w:val="single" w:sz="8" w:color="E5E5E5"/>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5"/>
              <w:spacing w:after="0" w:line="174" w:lineRule="exact"/>
              <w:rPr>
                <w:sz w:val="20"/>
                <w:szCs w:val="20"/>
                <w:color w:val="auto"/>
              </w:rPr>
            </w:pPr>
            <w:r>
              <w:rPr>
                <w:rFonts w:ascii="Calibri" w:cs="Calibri" w:eastAsia="Calibri" w:hAnsi="Calibri"/>
                <w:sz w:val="15"/>
                <w:szCs w:val="15"/>
                <w:b w:val="1"/>
                <w:bCs w:val="1"/>
                <w:color w:val="auto"/>
              </w:rPr>
              <w:t>Deficit</w:t>
            </w:r>
          </w:p>
        </w:tc>
        <w:tc>
          <w:tcPr>
            <w:tcW w:w="200" w:type="dxa"/>
            <w:vAlign w:val="bottom"/>
            <w:tcBorders>
              <w:bottom w:val="single" w:sz="8" w:color="E5E5E5"/>
            </w:tcBorders>
            <w:gridSpan w:val="2"/>
          </w:tcPr>
          <w:p>
            <w:pPr>
              <w:spacing w:after="0"/>
              <w:rPr>
                <w:sz w:val="15"/>
                <w:szCs w:val="15"/>
                <w:color w:val="auto"/>
              </w:rPr>
            </w:pPr>
          </w:p>
        </w:tc>
        <w:tc>
          <w:tcPr>
            <w:tcW w:w="980" w:type="dxa"/>
            <w:vAlign w:val="bottom"/>
            <w:tcBorders>
              <w:bottom w:val="single" w:sz="8" w:color="auto"/>
            </w:tcBorders>
            <w:gridSpan w:val="2"/>
          </w:tcPr>
          <w:p>
            <w:pPr>
              <w:ind w:left="20"/>
              <w:spacing w:after="0" w:line="174" w:lineRule="exact"/>
              <w:rPr>
                <w:sz w:val="20"/>
                <w:szCs w:val="20"/>
                <w:color w:val="auto"/>
              </w:rPr>
            </w:pPr>
            <w:r>
              <w:rPr>
                <w:rFonts w:ascii="Calibri" w:cs="Calibri" w:eastAsia="Calibri" w:hAnsi="Calibri"/>
                <w:sz w:val="15"/>
                <w:szCs w:val="15"/>
                <w:b w:val="1"/>
                <w:bCs w:val="1"/>
                <w:color w:val="auto"/>
              </w:rPr>
              <w:t>Equity (Deficit)</w:t>
            </w:r>
          </w:p>
        </w:tc>
      </w:tr>
      <w:tr>
        <w:trPr>
          <w:trHeight w:val="173"/>
        </w:trPr>
        <w:tc>
          <w:tcPr>
            <w:tcW w:w="4440" w:type="dxa"/>
            <w:vAlign w:val="bottom"/>
            <w:gridSpan w:val="2"/>
            <w:shd w:val="clear" w:color="auto" w:fill="E5E5E5"/>
          </w:tcPr>
          <w:p>
            <w:pPr>
              <w:spacing w:after="0" w:line="174" w:lineRule="exact"/>
              <w:rPr>
                <w:sz w:val="20"/>
                <w:szCs w:val="20"/>
                <w:color w:val="auto"/>
              </w:rPr>
            </w:pPr>
            <w:r>
              <w:rPr>
                <w:rFonts w:ascii="Calibri" w:cs="Calibri" w:eastAsia="Calibri" w:hAnsi="Calibri"/>
                <w:sz w:val="15"/>
                <w:szCs w:val="15"/>
                <w:color w:val="auto"/>
              </w:rPr>
              <w:t>Balances at December 31, 2023</w:t>
            </w:r>
          </w:p>
        </w:tc>
        <w:tc>
          <w:tcPr>
            <w:tcW w:w="1000" w:type="dxa"/>
            <w:vAlign w:val="bottom"/>
            <w:shd w:val="clear" w:color="auto" w:fill="E5E5E5"/>
          </w:tcPr>
          <w:p>
            <w:pPr>
              <w:jc w:val="right"/>
              <w:spacing w:after="0" w:line="174" w:lineRule="exact"/>
              <w:rPr>
                <w:sz w:val="20"/>
                <w:szCs w:val="20"/>
                <w:color w:val="auto"/>
              </w:rPr>
            </w:pPr>
            <w:r>
              <w:rPr>
                <w:rFonts w:ascii="Calibri" w:cs="Calibri" w:eastAsia="Calibri" w:hAnsi="Calibri"/>
                <w:sz w:val="15"/>
                <w:szCs w:val="15"/>
                <w:color w:val="auto"/>
              </w:rPr>
              <w:t>112,215,260</w:t>
            </w:r>
          </w:p>
        </w:tc>
        <w:tc>
          <w:tcPr>
            <w:tcW w:w="360" w:type="dxa"/>
            <w:vAlign w:val="bottom"/>
            <w:gridSpan w:val="3"/>
            <w:shd w:val="clear" w:color="auto" w:fill="E5E5E5"/>
          </w:tcPr>
          <w:p>
            <w:pPr>
              <w:jc w:val="right"/>
              <w:ind w:right="46"/>
              <w:spacing w:after="0" w:line="174" w:lineRule="exact"/>
              <w:rPr>
                <w:sz w:val="20"/>
                <w:szCs w:val="20"/>
                <w:color w:val="auto"/>
              </w:rPr>
            </w:pPr>
            <w:r>
              <w:rPr>
                <w:rFonts w:ascii="Calibri" w:cs="Calibri" w:eastAsia="Calibri" w:hAnsi="Calibri"/>
                <w:sz w:val="15"/>
                <w:szCs w:val="15"/>
                <w:color w:val="auto"/>
              </w:rPr>
              <w:t>$</w:t>
            </w:r>
          </w:p>
        </w:tc>
        <w:tc>
          <w:tcPr>
            <w:tcW w:w="740" w:type="dxa"/>
            <w:vAlign w:val="bottom"/>
            <w:shd w:val="clear" w:color="auto" w:fill="E5E5E5"/>
          </w:tcPr>
          <w:p>
            <w:pPr>
              <w:jc w:val="right"/>
              <w:spacing w:after="0" w:line="174" w:lineRule="exact"/>
              <w:rPr>
                <w:sz w:val="20"/>
                <w:szCs w:val="20"/>
                <w:color w:val="auto"/>
              </w:rPr>
            </w:pPr>
            <w:r>
              <w:rPr>
                <w:rFonts w:ascii="Calibri" w:cs="Calibri" w:eastAsia="Calibri" w:hAnsi="Calibri"/>
                <w:sz w:val="15"/>
                <w:szCs w:val="15"/>
                <w:color w:val="auto"/>
              </w:rPr>
              <w:t>11</w:t>
            </w:r>
          </w:p>
        </w:tc>
        <w:tc>
          <w:tcPr>
            <w:tcW w:w="320" w:type="dxa"/>
            <w:vAlign w:val="bottom"/>
            <w:gridSpan w:val="3"/>
            <w:shd w:val="clear" w:color="auto" w:fill="E5E5E5"/>
          </w:tcPr>
          <w:p>
            <w:pPr>
              <w:jc w:val="right"/>
              <w:spacing w:after="0" w:line="174" w:lineRule="exact"/>
              <w:rPr>
                <w:sz w:val="20"/>
                <w:szCs w:val="20"/>
                <w:color w:val="auto"/>
              </w:rPr>
            </w:pPr>
            <w:r>
              <w:rPr>
                <w:rFonts w:ascii="Calibri" w:cs="Calibri" w:eastAsia="Calibri" w:hAnsi="Calibri"/>
                <w:sz w:val="15"/>
                <w:szCs w:val="15"/>
                <w:color w:val="auto"/>
              </w:rPr>
              <w:t>$</w:t>
            </w:r>
          </w:p>
        </w:tc>
        <w:tc>
          <w:tcPr>
            <w:tcW w:w="800" w:type="dxa"/>
            <w:vAlign w:val="bottom"/>
            <w:shd w:val="clear" w:color="auto" w:fill="E5E5E5"/>
          </w:tcPr>
          <w:p>
            <w:pPr>
              <w:jc w:val="right"/>
              <w:spacing w:after="0" w:line="174" w:lineRule="exact"/>
              <w:rPr>
                <w:sz w:val="20"/>
                <w:szCs w:val="20"/>
                <w:color w:val="auto"/>
              </w:rPr>
            </w:pPr>
            <w:r>
              <w:rPr>
                <w:rFonts w:ascii="Calibri" w:cs="Calibri" w:eastAsia="Calibri" w:hAnsi="Calibri"/>
                <w:sz w:val="15"/>
                <w:szCs w:val="15"/>
                <w:color w:val="auto"/>
              </w:rPr>
              <w:t>1,386,312</w:t>
            </w:r>
          </w:p>
        </w:tc>
        <w:tc>
          <w:tcPr>
            <w:tcW w:w="280" w:type="dxa"/>
            <w:vAlign w:val="bottom"/>
            <w:gridSpan w:val="3"/>
            <w:shd w:val="clear" w:color="auto" w:fill="E5E5E5"/>
          </w:tcPr>
          <w:p>
            <w:pPr>
              <w:jc w:val="right"/>
              <w:spacing w:after="0" w:line="174" w:lineRule="exact"/>
              <w:rPr>
                <w:sz w:val="20"/>
                <w:szCs w:val="20"/>
                <w:color w:val="auto"/>
              </w:rPr>
            </w:pPr>
            <w:r>
              <w:rPr>
                <w:rFonts w:ascii="Calibri" w:cs="Calibri" w:eastAsia="Calibri" w:hAnsi="Calibri"/>
                <w:sz w:val="15"/>
                <w:szCs w:val="15"/>
                <w:color w:val="auto"/>
              </w:rPr>
              <w:t>$</w:t>
            </w:r>
          </w:p>
        </w:tc>
        <w:tc>
          <w:tcPr>
            <w:tcW w:w="940" w:type="dxa"/>
            <w:vAlign w:val="bottom"/>
            <w:shd w:val="clear" w:color="auto" w:fill="E5E5E5"/>
          </w:tcPr>
          <w:p>
            <w:pPr>
              <w:jc w:val="right"/>
              <w:spacing w:after="0" w:line="174" w:lineRule="exact"/>
              <w:rPr>
                <w:sz w:val="20"/>
                <w:szCs w:val="20"/>
                <w:color w:val="auto"/>
              </w:rPr>
            </w:pPr>
            <w:r>
              <w:rPr>
                <w:rFonts w:ascii="Calibri" w:cs="Calibri" w:eastAsia="Calibri" w:hAnsi="Calibri"/>
                <w:sz w:val="15"/>
                <w:szCs w:val="15"/>
                <w:color w:val="auto"/>
              </w:rPr>
              <w:t>(248)</w:t>
            </w:r>
          </w:p>
        </w:tc>
        <w:tc>
          <w:tcPr>
            <w:tcW w:w="180" w:type="dxa"/>
            <w:vAlign w:val="bottom"/>
            <w:shd w:val="clear" w:color="auto" w:fill="E5E5E5"/>
          </w:tcPr>
          <w:p>
            <w:pPr>
              <w:spacing w:after="0"/>
              <w:rPr>
                <w:sz w:val="15"/>
                <w:szCs w:val="15"/>
                <w:color w:val="auto"/>
              </w:rPr>
            </w:pPr>
          </w:p>
        </w:tc>
        <w:tc>
          <w:tcPr>
            <w:tcW w:w="140" w:type="dxa"/>
            <w:vAlign w:val="bottom"/>
            <w:shd w:val="clear" w:color="auto" w:fill="E5E5E5"/>
          </w:tcPr>
          <w:p>
            <w:pPr>
              <w:jc w:val="right"/>
              <w:spacing w:after="0" w:line="174" w:lineRule="exact"/>
              <w:rPr>
                <w:sz w:val="20"/>
                <w:szCs w:val="20"/>
                <w:color w:val="auto"/>
              </w:rPr>
            </w:pPr>
            <w:r>
              <w:rPr>
                <w:rFonts w:ascii="Calibri" w:cs="Calibri" w:eastAsia="Calibri" w:hAnsi="Calibri"/>
                <w:sz w:val="15"/>
                <w:szCs w:val="15"/>
                <w:color w:val="auto"/>
                <w:w w:val="78"/>
              </w:rPr>
              <w:t>$</w:t>
            </w:r>
          </w:p>
        </w:tc>
        <w:tc>
          <w:tcPr>
            <w:tcW w:w="780" w:type="dxa"/>
            <w:vAlign w:val="bottom"/>
            <w:shd w:val="clear" w:color="auto" w:fill="E5E5E5"/>
          </w:tcPr>
          <w:p>
            <w:pPr>
              <w:jc w:val="right"/>
              <w:spacing w:after="0" w:line="174" w:lineRule="exact"/>
              <w:rPr>
                <w:sz w:val="20"/>
                <w:szCs w:val="20"/>
                <w:color w:val="auto"/>
              </w:rPr>
            </w:pPr>
            <w:r>
              <w:rPr>
                <w:rFonts w:ascii="Calibri" w:cs="Calibri" w:eastAsia="Calibri" w:hAnsi="Calibri"/>
                <w:sz w:val="15"/>
                <w:szCs w:val="15"/>
                <w:color w:val="auto"/>
              </w:rPr>
              <w:t>(1,579,500)</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line="174" w:lineRule="exact"/>
              <w:rPr>
                <w:sz w:val="20"/>
                <w:szCs w:val="20"/>
                <w:color w:val="auto"/>
              </w:rPr>
            </w:pPr>
            <w:r>
              <w:rPr>
                <w:rFonts w:ascii="Calibri" w:cs="Calibri" w:eastAsia="Calibri" w:hAnsi="Calibri"/>
                <w:sz w:val="15"/>
                <w:szCs w:val="15"/>
                <w:color w:val="auto"/>
              </w:rPr>
              <w:t>$</w:t>
            </w:r>
          </w:p>
        </w:tc>
        <w:tc>
          <w:tcPr>
            <w:tcW w:w="840" w:type="dxa"/>
            <w:vAlign w:val="bottom"/>
            <w:shd w:val="clear" w:color="auto" w:fill="E5E5E5"/>
          </w:tcPr>
          <w:p>
            <w:pPr>
              <w:jc w:val="right"/>
              <w:spacing w:after="0" w:line="174" w:lineRule="exact"/>
              <w:rPr>
                <w:sz w:val="20"/>
                <w:szCs w:val="20"/>
                <w:color w:val="auto"/>
              </w:rPr>
            </w:pPr>
            <w:r>
              <w:rPr>
                <w:rFonts w:ascii="Calibri" w:cs="Calibri" w:eastAsia="Calibri" w:hAnsi="Calibri"/>
                <w:sz w:val="15"/>
                <w:szCs w:val="15"/>
                <w:color w:val="auto"/>
              </w:rPr>
              <w:t>(193,425)</w:t>
            </w:r>
          </w:p>
        </w:tc>
      </w:tr>
      <w:tr>
        <w:trPr>
          <w:trHeight w:val="185"/>
        </w:trPr>
        <w:tc>
          <w:tcPr>
            <w:tcW w:w="4440" w:type="dxa"/>
            <w:vAlign w:val="bottom"/>
            <w:gridSpan w:val="2"/>
          </w:tcPr>
          <w:p>
            <w:pPr>
              <w:spacing w:after="0"/>
              <w:rPr>
                <w:sz w:val="20"/>
                <w:szCs w:val="20"/>
                <w:color w:val="auto"/>
              </w:rPr>
            </w:pPr>
            <w:r>
              <w:rPr>
                <w:rFonts w:ascii="Calibri" w:cs="Calibri" w:eastAsia="Calibri" w:hAnsi="Calibri"/>
                <w:sz w:val="15"/>
                <w:szCs w:val="15"/>
                <w:color w:val="auto"/>
              </w:rPr>
              <w:t>Net income</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28,507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28,507</w:t>
            </w:r>
          </w:p>
        </w:tc>
      </w:tr>
      <w:tr>
        <w:trPr>
          <w:trHeight w:val="184"/>
        </w:trPr>
        <w:tc>
          <w:tcPr>
            <w:tcW w:w="4440" w:type="dxa"/>
            <w:vAlign w:val="bottom"/>
            <w:gridSpan w:val="2"/>
            <w:shd w:val="clear" w:color="auto" w:fill="E5E5E5"/>
          </w:tcPr>
          <w:p>
            <w:pPr>
              <w:spacing w:after="0"/>
              <w:rPr>
                <w:sz w:val="20"/>
                <w:szCs w:val="20"/>
                <w:color w:val="auto"/>
              </w:rPr>
            </w:pPr>
            <w:r>
              <w:rPr>
                <w:rFonts w:ascii="Calibri" w:cs="Calibri" w:eastAsia="Calibri" w:hAnsi="Calibri"/>
                <w:sz w:val="15"/>
                <w:szCs w:val="15"/>
                <w:color w:val="auto"/>
              </w:rPr>
              <w:t>Issuance of common stock upon exercise of stock options</w:t>
            </w:r>
          </w:p>
        </w:tc>
        <w:tc>
          <w:tcPr>
            <w:tcW w:w="100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174,651</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80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291</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9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980" w:type="dxa"/>
            <w:vAlign w:val="bottom"/>
            <w:gridSpan w:val="3"/>
            <w:shd w:val="clear" w:color="auto" w:fill="E5E5E5"/>
          </w:tcPr>
          <w:p>
            <w:pPr>
              <w:jc w:val="right"/>
              <w:ind w:right="240"/>
              <w:spacing w:after="0"/>
              <w:rPr>
                <w:sz w:val="20"/>
                <w:szCs w:val="20"/>
                <w:color w:val="auto"/>
              </w:rPr>
            </w:pPr>
            <w:r>
              <w:rPr>
                <w:rFonts w:ascii="Calibri" w:cs="Calibri" w:eastAsia="Calibri" w:hAnsi="Calibri"/>
                <w:sz w:val="15"/>
                <w:szCs w:val="15"/>
                <w:color w:val="auto"/>
              </w:rPr>
              <w:t>—</w:t>
            </w:r>
          </w:p>
        </w:tc>
        <w:tc>
          <w:tcPr>
            <w:tcW w:w="14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291</w:t>
            </w:r>
          </w:p>
        </w:tc>
      </w:tr>
      <w:tr>
        <w:trPr>
          <w:trHeight w:val="185"/>
        </w:trPr>
        <w:tc>
          <w:tcPr>
            <w:tcW w:w="4440" w:type="dxa"/>
            <w:vAlign w:val="bottom"/>
            <w:gridSpan w:val="2"/>
          </w:tcPr>
          <w:p>
            <w:pPr>
              <w:spacing w:after="0"/>
              <w:rPr>
                <w:sz w:val="20"/>
                <w:szCs w:val="20"/>
                <w:color w:val="auto"/>
              </w:rPr>
            </w:pPr>
            <w:r>
              <w:rPr>
                <w:rFonts w:ascii="Calibri" w:cs="Calibri" w:eastAsia="Calibri" w:hAnsi="Calibri"/>
                <w:sz w:val="15"/>
                <w:szCs w:val="15"/>
                <w:color w:val="auto"/>
              </w:rPr>
              <w:t>Issuance of common stock upon vesting of RSUs</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816,876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w:t>
            </w:r>
          </w:p>
        </w:tc>
      </w:tr>
      <w:tr>
        <w:trPr>
          <w:trHeight w:val="184"/>
        </w:trPr>
        <w:tc>
          <w:tcPr>
            <w:tcW w:w="4440" w:type="dxa"/>
            <w:vAlign w:val="bottom"/>
            <w:gridSpan w:val="2"/>
            <w:shd w:val="clear" w:color="auto" w:fill="E5E5E5"/>
          </w:tcPr>
          <w:p>
            <w:pPr>
              <w:spacing w:after="0"/>
              <w:rPr>
                <w:sz w:val="20"/>
                <w:szCs w:val="20"/>
                <w:color w:val="auto"/>
              </w:rPr>
            </w:pPr>
            <w:r>
              <w:rPr>
                <w:rFonts w:ascii="Calibri" w:cs="Calibri" w:eastAsia="Calibri" w:hAnsi="Calibri"/>
                <w:sz w:val="15"/>
                <w:szCs w:val="15"/>
                <w:color w:val="auto"/>
              </w:rPr>
              <w:t>Issuance of common stock under the ESPP</w:t>
            </w:r>
          </w:p>
        </w:tc>
        <w:tc>
          <w:tcPr>
            <w:tcW w:w="100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852,222</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80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926</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9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980" w:type="dxa"/>
            <w:vAlign w:val="bottom"/>
            <w:gridSpan w:val="3"/>
            <w:shd w:val="clear" w:color="auto" w:fill="E5E5E5"/>
          </w:tcPr>
          <w:p>
            <w:pPr>
              <w:jc w:val="right"/>
              <w:ind w:right="240"/>
              <w:spacing w:after="0"/>
              <w:rPr>
                <w:sz w:val="20"/>
                <w:szCs w:val="20"/>
                <w:color w:val="auto"/>
              </w:rPr>
            </w:pPr>
            <w:r>
              <w:rPr>
                <w:rFonts w:ascii="Calibri" w:cs="Calibri" w:eastAsia="Calibri" w:hAnsi="Calibri"/>
                <w:sz w:val="15"/>
                <w:szCs w:val="15"/>
                <w:color w:val="auto"/>
              </w:rPr>
              <w:t>—</w:t>
            </w:r>
          </w:p>
        </w:tc>
        <w:tc>
          <w:tcPr>
            <w:tcW w:w="14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926</w:t>
            </w:r>
          </w:p>
        </w:tc>
      </w:tr>
      <w:tr>
        <w:trPr>
          <w:trHeight w:val="184"/>
        </w:trPr>
        <w:tc>
          <w:tcPr>
            <w:tcW w:w="4440" w:type="dxa"/>
            <w:vAlign w:val="bottom"/>
            <w:gridSpan w:val="2"/>
          </w:tcPr>
          <w:p>
            <w:pPr>
              <w:spacing w:after="0"/>
              <w:rPr>
                <w:sz w:val="20"/>
                <w:szCs w:val="20"/>
                <w:color w:val="auto"/>
              </w:rPr>
            </w:pPr>
            <w:r>
              <w:rPr>
                <w:rFonts w:ascii="Calibri" w:cs="Calibri" w:eastAsia="Calibri" w:hAnsi="Calibri"/>
                <w:sz w:val="15"/>
                <w:szCs w:val="15"/>
                <w:color w:val="auto"/>
              </w:rPr>
              <w:t>Issuance of common stock - partial payout of 2023 bonus in RSUs</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1,976,750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alibri" w:cs="Calibri" w:eastAsia="Calibri" w:hAnsi="Calibri"/>
                <w:sz w:val="15"/>
                <w:szCs w:val="15"/>
                <w:color w:val="auto"/>
              </w:rPr>
              <w:t>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4,407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right"/>
              <w:ind w:right="24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4,408</w:t>
            </w:r>
          </w:p>
        </w:tc>
      </w:tr>
      <w:tr>
        <w:trPr>
          <w:trHeight w:val="184"/>
        </w:trPr>
        <w:tc>
          <w:tcPr>
            <w:tcW w:w="4440" w:type="dxa"/>
            <w:vAlign w:val="bottom"/>
            <w:gridSpan w:val="2"/>
            <w:shd w:val="clear" w:color="auto" w:fill="E5E5E5"/>
          </w:tcPr>
          <w:p>
            <w:pPr>
              <w:spacing w:after="0"/>
              <w:rPr>
                <w:sz w:val="20"/>
                <w:szCs w:val="20"/>
                <w:color w:val="auto"/>
              </w:rPr>
            </w:pPr>
            <w:r>
              <w:rPr>
                <w:rFonts w:ascii="Calibri" w:cs="Calibri" w:eastAsia="Calibri" w:hAnsi="Calibri"/>
                <w:sz w:val="15"/>
                <w:szCs w:val="15"/>
                <w:color w:val="auto"/>
              </w:rPr>
              <w:t>Issuance of common stock under Sales Agreement, net of issuance</w:t>
            </w:r>
          </w:p>
        </w:tc>
        <w:tc>
          <w:tcPr>
            <w:tcW w:w="10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80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94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780" w:type="dxa"/>
            <w:vAlign w:val="bottom"/>
            <w:shd w:val="clear" w:color="auto" w:fill="E5E5E5"/>
          </w:tcPr>
          <w:p>
            <w:pPr>
              <w:spacing w:after="0"/>
              <w:rPr>
                <w:sz w:val="15"/>
                <w:szCs w:val="15"/>
                <w:color w:val="auto"/>
              </w:rPr>
            </w:pP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840" w:type="dxa"/>
            <w:vAlign w:val="bottom"/>
            <w:shd w:val="clear" w:color="auto" w:fill="E5E5E5"/>
          </w:tcPr>
          <w:p>
            <w:pPr>
              <w:spacing w:after="0"/>
              <w:rPr>
                <w:sz w:val="15"/>
                <w:szCs w:val="15"/>
                <w:color w:val="auto"/>
              </w:rPr>
            </w:pPr>
          </w:p>
        </w:tc>
      </w:tr>
      <w:tr>
        <w:trPr>
          <w:trHeight w:val="184"/>
        </w:trPr>
        <w:tc>
          <w:tcPr>
            <w:tcW w:w="4420" w:type="dxa"/>
            <w:vAlign w:val="bottom"/>
            <w:shd w:val="clear" w:color="auto" w:fill="E5E5E5"/>
          </w:tcPr>
          <w:p>
            <w:pPr>
              <w:spacing w:after="0"/>
              <w:rPr>
                <w:sz w:val="20"/>
                <w:szCs w:val="20"/>
                <w:color w:val="auto"/>
              </w:rPr>
            </w:pPr>
            <w:r>
              <w:rPr>
                <w:rFonts w:ascii="Calibri" w:cs="Calibri" w:eastAsia="Calibri" w:hAnsi="Calibri"/>
                <w:sz w:val="15"/>
                <w:szCs w:val="15"/>
                <w:color w:val="auto"/>
              </w:rPr>
              <w:t>costs</w:t>
            </w:r>
          </w:p>
        </w:tc>
        <w:tc>
          <w:tcPr>
            <w:tcW w:w="20" w:type="dxa"/>
            <w:vAlign w:val="bottom"/>
            <w:shd w:val="clear" w:color="auto" w:fill="E5E5E5"/>
          </w:tcPr>
          <w:p>
            <w:pPr>
              <w:spacing w:after="0"/>
              <w:rPr>
                <w:sz w:val="15"/>
                <w:szCs w:val="15"/>
                <w:color w:val="auto"/>
              </w:rPr>
            </w:pPr>
          </w:p>
        </w:tc>
        <w:tc>
          <w:tcPr>
            <w:tcW w:w="100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650,005</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80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1,455</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9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980" w:type="dxa"/>
            <w:vAlign w:val="bottom"/>
            <w:gridSpan w:val="3"/>
            <w:shd w:val="clear" w:color="auto" w:fill="E5E5E5"/>
          </w:tcPr>
          <w:p>
            <w:pPr>
              <w:jc w:val="right"/>
              <w:ind w:right="240"/>
              <w:spacing w:after="0"/>
              <w:rPr>
                <w:sz w:val="20"/>
                <w:szCs w:val="20"/>
                <w:color w:val="auto"/>
              </w:rPr>
            </w:pPr>
            <w:r>
              <w:rPr>
                <w:rFonts w:ascii="Calibri" w:cs="Calibri" w:eastAsia="Calibri" w:hAnsi="Calibri"/>
                <w:sz w:val="15"/>
                <w:szCs w:val="15"/>
                <w:color w:val="auto"/>
              </w:rPr>
              <w:t>—</w:t>
            </w:r>
          </w:p>
        </w:tc>
        <w:tc>
          <w:tcPr>
            <w:tcW w:w="14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1,455</w:t>
            </w:r>
          </w:p>
        </w:tc>
      </w:tr>
      <w:tr>
        <w:trPr>
          <w:trHeight w:val="185"/>
        </w:trPr>
        <w:tc>
          <w:tcPr>
            <w:tcW w:w="4440" w:type="dxa"/>
            <w:vAlign w:val="bottom"/>
            <w:gridSpan w:val="2"/>
          </w:tcPr>
          <w:p>
            <w:pPr>
              <w:spacing w:after="0"/>
              <w:rPr>
                <w:sz w:val="20"/>
                <w:szCs w:val="20"/>
                <w:color w:val="auto"/>
              </w:rPr>
            </w:pPr>
            <w:r>
              <w:rPr>
                <w:rFonts w:ascii="Calibri" w:cs="Calibri" w:eastAsia="Calibri" w:hAnsi="Calibri"/>
                <w:sz w:val="15"/>
                <w:szCs w:val="15"/>
                <w:color w:val="auto"/>
              </w:rPr>
              <w:t>Taxes paid related to net share settlement of RSUs</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(1,071,216)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(2,476)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(2,476)</w:t>
            </w:r>
          </w:p>
        </w:tc>
      </w:tr>
      <w:tr>
        <w:trPr>
          <w:trHeight w:val="184"/>
        </w:trPr>
        <w:tc>
          <w:tcPr>
            <w:tcW w:w="4440" w:type="dxa"/>
            <w:vAlign w:val="bottom"/>
            <w:gridSpan w:val="2"/>
            <w:shd w:val="clear" w:color="auto" w:fill="E5E5E5"/>
          </w:tcPr>
          <w:p>
            <w:pPr>
              <w:spacing w:after="0"/>
              <w:rPr>
                <w:sz w:val="20"/>
                <w:szCs w:val="20"/>
                <w:color w:val="auto"/>
              </w:rPr>
            </w:pPr>
            <w:r>
              <w:rPr>
                <w:rFonts w:ascii="Calibri" w:cs="Calibri" w:eastAsia="Calibri" w:hAnsi="Calibri"/>
                <w:sz w:val="15"/>
                <w:szCs w:val="15"/>
                <w:color w:val="auto"/>
              </w:rPr>
              <w:t>Stock-based compensation expense</w:t>
            </w:r>
          </w:p>
        </w:tc>
        <w:tc>
          <w:tcPr>
            <w:tcW w:w="100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80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28,351</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9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980" w:type="dxa"/>
            <w:vAlign w:val="bottom"/>
            <w:gridSpan w:val="3"/>
            <w:shd w:val="clear" w:color="auto" w:fill="E5E5E5"/>
          </w:tcPr>
          <w:p>
            <w:pPr>
              <w:jc w:val="right"/>
              <w:ind w:right="240"/>
              <w:spacing w:after="0"/>
              <w:rPr>
                <w:sz w:val="20"/>
                <w:szCs w:val="20"/>
                <w:color w:val="auto"/>
              </w:rPr>
            </w:pPr>
            <w:r>
              <w:rPr>
                <w:rFonts w:ascii="Calibri" w:cs="Calibri" w:eastAsia="Calibri" w:hAnsi="Calibri"/>
                <w:sz w:val="15"/>
                <w:szCs w:val="15"/>
                <w:color w:val="auto"/>
              </w:rPr>
              <w:t>—</w:t>
            </w:r>
          </w:p>
        </w:tc>
        <w:tc>
          <w:tcPr>
            <w:tcW w:w="14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28,351</w:t>
            </w:r>
          </w:p>
        </w:tc>
      </w:tr>
      <w:tr>
        <w:trPr>
          <w:trHeight w:val="185"/>
        </w:trPr>
        <w:tc>
          <w:tcPr>
            <w:tcW w:w="4440" w:type="dxa"/>
            <w:vAlign w:val="bottom"/>
            <w:gridSpan w:val="2"/>
          </w:tcPr>
          <w:p>
            <w:pPr>
              <w:spacing w:after="0"/>
              <w:rPr>
                <w:sz w:val="20"/>
                <w:szCs w:val="20"/>
                <w:color w:val="auto"/>
              </w:rPr>
            </w:pPr>
            <w:r>
              <w:rPr>
                <w:rFonts w:ascii="Calibri" w:cs="Calibri" w:eastAsia="Calibri" w:hAnsi="Calibri"/>
                <w:sz w:val="15"/>
                <w:szCs w:val="15"/>
                <w:color w:val="auto"/>
              </w:rPr>
              <w:t>Other comprehensive loss, net of tax</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(27)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(27)</w:t>
            </w:r>
          </w:p>
        </w:tc>
      </w:tr>
      <w:tr>
        <w:trPr>
          <w:trHeight w:val="193"/>
        </w:trPr>
        <w:tc>
          <w:tcPr>
            <w:tcW w:w="4440" w:type="dxa"/>
            <w:vAlign w:val="bottom"/>
            <w:tcBorders>
              <w:top w:val="single" w:sz="8" w:color="E5E5E5"/>
              <w:bottom w:val="single" w:sz="8" w:color="E5E5E5"/>
            </w:tcBorders>
            <w:gridSpan w:val="2"/>
            <w:shd w:val="clear" w:color="auto" w:fill="E5E5E5"/>
          </w:tcPr>
          <w:p>
            <w:pPr>
              <w:spacing w:after="0" w:line="174" w:lineRule="exact"/>
              <w:rPr>
                <w:sz w:val="20"/>
                <w:szCs w:val="20"/>
                <w:color w:val="auto"/>
              </w:rPr>
            </w:pPr>
            <w:r>
              <w:rPr>
                <w:rFonts w:ascii="Calibri" w:cs="Calibri" w:eastAsia="Calibri" w:hAnsi="Calibri"/>
                <w:sz w:val="15"/>
                <w:szCs w:val="15"/>
                <w:color w:val="auto"/>
              </w:rPr>
              <w:t>Balances at December 31, 2024</w:t>
            </w:r>
          </w:p>
        </w:tc>
        <w:tc>
          <w:tcPr>
            <w:tcW w:w="1000" w:type="dxa"/>
            <w:vAlign w:val="bottom"/>
            <w:tcBorders>
              <w:top w:val="single" w:sz="8" w:color="auto"/>
              <w:bottom w:val="single" w:sz="8" w:color="auto"/>
            </w:tcBorders>
            <w:shd w:val="clear" w:color="auto" w:fill="E5E5E5"/>
          </w:tcPr>
          <w:p>
            <w:pPr>
              <w:jc w:val="right"/>
              <w:spacing w:after="0" w:line="174" w:lineRule="exact"/>
              <w:rPr>
                <w:sz w:val="20"/>
                <w:szCs w:val="20"/>
                <w:color w:val="auto"/>
              </w:rPr>
            </w:pPr>
            <w:r>
              <w:rPr>
                <w:rFonts w:ascii="Calibri" w:cs="Calibri" w:eastAsia="Calibri" w:hAnsi="Calibri"/>
                <w:sz w:val="15"/>
                <w:szCs w:val="15"/>
                <w:color w:val="auto"/>
              </w:rPr>
              <w:t>115,614,548</w:t>
            </w:r>
          </w:p>
        </w:tc>
        <w:tc>
          <w:tcPr>
            <w:tcW w:w="180" w:type="dxa"/>
            <w:vAlign w:val="bottom"/>
            <w:tcBorders>
              <w:top w:val="single" w:sz="8" w:color="E5E5E5"/>
              <w:bottom w:val="single" w:sz="8" w:color="E5E5E5"/>
            </w:tcBorders>
            <w:shd w:val="clear" w:color="auto" w:fill="E5E5E5"/>
          </w:tcPr>
          <w:p>
            <w:pPr>
              <w:spacing w:after="0"/>
              <w:rPr>
                <w:sz w:val="16"/>
                <w:szCs w:val="16"/>
                <w:color w:val="auto"/>
              </w:rPr>
            </w:pPr>
          </w:p>
        </w:tc>
        <w:tc>
          <w:tcPr>
            <w:tcW w:w="20" w:type="dxa"/>
            <w:vAlign w:val="bottom"/>
            <w:tcBorders>
              <w:top w:val="single" w:sz="8" w:color="E5E5E5"/>
              <w:bottom w:val="single" w:sz="8" w:color="E5E5E5"/>
            </w:tcBorders>
            <w:shd w:val="clear" w:color="auto" w:fill="E5E5E5"/>
          </w:tcPr>
          <w:p>
            <w:pPr>
              <w:spacing w:after="0"/>
              <w:rPr>
                <w:sz w:val="16"/>
                <w:szCs w:val="16"/>
                <w:color w:val="auto"/>
              </w:rPr>
            </w:pPr>
          </w:p>
        </w:tc>
        <w:tc>
          <w:tcPr>
            <w:tcW w:w="160" w:type="dxa"/>
            <w:vAlign w:val="bottom"/>
            <w:tcBorders>
              <w:top w:val="single" w:sz="8" w:color="auto"/>
              <w:bottom w:val="single" w:sz="8" w:color="auto"/>
            </w:tcBorders>
            <w:shd w:val="clear" w:color="auto" w:fill="E5E5E5"/>
          </w:tcPr>
          <w:p>
            <w:pPr>
              <w:spacing w:after="0"/>
              <w:rPr>
                <w:sz w:val="16"/>
                <w:szCs w:val="16"/>
                <w:color w:val="auto"/>
              </w:rPr>
            </w:pPr>
          </w:p>
        </w:tc>
        <w:tc>
          <w:tcPr>
            <w:tcW w:w="740" w:type="dxa"/>
            <w:vAlign w:val="bottom"/>
            <w:tcBorders>
              <w:top w:val="single" w:sz="8" w:color="auto"/>
              <w:bottom w:val="single" w:sz="8" w:color="auto"/>
            </w:tcBorders>
            <w:shd w:val="clear" w:color="auto" w:fill="E5E5E5"/>
          </w:tcPr>
          <w:p>
            <w:pPr>
              <w:jc w:val="right"/>
              <w:spacing w:after="0" w:line="174" w:lineRule="exact"/>
              <w:rPr>
                <w:sz w:val="20"/>
                <w:szCs w:val="20"/>
                <w:color w:val="auto"/>
              </w:rPr>
            </w:pPr>
            <w:r>
              <w:rPr>
                <w:rFonts w:ascii="Calibri" w:cs="Calibri" w:eastAsia="Calibri" w:hAnsi="Calibri"/>
                <w:sz w:val="15"/>
                <w:szCs w:val="15"/>
                <w:color w:val="auto"/>
              </w:rPr>
              <w:t>12</w:t>
            </w:r>
          </w:p>
        </w:tc>
        <w:tc>
          <w:tcPr>
            <w:tcW w:w="180" w:type="dxa"/>
            <w:vAlign w:val="bottom"/>
            <w:tcBorders>
              <w:top w:val="single" w:sz="8" w:color="E5E5E5"/>
              <w:bottom w:val="single" w:sz="8" w:color="E5E5E5"/>
            </w:tcBorders>
            <w:shd w:val="clear" w:color="auto" w:fill="E5E5E5"/>
          </w:tcPr>
          <w:p>
            <w:pPr>
              <w:spacing w:after="0"/>
              <w:rPr>
                <w:sz w:val="16"/>
                <w:szCs w:val="16"/>
                <w:color w:val="auto"/>
              </w:rPr>
            </w:pPr>
          </w:p>
        </w:tc>
        <w:tc>
          <w:tcPr>
            <w:tcW w:w="20" w:type="dxa"/>
            <w:vAlign w:val="bottom"/>
            <w:tcBorders>
              <w:top w:val="single" w:sz="8" w:color="E5E5E5"/>
              <w:bottom w:val="single" w:sz="8" w:color="E5E5E5"/>
            </w:tcBorders>
            <w:shd w:val="clear" w:color="auto" w:fill="E5E5E5"/>
          </w:tcPr>
          <w:p>
            <w:pPr>
              <w:spacing w:after="0"/>
              <w:rPr>
                <w:sz w:val="16"/>
                <w:szCs w:val="16"/>
                <w:color w:val="auto"/>
              </w:rPr>
            </w:pPr>
          </w:p>
        </w:tc>
        <w:tc>
          <w:tcPr>
            <w:tcW w:w="120" w:type="dxa"/>
            <w:vAlign w:val="bottom"/>
            <w:tcBorders>
              <w:top w:val="single" w:sz="8" w:color="auto"/>
              <w:bottom w:val="single" w:sz="8" w:color="auto"/>
            </w:tcBorders>
            <w:shd w:val="clear" w:color="auto" w:fill="E5E5E5"/>
          </w:tcPr>
          <w:p>
            <w:pPr>
              <w:spacing w:after="0"/>
              <w:rPr>
                <w:sz w:val="16"/>
                <w:szCs w:val="16"/>
                <w:color w:val="auto"/>
              </w:rPr>
            </w:pPr>
          </w:p>
        </w:tc>
        <w:tc>
          <w:tcPr>
            <w:tcW w:w="800" w:type="dxa"/>
            <w:vAlign w:val="bottom"/>
            <w:tcBorders>
              <w:top w:val="single" w:sz="8" w:color="auto"/>
              <w:bottom w:val="single" w:sz="8" w:color="auto"/>
            </w:tcBorders>
            <w:shd w:val="clear" w:color="auto" w:fill="E5E5E5"/>
          </w:tcPr>
          <w:p>
            <w:pPr>
              <w:jc w:val="right"/>
              <w:spacing w:after="0" w:line="174" w:lineRule="exact"/>
              <w:rPr>
                <w:sz w:val="20"/>
                <w:szCs w:val="20"/>
                <w:color w:val="auto"/>
              </w:rPr>
            </w:pPr>
            <w:r>
              <w:rPr>
                <w:rFonts w:ascii="Calibri" w:cs="Calibri" w:eastAsia="Calibri" w:hAnsi="Calibri"/>
                <w:sz w:val="15"/>
                <w:szCs w:val="15"/>
                <w:color w:val="auto"/>
              </w:rPr>
              <w:t>1,419,266</w:t>
            </w:r>
          </w:p>
        </w:tc>
        <w:tc>
          <w:tcPr>
            <w:tcW w:w="180" w:type="dxa"/>
            <w:vAlign w:val="bottom"/>
            <w:tcBorders>
              <w:top w:val="single" w:sz="8" w:color="E5E5E5"/>
              <w:bottom w:val="single" w:sz="8" w:color="E5E5E5"/>
            </w:tcBorders>
            <w:shd w:val="clear" w:color="auto" w:fill="E5E5E5"/>
          </w:tcPr>
          <w:p>
            <w:pPr>
              <w:spacing w:after="0"/>
              <w:rPr>
                <w:sz w:val="16"/>
                <w:szCs w:val="16"/>
                <w:color w:val="auto"/>
              </w:rPr>
            </w:pPr>
          </w:p>
        </w:tc>
        <w:tc>
          <w:tcPr>
            <w:tcW w:w="20" w:type="dxa"/>
            <w:vAlign w:val="bottom"/>
            <w:tcBorders>
              <w:top w:val="single" w:sz="8" w:color="E5E5E5"/>
              <w:bottom w:val="single" w:sz="8" w:color="E5E5E5"/>
            </w:tcBorders>
            <w:shd w:val="clear" w:color="auto" w:fill="E5E5E5"/>
          </w:tcPr>
          <w:p>
            <w:pPr>
              <w:spacing w:after="0"/>
              <w:rPr>
                <w:sz w:val="16"/>
                <w:szCs w:val="16"/>
                <w:color w:val="auto"/>
              </w:rPr>
            </w:pPr>
          </w:p>
        </w:tc>
        <w:tc>
          <w:tcPr>
            <w:tcW w:w="80" w:type="dxa"/>
            <w:vAlign w:val="bottom"/>
            <w:tcBorders>
              <w:top w:val="single" w:sz="8" w:color="auto"/>
              <w:bottom w:val="single" w:sz="8" w:color="auto"/>
            </w:tcBorders>
            <w:shd w:val="clear" w:color="auto" w:fill="E5E5E5"/>
          </w:tcPr>
          <w:p>
            <w:pPr>
              <w:spacing w:after="0"/>
              <w:rPr>
                <w:sz w:val="16"/>
                <w:szCs w:val="16"/>
                <w:color w:val="auto"/>
              </w:rPr>
            </w:pPr>
          </w:p>
        </w:tc>
        <w:tc>
          <w:tcPr>
            <w:tcW w:w="940" w:type="dxa"/>
            <w:vAlign w:val="bottom"/>
            <w:tcBorders>
              <w:top w:val="single" w:sz="8" w:color="auto"/>
              <w:bottom w:val="single" w:sz="8" w:color="auto"/>
            </w:tcBorders>
            <w:shd w:val="clear" w:color="auto" w:fill="E5E5E5"/>
          </w:tcPr>
          <w:p>
            <w:pPr>
              <w:jc w:val="right"/>
              <w:spacing w:after="0" w:line="174" w:lineRule="exact"/>
              <w:rPr>
                <w:sz w:val="20"/>
                <w:szCs w:val="20"/>
                <w:color w:val="auto"/>
              </w:rPr>
            </w:pPr>
            <w:r>
              <w:rPr>
                <w:rFonts w:ascii="Calibri" w:cs="Calibri" w:eastAsia="Calibri" w:hAnsi="Calibri"/>
                <w:sz w:val="15"/>
                <w:szCs w:val="15"/>
                <w:color w:val="auto"/>
              </w:rPr>
              <w:t>(275)</w:t>
            </w:r>
          </w:p>
        </w:tc>
        <w:tc>
          <w:tcPr>
            <w:tcW w:w="180" w:type="dxa"/>
            <w:vAlign w:val="bottom"/>
            <w:tcBorders>
              <w:top w:val="single" w:sz="8" w:color="E5E5E5"/>
              <w:bottom w:val="single" w:sz="8" w:color="E5E5E5"/>
            </w:tcBorders>
            <w:shd w:val="clear" w:color="auto" w:fill="E5E5E5"/>
          </w:tcPr>
          <w:p>
            <w:pPr>
              <w:spacing w:after="0"/>
              <w:rPr>
                <w:sz w:val="16"/>
                <w:szCs w:val="16"/>
                <w:color w:val="auto"/>
              </w:rPr>
            </w:pPr>
          </w:p>
        </w:tc>
        <w:tc>
          <w:tcPr>
            <w:tcW w:w="140" w:type="dxa"/>
            <w:vAlign w:val="bottom"/>
            <w:tcBorders>
              <w:top w:val="single" w:sz="8" w:color="auto"/>
              <w:bottom w:val="single" w:sz="8" w:color="auto"/>
            </w:tcBorders>
            <w:shd w:val="clear" w:color="auto" w:fill="E5E5E5"/>
          </w:tcPr>
          <w:p>
            <w:pPr>
              <w:spacing w:after="0"/>
              <w:rPr>
                <w:sz w:val="16"/>
                <w:szCs w:val="16"/>
                <w:color w:val="auto"/>
              </w:rPr>
            </w:pPr>
          </w:p>
        </w:tc>
        <w:tc>
          <w:tcPr>
            <w:tcW w:w="780" w:type="dxa"/>
            <w:vAlign w:val="bottom"/>
            <w:tcBorders>
              <w:top w:val="single" w:sz="8" w:color="auto"/>
              <w:bottom w:val="single" w:sz="8" w:color="auto"/>
            </w:tcBorders>
            <w:shd w:val="clear" w:color="auto" w:fill="E5E5E5"/>
          </w:tcPr>
          <w:p>
            <w:pPr>
              <w:jc w:val="right"/>
              <w:spacing w:after="0" w:line="174" w:lineRule="exact"/>
              <w:rPr>
                <w:sz w:val="20"/>
                <w:szCs w:val="20"/>
                <w:color w:val="auto"/>
              </w:rPr>
            </w:pPr>
            <w:r>
              <w:rPr>
                <w:rFonts w:ascii="Calibri" w:cs="Calibri" w:eastAsia="Calibri" w:hAnsi="Calibri"/>
                <w:sz w:val="15"/>
                <w:szCs w:val="15"/>
                <w:color w:val="auto"/>
              </w:rPr>
              <w:t>(1,550,993)</w:t>
            </w:r>
          </w:p>
        </w:tc>
        <w:tc>
          <w:tcPr>
            <w:tcW w:w="180" w:type="dxa"/>
            <w:vAlign w:val="bottom"/>
            <w:tcBorders>
              <w:top w:val="single" w:sz="8" w:color="E5E5E5"/>
              <w:bottom w:val="single" w:sz="8" w:color="E5E5E5"/>
            </w:tcBorders>
            <w:shd w:val="clear" w:color="auto" w:fill="E5E5E5"/>
          </w:tcPr>
          <w:p>
            <w:pPr>
              <w:spacing w:after="0"/>
              <w:rPr>
                <w:sz w:val="16"/>
                <w:szCs w:val="16"/>
                <w:color w:val="auto"/>
              </w:rPr>
            </w:pPr>
          </w:p>
        </w:tc>
        <w:tc>
          <w:tcPr>
            <w:tcW w:w="20" w:type="dxa"/>
            <w:vAlign w:val="bottom"/>
            <w:tcBorders>
              <w:top w:val="single" w:sz="8" w:color="E5E5E5"/>
              <w:bottom w:val="single" w:sz="8" w:color="E5E5E5"/>
            </w:tcBorders>
            <w:shd w:val="clear" w:color="auto" w:fill="E5E5E5"/>
          </w:tcPr>
          <w:p>
            <w:pPr>
              <w:spacing w:after="0"/>
              <w:rPr>
                <w:sz w:val="16"/>
                <w:szCs w:val="16"/>
                <w:color w:val="auto"/>
              </w:rPr>
            </w:pPr>
          </w:p>
        </w:tc>
        <w:tc>
          <w:tcPr>
            <w:tcW w:w="140" w:type="dxa"/>
            <w:vAlign w:val="bottom"/>
            <w:tcBorders>
              <w:top w:val="single" w:sz="8" w:color="auto"/>
              <w:bottom w:val="single" w:sz="8" w:color="auto"/>
            </w:tcBorders>
            <w:shd w:val="clear" w:color="auto" w:fill="E5E5E5"/>
          </w:tcPr>
          <w:p>
            <w:pPr>
              <w:spacing w:after="0"/>
              <w:rPr>
                <w:sz w:val="16"/>
                <w:szCs w:val="16"/>
                <w:color w:val="auto"/>
              </w:rPr>
            </w:pPr>
          </w:p>
        </w:tc>
        <w:tc>
          <w:tcPr>
            <w:tcW w:w="840" w:type="dxa"/>
            <w:vAlign w:val="bottom"/>
            <w:tcBorders>
              <w:top w:val="single" w:sz="8" w:color="auto"/>
              <w:bottom w:val="single" w:sz="8" w:color="auto"/>
            </w:tcBorders>
            <w:shd w:val="clear" w:color="auto" w:fill="E5E5E5"/>
          </w:tcPr>
          <w:p>
            <w:pPr>
              <w:jc w:val="right"/>
              <w:spacing w:after="0" w:line="174" w:lineRule="exact"/>
              <w:rPr>
                <w:sz w:val="20"/>
                <w:szCs w:val="20"/>
                <w:color w:val="auto"/>
              </w:rPr>
            </w:pPr>
            <w:r>
              <w:rPr>
                <w:rFonts w:ascii="Calibri" w:cs="Calibri" w:eastAsia="Calibri" w:hAnsi="Calibri"/>
                <w:sz w:val="15"/>
                <w:szCs w:val="15"/>
                <w:color w:val="auto"/>
              </w:rPr>
              <w:t>(131,990)</w:t>
            </w:r>
          </w:p>
        </w:tc>
      </w:tr>
      <w:tr>
        <w:trPr>
          <w:trHeight w:val="154"/>
        </w:trPr>
        <w:tc>
          <w:tcPr>
            <w:tcW w:w="4440" w:type="dxa"/>
            <w:vAlign w:val="bottom"/>
            <w:gridSpan w:val="2"/>
          </w:tcPr>
          <w:p>
            <w:pPr>
              <w:spacing w:after="0" w:line="155" w:lineRule="exact"/>
              <w:rPr>
                <w:sz w:val="20"/>
                <w:szCs w:val="20"/>
                <w:color w:val="auto"/>
              </w:rPr>
            </w:pPr>
            <w:r>
              <w:rPr>
                <w:rFonts w:ascii="Calibri" w:cs="Calibri" w:eastAsia="Calibri" w:hAnsi="Calibri"/>
                <w:sz w:val="15"/>
                <w:szCs w:val="15"/>
                <w:color w:val="auto"/>
              </w:rPr>
              <w:t>Net income</w:t>
            </w:r>
          </w:p>
        </w:tc>
        <w:tc>
          <w:tcPr>
            <w:tcW w:w="1000" w:type="dxa"/>
            <w:vAlign w:val="bottom"/>
          </w:tcPr>
          <w:p>
            <w:pPr>
              <w:jc w:val="right"/>
              <w:spacing w:after="0" w:line="155" w:lineRule="exact"/>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Calibri" w:cs="Calibri" w:eastAsia="Calibri" w:hAnsi="Calibri"/>
                <w:sz w:val="15"/>
                <w:szCs w:val="15"/>
                <w:color w:val="auto"/>
              </w:rPr>
              <w:t>168,024</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Calibri" w:cs="Calibri" w:eastAsia="Calibri" w:hAnsi="Calibri"/>
                <w:sz w:val="15"/>
                <w:szCs w:val="15"/>
                <w:color w:val="auto"/>
              </w:rPr>
              <w:t>168,024</w:t>
            </w:r>
          </w:p>
        </w:tc>
      </w:tr>
      <w:tr>
        <w:trPr>
          <w:trHeight w:val="185"/>
        </w:trPr>
        <w:tc>
          <w:tcPr>
            <w:tcW w:w="4440" w:type="dxa"/>
            <w:vAlign w:val="bottom"/>
            <w:gridSpan w:val="2"/>
            <w:shd w:val="clear" w:color="auto" w:fill="E5E5E5"/>
          </w:tcPr>
          <w:p>
            <w:pPr>
              <w:spacing w:after="0"/>
              <w:rPr>
                <w:sz w:val="20"/>
                <w:szCs w:val="20"/>
                <w:color w:val="auto"/>
              </w:rPr>
            </w:pPr>
            <w:r>
              <w:rPr>
                <w:rFonts w:ascii="Calibri" w:cs="Calibri" w:eastAsia="Calibri" w:hAnsi="Calibri"/>
                <w:sz w:val="15"/>
                <w:szCs w:val="15"/>
                <w:color w:val="auto"/>
              </w:rPr>
              <w:t>Issuance of common stock upon exercise of stock options</w:t>
            </w:r>
          </w:p>
        </w:tc>
        <w:tc>
          <w:tcPr>
            <w:tcW w:w="100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35,500</w:t>
            </w:r>
          </w:p>
        </w:tc>
        <w:tc>
          <w:tcPr>
            <w:tcW w:w="1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27</w:t>
            </w:r>
          </w:p>
        </w:tc>
        <w:tc>
          <w:tcPr>
            <w:tcW w:w="1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9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80" w:type="dxa"/>
            <w:vAlign w:val="bottom"/>
            <w:gridSpan w:val="3"/>
            <w:shd w:val="clear" w:color="auto" w:fill="E5E5E5"/>
          </w:tcPr>
          <w:p>
            <w:pPr>
              <w:jc w:val="right"/>
              <w:ind w:right="240"/>
              <w:spacing w:after="0"/>
              <w:rPr>
                <w:sz w:val="20"/>
                <w:szCs w:val="20"/>
                <w:color w:val="auto"/>
              </w:rPr>
            </w:pPr>
            <w:r>
              <w:rPr>
                <w:rFonts w:ascii="Calibri" w:cs="Calibri" w:eastAsia="Calibri" w:hAnsi="Calibri"/>
                <w:sz w:val="15"/>
                <w:szCs w:val="15"/>
                <w:color w:val="auto"/>
              </w:rPr>
              <w:t>—</w:t>
            </w:r>
          </w:p>
        </w:tc>
        <w:tc>
          <w:tcPr>
            <w:tcW w:w="14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27</w:t>
            </w:r>
          </w:p>
        </w:tc>
      </w:tr>
      <w:tr>
        <w:trPr>
          <w:trHeight w:val="184"/>
        </w:trPr>
        <w:tc>
          <w:tcPr>
            <w:tcW w:w="4440" w:type="dxa"/>
            <w:vAlign w:val="bottom"/>
            <w:gridSpan w:val="2"/>
          </w:tcPr>
          <w:p>
            <w:pPr>
              <w:spacing w:after="0"/>
              <w:rPr>
                <w:sz w:val="20"/>
                <w:szCs w:val="20"/>
                <w:color w:val="auto"/>
              </w:rPr>
            </w:pPr>
            <w:r>
              <w:rPr>
                <w:rFonts w:ascii="Calibri" w:cs="Calibri" w:eastAsia="Calibri" w:hAnsi="Calibri"/>
                <w:sz w:val="15"/>
                <w:szCs w:val="15"/>
                <w:color w:val="auto"/>
              </w:rPr>
              <w:t>Issuance of common stock upon vesting of RSUs</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528,673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right"/>
              <w:ind w:right="24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w:t>
            </w:r>
          </w:p>
        </w:tc>
      </w:tr>
      <w:tr>
        <w:trPr>
          <w:trHeight w:val="184"/>
        </w:trPr>
        <w:tc>
          <w:tcPr>
            <w:tcW w:w="4440" w:type="dxa"/>
            <w:vAlign w:val="bottom"/>
            <w:gridSpan w:val="2"/>
            <w:shd w:val="clear" w:color="auto" w:fill="E5E5E5"/>
          </w:tcPr>
          <w:p>
            <w:pPr>
              <w:spacing w:after="0"/>
              <w:rPr>
                <w:sz w:val="20"/>
                <w:szCs w:val="20"/>
                <w:color w:val="auto"/>
              </w:rPr>
            </w:pPr>
            <w:r>
              <w:rPr>
                <w:rFonts w:ascii="Calibri" w:cs="Calibri" w:eastAsia="Calibri" w:hAnsi="Calibri"/>
                <w:sz w:val="15"/>
                <w:szCs w:val="15"/>
                <w:color w:val="auto"/>
              </w:rPr>
              <w:t>Issuance of common stock under the ESPP</w:t>
            </w:r>
          </w:p>
        </w:tc>
        <w:tc>
          <w:tcPr>
            <w:tcW w:w="100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542,885</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80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353</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9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980" w:type="dxa"/>
            <w:vAlign w:val="bottom"/>
            <w:gridSpan w:val="3"/>
            <w:shd w:val="clear" w:color="auto" w:fill="E5E5E5"/>
          </w:tcPr>
          <w:p>
            <w:pPr>
              <w:jc w:val="right"/>
              <w:ind w:right="240"/>
              <w:spacing w:after="0"/>
              <w:rPr>
                <w:sz w:val="20"/>
                <w:szCs w:val="20"/>
                <w:color w:val="auto"/>
              </w:rPr>
            </w:pPr>
            <w:r>
              <w:rPr>
                <w:rFonts w:ascii="Calibri" w:cs="Calibri" w:eastAsia="Calibri" w:hAnsi="Calibri"/>
                <w:sz w:val="15"/>
                <w:szCs w:val="15"/>
                <w:color w:val="auto"/>
              </w:rPr>
              <w:t>—</w:t>
            </w:r>
          </w:p>
        </w:tc>
        <w:tc>
          <w:tcPr>
            <w:tcW w:w="14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353</w:t>
            </w:r>
          </w:p>
        </w:tc>
      </w:tr>
      <w:tr>
        <w:trPr>
          <w:trHeight w:val="185"/>
        </w:trPr>
        <w:tc>
          <w:tcPr>
            <w:tcW w:w="4440" w:type="dxa"/>
            <w:vAlign w:val="bottom"/>
            <w:gridSpan w:val="2"/>
          </w:tcPr>
          <w:p>
            <w:pPr>
              <w:spacing w:after="0"/>
              <w:rPr>
                <w:sz w:val="20"/>
                <w:szCs w:val="20"/>
                <w:color w:val="auto"/>
              </w:rPr>
            </w:pPr>
            <w:r>
              <w:rPr>
                <w:rFonts w:ascii="Calibri" w:cs="Calibri" w:eastAsia="Calibri" w:hAnsi="Calibri"/>
                <w:sz w:val="15"/>
                <w:szCs w:val="15"/>
                <w:color w:val="auto"/>
              </w:rPr>
              <w:t>Taxes paid related to net share settlement of RSUs</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(201,676)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(283)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(283)</w:t>
            </w:r>
          </w:p>
        </w:tc>
      </w:tr>
      <w:tr>
        <w:trPr>
          <w:trHeight w:val="184"/>
        </w:trPr>
        <w:tc>
          <w:tcPr>
            <w:tcW w:w="4440" w:type="dxa"/>
            <w:vAlign w:val="bottom"/>
            <w:gridSpan w:val="2"/>
            <w:shd w:val="clear" w:color="auto" w:fill="E5E5E5"/>
          </w:tcPr>
          <w:p>
            <w:pPr>
              <w:spacing w:after="0"/>
              <w:rPr>
                <w:sz w:val="20"/>
                <w:szCs w:val="20"/>
                <w:color w:val="auto"/>
              </w:rPr>
            </w:pPr>
            <w:r>
              <w:rPr>
                <w:rFonts w:ascii="Calibri" w:cs="Calibri" w:eastAsia="Calibri" w:hAnsi="Calibri"/>
                <w:sz w:val="15"/>
                <w:szCs w:val="15"/>
                <w:color w:val="auto"/>
              </w:rPr>
              <w:t>Stock-based compensation expense</w:t>
            </w:r>
          </w:p>
        </w:tc>
        <w:tc>
          <w:tcPr>
            <w:tcW w:w="100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60" w:type="dxa"/>
            <w:vAlign w:val="bottom"/>
            <w:shd w:val="clear" w:color="auto" w:fill="E5E5E5"/>
          </w:tcPr>
          <w:p>
            <w:pPr>
              <w:spacing w:after="0"/>
              <w:rPr>
                <w:sz w:val="15"/>
                <w:szCs w:val="15"/>
                <w:color w:val="auto"/>
              </w:rPr>
            </w:pPr>
          </w:p>
        </w:tc>
        <w:tc>
          <w:tcPr>
            <w:tcW w:w="7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20" w:type="dxa"/>
            <w:vAlign w:val="bottom"/>
            <w:shd w:val="clear" w:color="auto" w:fill="E5E5E5"/>
          </w:tcPr>
          <w:p>
            <w:pPr>
              <w:spacing w:after="0"/>
              <w:rPr>
                <w:sz w:val="15"/>
                <w:szCs w:val="15"/>
                <w:color w:val="auto"/>
              </w:rPr>
            </w:pPr>
          </w:p>
        </w:tc>
        <w:tc>
          <w:tcPr>
            <w:tcW w:w="80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16,909</w:t>
            </w:r>
          </w:p>
        </w:tc>
        <w:tc>
          <w:tcPr>
            <w:tcW w:w="1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9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5"/>
                <w:szCs w:val="15"/>
                <w:color w:val="auto"/>
              </w:rPr>
            </w:pPr>
          </w:p>
        </w:tc>
        <w:tc>
          <w:tcPr>
            <w:tcW w:w="140" w:type="dxa"/>
            <w:vAlign w:val="bottom"/>
            <w:shd w:val="clear" w:color="auto" w:fill="E5E5E5"/>
          </w:tcPr>
          <w:p>
            <w:pPr>
              <w:spacing w:after="0"/>
              <w:rPr>
                <w:sz w:val="15"/>
                <w:szCs w:val="15"/>
                <w:color w:val="auto"/>
              </w:rPr>
            </w:pPr>
          </w:p>
        </w:tc>
        <w:tc>
          <w:tcPr>
            <w:tcW w:w="980" w:type="dxa"/>
            <w:vAlign w:val="bottom"/>
            <w:gridSpan w:val="3"/>
            <w:shd w:val="clear" w:color="auto" w:fill="E5E5E5"/>
          </w:tcPr>
          <w:p>
            <w:pPr>
              <w:jc w:val="right"/>
              <w:ind w:right="240"/>
              <w:spacing w:after="0"/>
              <w:rPr>
                <w:sz w:val="20"/>
                <w:szCs w:val="20"/>
                <w:color w:val="auto"/>
              </w:rPr>
            </w:pPr>
            <w:r>
              <w:rPr>
                <w:rFonts w:ascii="Calibri" w:cs="Calibri" w:eastAsia="Calibri" w:hAnsi="Calibri"/>
                <w:sz w:val="15"/>
                <w:szCs w:val="15"/>
                <w:color w:val="auto"/>
              </w:rPr>
              <w:t>—</w:t>
            </w:r>
          </w:p>
        </w:tc>
        <w:tc>
          <w:tcPr>
            <w:tcW w:w="140" w:type="dxa"/>
            <w:vAlign w:val="bottom"/>
            <w:shd w:val="clear" w:color="auto" w:fill="E5E5E5"/>
          </w:tcPr>
          <w:p>
            <w:pPr>
              <w:spacing w:after="0"/>
              <w:rPr>
                <w:sz w:val="15"/>
                <w:szCs w:val="15"/>
                <w:color w:val="auto"/>
              </w:rPr>
            </w:pPr>
          </w:p>
        </w:tc>
        <w:tc>
          <w:tcPr>
            <w:tcW w:w="8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16,909</w:t>
            </w:r>
          </w:p>
        </w:tc>
      </w:tr>
      <w:tr>
        <w:trPr>
          <w:trHeight w:val="174"/>
        </w:trPr>
        <w:tc>
          <w:tcPr>
            <w:tcW w:w="4440" w:type="dxa"/>
            <w:vAlign w:val="bottom"/>
            <w:gridSpan w:val="2"/>
          </w:tcPr>
          <w:p>
            <w:pPr>
              <w:spacing w:after="0" w:line="174" w:lineRule="exact"/>
              <w:rPr>
                <w:sz w:val="20"/>
                <w:szCs w:val="20"/>
                <w:color w:val="auto"/>
              </w:rPr>
            </w:pPr>
            <w:r>
              <w:rPr>
                <w:rFonts w:ascii="Calibri" w:cs="Calibri" w:eastAsia="Calibri" w:hAnsi="Calibri"/>
                <w:sz w:val="15"/>
                <w:szCs w:val="15"/>
                <w:color w:val="auto"/>
              </w:rPr>
              <w:t>Issuance of common stock under PIPE Securities, net of issuance</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3"/>
        </w:trPr>
        <w:tc>
          <w:tcPr>
            <w:tcW w:w="4440" w:type="dxa"/>
            <w:vAlign w:val="bottom"/>
            <w:gridSpan w:val="2"/>
          </w:tcPr>
          <w:p>
            <w:pPr>
              <w:spacing w:after="0"/>
              <w:rPr>
                <w:sz w:val="20"/>
                <w:szCs w:val="20"/>
                <w:color w:val="auto"/>
              </w:rPr>
            </w:pPr>
            <w:r>
              <w:rPr>
                <w:rFonts w:ascii="Calibri" w:cs="Calibri" w:eastAsia="Calibri" w:hAnsi="Calibri"/>
                <w:sz w:val="15"/>
                <w:szCs w:val="15"/>
                <w:color w:val="auto"/>
              </w:rPr>
              <w:t>costs</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4,634,995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7,894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Calibri" w:cs="Calibri" w:eastAsia="Calibri" w:hAnsi="Calibri"/>
                <w:sz w:val="15"/>
                <w:szCs w:val="15"/>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7,894</w:t>
            </w:r>
          </w:p>
        </w:tc>
      </w:tr>
      <w:tr>
        <w:trPr>
          <w:trHeight w:val="185"/>
        </w:trPr>
        <w:tc>
          <w:tcPr>
            <w:tcW w:w="4440" w:type="dxa"/>
            <w:vAlign w:val="bottom"/>
            <w:gridSpan w:val="2"/>
            <w:shd w:val="clear" w:color="auto" w:fill="E5E5E5"/>
          </w:tcPr>
          <w:p>
            <w:pPr>
              <w:spacing w:after="0"/>
              <w:rPr>
                <w:sz w:val="20"/>
                <w:szCs w:val="20"/>
                <w:color w:val="auto"/>
              </w:rPr>
            </w:pPr>
            <w:r>
              <w:rPr>
                <w:rFonts w:ascii="Calibri" w:cs="Calibri" w:eastAsia="Calibri" w:hAnsi="Calibri"/>
                <w:sz w:val="15"/>
                <w:szCs w:val="15"/>
                <w:color w:val="auto"/>
              </w:rPr>
              <w:t>Other comprehensive income, net of tax</w:t>
            </w:r>
          </w:p>
        </w:tc>
        <w:tc>
          <w:tcPr>
            <w:tcW w:w="100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80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w:t>
            </w:r>
          </w:p>
        </w:tc>
        <w:tc>
          <w:tcPr>
            <w:tcW w:w="18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9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80</w:t>
            </w:r>
          </w:p>
        </w:tc>
        <w:tc>
          <w:tcPr>
            <w:tcW w:w="180" w:type="dxa"/>
            <w:vAlign w:val="bottom"/>
            <w:shd w:val="clear" w:color="auto" w:fill="E5E5E5"/>
          </w:tcPr>
          <w:p>
            <w:pPr>
              <w:spacing w:after="0"/>
              <w:rPr>
                <w:sz w:val="16"/>
                <w:szCs w:val="16"/>
                <w:color w:val="auto"/>
              </w:rPr>
            </w:pPr>
          </w:p>
        </w:tc>
        <w:tc>
          <w:tcPr>
            <w:tcW w:w="140" w:type="dxa"/>
            <w:vAlign w:val="bottom"/>
            <w:shd w:val="clear" w:color="auto" w:fill="E5E5E5"/>
          </w:tcPr>
          <w:p>
            <w:pPr>
              <w:spacing w:after="0"/>
              <w:rPr>
                <w:sz w:val="16"/>
                <w:szCs w:val="16"/>
                <w:color w:val="auto"/>
              </w:rPr>
            </w:pPr>
          </w:p>
        </w:tc>
        <w:tc>
          <w:tcPr>
            <w:tcW w:w="980" w:type="dxa"/>
            <w:vAlign w:val="bottom"/>
            <w:gridSpan w:val="3"/>
            <w:shd w:val="clear" w:color="auto" w:fill="E5E5E5"/>
          </w:tcPr>
          <w:p>
            <w:pPr>
              <w:jc w:val="right"/>
              <w:ind w:right="240"/>
              <w:spacing w:after="0"/>
              <w:rPr>
                <w:sz w:val="20"/>
                <w:szCs w:val="20"/>
                <w:color w:val="auto"/>
              </w:rPr>
            </w:pPr>
            <w:r>
              <w:rPr>
                <w:rFonts w:ascii="Calibri" w:cs="Calibri" w:eastAsia="Calibri" w:hAnsi="Calibri"/>
                <w:sz w:val="15"/>
                <w:szCs w:val="15"/>
                <w:color w:val="auto"/>
              </w:rPr>
              <w:t>—</w:t>
            </w:r>
          </w:p>
        </w:tc>
        <w:tc>
          <w:tcPr>
            <w:tcW w:w="140" w:type="dxa"/>
            <w:vAlign w:val="bottom"/>
            <w:shd w:val="clear" w:color="auto" w:fill="E5E5E5"/>
          </w:tcPr>
          <w:p>
            <w:pPr>
              <w:spacing w:after="0"/>
              <w:rPr>
                <w:sz w:val="16"/>
                <w:szCs w:val="16"/>
                <w:color w:val="auto"/>
              </w:rPr>
            </w:pPr>
          </w:p>
        </w:tc>
        <w:tc>
          <w:tcPr>
            <w:tcW w:w="840" w:type="dxa"/>
            <w:vAlign w:val="bottom"/>
            <w:shd w:val="clear" w:color="auto" w:fill="E5E5E5"/>
          </w:tcPr>
          <w:p>
            <w:pPr>
              <w:jc w:val="right"/>
              <w:spacing w:after="0"/>
              <w:rPr>
                <w:sz w:val="20"/>
                <w:szCs w:val="20"/>
                <w:color w:val="auto"/>
              </w:rPr>
            </w:pPr>
            <w:r>
              <w:rPr>
                <w:rFonts w:ascii="Calibri" w:cs="Calibri" w:eastAsia="Calibri" w:hAnsi="Calibri"/>
                <w:sz w:val="15"/>
                <w:szCs w:val="15"/>
                <w:color w:val="auto"/>
              </w:rPr>
              <w:t>80</w:t>
            </w:r>
          </w:p>
        </w:tc>
      </w:tr>
      <w:tr>
        <w:trPr>
          <w:trHeight w:val="183"/>
        </w:trPr>
        <w:tc>
          <w:tcPr>
            <w:tcW w:w="4420" w:type="dxa"/>
            <w:vAlign w:val="bottom"/>
          </w:tcPr>
          <w:p>
            <w:pPr>
              <w:spacing w:after="0" w:line="174" w:lineRule="exact"/>
              <w:rPr>
                <w:sz w:val="20"/>
                <w:szCs w:val="20"/>
                <w:color w:val="auto"/>
              </w:rPr>
            </w:pPr>
            <w:r>
              <w:rPr>
                <w:rFonts w:ascii="Calibri" w:cs="Calibri" w:eastAsia="Calibri" w:hAnsi="Calibri"/>
                <w:sz w:val="15"/>
                <w:szCs w:val="15"/>
                <w:color w:val="auto"/>
              </w:rPr>
              <w:t>Balances at December 31, 2025</w:t>
            </w:r>
          </w:p>
        </w:tc>
        <w:tc>
          <w:tcPr>
            <w:tcW w:w="20" w:type="dxa"/>
            <w:vAlign w:val="bottom"/>
            <w:tcBorders>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121,154,925</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Calibri" w:cs="Calibri" w:eastAsia="Calibri" w:hAnsi="Calibri"/>
                <w:sz w:val="11"/>
                <w:szCs w:val="11"/>
                <w:color w:val="auto"/>
                <w:w w:val="70"/>
              </w:rPr>
              <w:t>$</w:t>
            </w:r>
          </w:p>
        </w:tc>
        <w:tc>
          <w:tcPr>
            <w:tcW w:w="740" w:type="dxa"/>
            <w:vAlign w:val="bottom"/>
            <w:tcBorders>
              <w:top w:val="single" w:sz="8" w:color="auto"/>
              <w:bottom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12</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4" w:lineRule="exact"/>
              <w:rPr>
                <w:sz w:val="20"/>
                <w:szCs w:val="20"/>
                <w:color w:val="auto"/>
              </w:rPr>
            </w:pPr>
            <w:r>
              <w:rPr>
                <w:rFonts w:ascii="Calibri" w:cs="Calibri" w:eastAsia="Calibri" w:hAnsi="Calibri"/>
                <w:sz w:val="15"/>
                <w:szCs w:val="15"/>
                <w:color w:val="auto"/>
                <w:w w:val="78"/>
              </w:rPr>
              <w:t>$</w:t>
            </w:r>
          </w:p>
        </w:tc>
        <w:tc>
          <w:tcPr>
            <w:tcW w:w="800" w:type="dxa"/>
            <w:vAlign w:val="bottom"/>
            <w:tcBorders>
              <w:top w:val="single" w:sz="8" w:color="auto"/>
              <w:bottom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1,444,166</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Calibri" w:cs="Calibri" w:eastAsia="Calibri" w:hAnsi="Calibri"/>
                <w:sz w:val="11"/>
                <w:szCs w:val="11"/>
                <w:color w:val="auto"/>
                <w:w w:val="70"/>
              </w:rPr>
              <w:t>$</w:t>
            </w:r>
          </w:p>
        </w:tc>
        <w:tc>
          <w:tcPr>
            <w:tcW w:w="940" w:type="dxa"/>
            <w:vAlign w:val="bottom"/>
            <w:tcBorders>
              <w:top w:val="single" w:sz="8" w:color="auto"/>
              <w:bottom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(195)</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4" w:lineRule="exact"/>
              <w:rPr>
                <w:sz w:val="20"/>
                <w:szCs w:val="20"/>
                <w:color w:val="auto"/>
              </w:rPr>
            </w:pPr>
            <w:r>
              <w:rPr>
                <w:rFonts w:ascii="Calibri" w:cs="Calibri" w:eastAsia="Calibri" w:hAnsi="Calibri"/>
                <w:sz w:val="15"/>
                <w:szCs w:val="15"/>
                <w:color w:val="auto"/>
                <w:w w:val="78"/>
              </w:rPr>
              <w:t>$</w:t>
            </w:r>
          </w:p>
        </w:tc>
        <w:tc>
          <w:tcPr>
            <w:tcW w:w="780" w:type="dxa"/>
            <w:vAlign w:val="bottom"/>
            <w:tcBorders>
              <w:top w:val="single" w:sz="8" w:color="auto"/>
              <w:bottom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(1,382,969)</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74" w:lineRule="exact"/>
              <w:rPr>
                <w:sz w:val="20"/>
                <w:szCs w:val="20"/>
                <w:color w:val="auto"/>
              </w:rPr>
            </w:pPr>
            <w:r>
              <w:rPr>
                <w:rFonts w:ascii="Calibri" w:cs="Calibri" w:eastAsia="Calibri" w:hAnsi="Calibri"/>
                <w:sz w:val="15"/>
                <w:szCs w:val="15"/>
                <w:color w:val="auto"/>
              </w:rPr>
              <w:t>$</w:t>
            </w:r>
          </w:p>
        </w:tc>
        <w:tc>
          <w:tcPr>
            <w:tcW w:w="840" w:type="dxa"/>
            <w:vAlign w:val="bottom"/>
            <w:tcBorders>
              <w:top w:val="single" w:sz="8" w:color="auto"/>
              <w:bottom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61,014</w:t>
            </w:r>
          </w:p>
        </w:tc>
      </w:tr>
    </w:tbl>
    <w:p>
      <w:pPr>
        <w:spacing w:after="0" w:line="200" w:lineRule="exact"/>
        <w:rPr>
          <w:sz w:val="20"/>
          <w:szCs w:val="20"/>
          <w:color w:val="auto"/>
        </w:rPr>
      </w:pPr>
    </w:p>
    <w:p>
      <w:pPr>
        <w:spacing w:after="0" w:line="226" w:lineRule="exact"/>
        <w:rPr>
          <w:sz w:val="20"/>
          <w:szCs w:val="20"/>
          <w:color w:val="auto"/>
        </w:rPr>
      </w:pPr>
    </w:p>
    <w:p>
      <w:pPr>
        <w:ind w:left="4920"/>
        <w:spacing w:after="0"/>
        <w:rPr>
          <w:sz w:val="20"/>
          <w:szCs w:val="20"/>
          <w:color w:val="auto"/>
        </w:rPr>
      </w:pPr>
      <w:r>
        <w:rPr>
          <w:rFonts w:ascii="Calibri" w:cs="Calibri" w:eastAsia="Calibri" w:hAnsi="Calibri"/>
          <w:sz w:val="20"/>
          <w:szCs w:val="20"/>
          <w:color w:val="auto"/>
        </w:rPr>
        <w:t>See accompanying notes.</w:t>
      </w:r>
    </w:p>
    <w:p>
      <w:pPr>
        <w:sectPr>
          <w:pgSz w:w="12240" w:h="15840" w:orient="portrait"/>
          <w:cols w:equalWidth="0" w:num="1">
            <w:col w:w="11160"/>
          </w:cols>
          <w:pgMar w:left="540" w:top="530"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81</w:t>
      </w:r>
    </w:p>
    <w:p>
      <w:pPr>
        <w:sectPr>
          <w:pgSz w:w="12240" w:h="15840" w:orient="portrait"/>
          <w:cols w:equalWidth="0" w:num="1">
            <w:col w:w="11160"/>
          </w:cols>
          <w:pgMar w:left="540" w:top="530" w:right="540" w:bottom="9" w:gutter="0" w:footer="0" w:header="0"/>
          <w:type w:val="continuous"/>
        </w:sectPr>
      </w:pPr>
    </w:p>
    <w:bookmarkStart w:id="83" w:name="page84"/>
    <w:bookmarkEnd w:id="83"/>
    <w:p>
      <w:pPr>
        <w:jc w:val="center"/>
        <w:spacing w:after="0"/>
        <w:rPr>
          <w:sz w:val="20"/>
          <w:szCs w:val="20"/>
          <w:color w:val="auto"/>
        </w:rPr>
      </w:pPr>
      <w:r>
        <w:rPr>
          <w:rFonts w:ascii="Calibri" w:cs="Calibri" w:eastAsia="Calibri" w:hAnsi="Calibri"/>
          <w:sz w:val="20"/>
          <w:szCs w:val="20"/>
          <w:b w:val="1"/>
          <w:bCs w:val="1"/>
          <w:color w:val="auto"/>
        </w:rPr>
        <w:t>Coherus Oncology, Inc.</w:t>
      </w:r>
    </w:p>
    <w:p>
      <w:pPr>
        <w:spacing w:after="0" w:line="30"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Consolidated Statements of Cash Flows</w:t>
      </w:r>
    </w:p>
    <w:p>
      <w:pPr>
        <w:jc w:val="center"/>
        <w:spacing w:after="0"/>
        <w:rPr>
          <w:sz w:val="20"/>
          <w:szCs w:val="20"/>
          <w:color w:val="auto"/>
        </w:rPr>
      </w:pPr>
      <w:r>
        <w:rPr>
          <w:rFonts w:ascii="Calibri" w:cs="Calibri" w:eastAsia="Calibri" w:hAnsi="Calibri"/>
          <w:sz w:val="20"/>
          <w:szCs w:val="20"/>
          <w:b w:val="1"/>
          <w:b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20"/>
              <w:spacing w:after="0"/>
              <w:rPr>
                <w:sz w:val="20"/>
                <w:szCs w:val="20"/>
                <w:color w:val="auto"/>
              </w:rPr>
            </w:pPr>
            <w:r>
              <w:rPr>
                <w:rFonts w:ascii="Calibri" w:cs="Calibri" w:eastAsia="Calibri" w:hAnsi="Calibri"/>
                <w:sz w:val="14"/>
                <w:szCs w:val="14"/>
                <w:b w:val="1"/>
                <w:bCs w:val="1"/>
                <w:color w:val="auto"/>
              </w:rPr>
              <w:t>Years Ended December 31,</w:t>
            </w:r>
          </w:p>
        </w:tc>
        <w:tc>
          <w:tcPr>
            <w:tcW w:w="920" w:type="dxa"/>
            <w:vAlign w:val="bottom"/>
            <w:tcBorders>
              <w:bottom w:val="single" w:sz="8" w:color="auto"/>
            </w:tcBorders>
          </w:tcPr>
          <w:p>
            <w:pPr>
              <w:spacing w:after="0"/>
              <w:rPr>
                <w:sz w:val="15"/>
                <w:szCs w:val="15"/>
                <w:color w:val="auto"/>
              </w:rPr>
            </w:pPr>
          </w:p>
        </w:tc>
      </w:tr>
      <w:tr>
        <w:trPr>
          <w:trHeight w:val="161"/>
        </w:trPr>
        <w:tc>
          <w:tcPr>
            <w:tcW w:w="6720" w:type="dxa"/>
            <w:vAlign w:val="bottom"/>
            <w:tcBorders>
              <w:bottom w:val="single" w:sz="8" w:color="E5E5E5"/>
            </w:tcBorders>
          </w:tcPr>
          <w:p>
            <w:pPr>
              <w:spacing w:after="0"/>
              <w:rPr>
                <w:sz w:val="14"/>
                <w:szCs w:val="14"/>
                <w:color w:val="auto"/>
              </w:rPr>
            </w:pPr>
          </w:p>
        </w:tc>
        <w:tc>
          <w:tcPr>
            <w:tcW w:w="1060" w:type="dxa"/>
            <w:vAlign w:val="bottom"/>
            <w:tcBorders>
              <w:bottom w:val="single" w:sz="8" w:color="E5E5E5"/>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0"/>
              <w:spacing w:after="0" w:line="161" w:lineRule="exact"/>
              <w:rPr>
                <w:sz w:val="20"/>
                <w:szCs w:val="20"/>
                <w:color w:val="auto"/>
              </w:rPr>
            </w:pPr>
            <w:r>
              <w:rPr>
                <w:rFonts w:ascii="Calibri" w:cs="Calibri" w:eastAsia="Calibri" w:hAnsi="Calibri"/>
                <w:sz w:val="14"/>
                <w:szCs w:val="14"/>
                <w:b w:val="1"/>
                <w:bCs w:val="1"/>
                <w:color w:val="auto"/>
              </w:rPr>
              <w:t>2025</w:t>
            </w:r>
          </w:p>
        </w:tc>
        <w:tc>
          <w:tcPr>
            <w:tcW w:w="260" w:type="dxa"/>
            <w:vAlign w:val="bottom"/>
            <w:tcBorders>
              <w:bottom w:val="single" w:sz="8" w:color="E5E5E5"/>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70"/>
              <w:spacing w:after="0" w:line="161" w:lineRule="exact"/>
              <w:rPr>
                <w:sz w:val="20"/>
                <w:szCs w:val="20"/>
                <w:color w:val="auto"/>
              </w:rPr>
            </w:pPr>
            <w:r>
              <w:rPr>
                <w:rFonts w:ascii="Calibri" w:cs="Calibri" w:eastAsia="Calibri" w:hAnsi="Calibri"/>
                <w:sz w:val="14"/>
                <w:szCs w:val="14"/>
                <w:b w:val="1"/>
                <w:bCs w:val="1"/>
                <w:color w:val="auto"/>
                <w:w w:val="91"/>
              </w:rPr>
              <w:t>2024</w:t>
            </w:r>
          </w:p>
        </w:tc>
      </w:tr>
      <w:tr>
        <w:trPr>
          <w:trHeight w:val="161"/>
        </w:trPr>
        <w:tc>
          <w:tcPr>
            <w:tcW w:w="6720" w:type="dxa"/>
            <w:vAlign w:val="bottom"/>
            <w:shd w:val="clear" w:color="auto" w:fill="E5E5E5"/>
          </w:tcPr>
          <w:p>
            <w:pPr>
              <w:spacing w:after="0" w:line="161" w:lineRule="exact"/>
              <w:rPr>
                <w:sz w:val="20"/>
                <w:szCs w:val="20"/>
                <w:color w:val="auto"/>
              </w:rPr>
            </w:pPr>
            <w:r>
              <w:rPr>
                <w:rFonts w:ascii="Calibri" w:cs="Calibri" w:eastAsia="Calibri" w:hAnsi="Calibri"/>
                <w:sz w:val="14"/>
                <w:szCs w:val="14"/>
                <w:b w:val="1"/>
                <w:bCs w:val="1"/>
                <w:color w:val="auto"/>
              </w:rPr>
              <w:t>Operating activities</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r>
      <w:tr>
        <w:trPr>
          <w:trHeight w:val="170"/>
        </w:trPr>
        <w:tc>
          <w:tcPr>
            <w:tcW w:w="6720" w:type="dxa"/>
            <w:vAlign w:val="bottom"/>
          </w:tcPr>
          <w:p>
            <w:pPr>
              <w:spacing w:after="0"/>
              <w:rPr>
                <w:sz w:val="20"/>
                <w:szCs w:val="20"/>
                <w:color w:val="auto"/>
              </w:rPr>
            </w:pPr>
            <w:r>
              <w:rPr>
                <w:rFonts w:ascii="Calibri" w:cs="Calibri" w:eastAsia="Calibri" w:hAnsi="Calibri"/>
                <w:sz w:val="14"/>
                <w:szCs w:val="14"/>
                <w:color w:val="auto"/>
              </w:rPr>
              <w:t>Net income</w:t>
            </w:r>
          </w:p>
        </w:tc>
        <w:tc>
          <w:tcPr>
            <w:tcW w:w="1420" w:type="dxa"/>
            <w:vAlign w:val="bottom"/>
            <w:gridSpan w:val="2"/>
          </w:tcPr>
          <w:p>
            <w:pPr>
              <w:jc w:val="right"/>
              <w:ind w:right="280"/>
              <w:spacing w:after="0"/>
              <w:rPr>
                <w:sz w:val="20"/>
                <w:szCs w:val="20"/>
                <w:color w:val="auto"/>
              </w:rPr>
            </w:pPr>
            <w:r>
              <w:rPr>
                <w:rFonts w:ascii="Calibri" w:cs="Calibri" w:eastAsia="Calibri" w:hAnsi="Calibri"/>
                <w:sz w:val="14"/>
                <w:szCs w:val="14"/>
                <w:color w:val="auto"/>
              </w:rPr>
              <w:t>$</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168,024</w:t>
            </w:r>
          </w:p>
        </w:tc>
        <w:tc>
          <w:tcPr>
            <w:tcW w:w="900" w:type="dxa"/>
            <w:vAlign w:val="bottom"/>
            <w:gridSpan w:val="2"/>
          </w:tcPr>
          <w:p>
            <w:pPr>
              <w:jc w:val="right"/>
              <w:ind w:right="560"/>
              <w:spacing w:after="0"/>
              <w:rPr>
                <w:sz w:val="20"/>
                <w:szCs w:val="20"/>
                <w:color w:val="auto"/>
              </w:rPr>
            </w:pPr>
            <w:r>
              <w:rPr>
                <w:rFonts w:ascii="Calibri" w:cs="Calibri" w:eastAsia="Calibri" w:hAnsi="Calibri"/>
                <w:sz w:val="14"/>
                <w:szCs w:val="14"/>
                <w:color w:val="auto"/>
              </w:rPr>
              <w:t>$</w:t>
            </w:r>
          </w:p>
        </w:tc>
        <w:tc>
          <w:tcPr>
            <w:tcW w:w="920" w:type="dxa"/>
            <w:vAlign w:val="bottom"/>
          </w:tcPr>
          <w:p>
            <w:pPr>
              <w:jc w:val="right"/>
              <w:spacing w:after="0"/>
              <w:rPr>
                <w:sz w:val="20"/>
                <w:szCs w:val="20"/>
                <w:color w:val="auto"/>
              </w:rPr>
            </w:pPr>
            <w:r>
              <w:rPr>
                <w:rFonts w:ascii="Calibri" w:cs="Calibri" w:eastAsia="Calibri" w:hAnsi="Calibri"/>
                <w:sz w:val="14"/>
                <w:szCs w:val="14"/>
                <w:color w:val="auto"/>
              </w:rPr>
              <w:t>28,507</w:t>
            </w:r>
          </w:p>
        </w:tc>
      </w:tr>
      <w:tr>
        <w:trPr>
          <w:trHeight w:val="172"/>
        </w:trPr>
        <w:tc>
          <w:tcPr>
            <w:tcW w:w="6720" w:type="dxa"/>
            <w:vAlign w:val="bottom"/>
            <w:shd w:val="clear" w:color="auto" w:fill="E5E5E5"/>
          </w:tcPr>
          <w:p>
            <w:pPr>
              <w:spacing w:after="0"/>
              <w:rPr>
                <w:sz w:val="20"/>
                <w:szCs w:val="20"/>
                <w:color w:val="auto"/>
              </w:rPr>
            </w:pPr>
            <w:r>
              <w:rPr>
                <w:rFonts w:ascii="Calibri" w:cs="Calibri" w:eastAsia="Calibri" w:hAnsi="Calibri"/>
                <w:sz w:val="14"/>
                <w:szCs w:val="14"/>
                <w:color w:val="auto"/>
              </w:rPr>
              <w:t>Adjustments to reconcile net income to net cash used in operating activities:</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r>
      <w:tr>
        <w:trPr>
          <w:trHeight w:val="170"/>
        </w:trPr>
        <w:tc>
          <w:tcPr>
            <w:tcW w:w="6720" w:type="dxa"/>
            <w:vAlign w:val="bottom"/>
          </w:tcPr>
          <w:p>
            <w:pPr>
              <w:ind w:left="240"/>
              <w:spacing w:after="0"/>
              <w:rPr>
                <w:sz w:val="20"/>
                <w:szCs w:val="20"/>
                <w:color w:val="auto"/>
              </w:rPr>
            </w:pPr>
            <w:r>
              <w:rPr>
                <w:rFonts w:ascii="Calibri" w:cs="Calibri" w:eastAsia="Calibri" w:hAnsi="Calibri"/>
                <w:sz w:val="14"/>
                <w:szCs w:val="14"/>
                <w:color w:val="auto"/>
              </w:rPr>
              <w:t>Depreciation and amortization</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3,924</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auto"/>
              </w:rPr>
              <w:t>5,276</w:t>
            </w:r>
          </w:p>
        </w:tc>
      </w:tr>
      <w:tr>
        <w:trPr>
          <w:trHeight w:val="170"/>
        </w:trPr>
        <w:tc>
          <w:tcPr>
            <w:tcW w:w="6720" w:type="dxa"/>
            <w:vAlign w:val="bottom"/>
            <w:shd w:val="clear" w:color="auto" w:fill="E5E5E5"/>
          </w:tcPr>
          <w:p>
            <w:pPr>
              <w:ind w:left="240"/>
              <w:spacing w:after="0"/>
              <w:rPr>
                <w:sz w:val="20"/>
                <w:szCs w:val="20"/>
                <w:color w:val="auto"/>
              </w:rPr>
            </w:pPr>
            <w:r>
              <w:rPr>
                <w:rFonts w:ascii="Calibri" w:cs="Calibri" w:eastAsia="Calibri" w:hAnsi="Calibri"/>
                <w:sz w:val="14"/>
                <w:szCs w:val="14"/>
                <w:color w:val="auto"/>
              </w:rPr>
              <w:t>Stock-based compensation expense</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16,966</w:t>
            </w: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27,802</w:t>
            </w:r>
          </w:p>
        </w:tc>
      </w:tr>
      <w:tr>
        <w:trPr>
          <w:trHeight w:val="172"/>
        </w:trPr>
        <w:tc>
          <w:tcPr>
            <w:tcW w:w="6720" w:type="dxa"/>
            <w:vAlign w:val="bottom"/>
          </w:tcPr>
          <w:p>
            <w:pPr>
              <w:ind w:left="240"/>
              <w:spacing w:after="0"/>
              <w:rPr>
                <w:sz w:val="20"/>
                <w:szCs w:val="20"/>
                <w:color w:val="auto"/>
              </w:rPr>
            </w:pPr>
            <w:r>
              <w:rPr>
                <w:rFonts w:ascii="Calibri" w:cs="Calibri" w:eastAsia="Calibri" w:hAnsi="Calibri"/>
                <w:sz w:val="14"/>
                <w:szCs w:val="14"/>
                <w:color w:val="auto"/>
              </w:rPr>
              <w:t>Write-down of intangible assets and remeasurement of contingent consideration liabilities, net</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4,164</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auto"/>
              </w:rPr>
              <w:t>6,772</w:t>
            </w:r>
          </w:p>
        </w:tc>
      </w:tr>
      <w:tr>
        <w:trPr>
          <w:trHeight w:val="170"/>
        </w:trPr>
        <w:tc>
          <w:tcPr>
            <w:tcW w:w="6720" w:type="dxa"/>
            <w:vAlign w:val="bottom"/>
            <w:shd w:val="clear" w:color="auto" w:fill="E5E5E5"/>
          </w:tcPr>
          <w:p>
            <w:pPr>
              <w:ind w:left="240"/>
              <w:spacing w:after="0"/>
              <w:rPr>
                <w:sz w:val="20"/>
                <w:szCs w:val="20"/>
                <w:color w:val="auto"/>
              </w:rPr>
            </w:pPr>
            <w:r>
              <w:rPr>
                <w:rFonts w:ascii="Calibri" w:cs="Calibri" w:eastAsia="Calibri" w:hAnsi="Calibri"/>
                <w:sz w:val="14"/>
                <w:szCs w:val="14"/>
                <w:color w:val="auto"/>
              </w:rPr>
              <w:t>Loss on debt extinguishment</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10,286</w:t>
            </w: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12,630</w:t>
            </w:r>
          </w:p>
        </w:tc>
      </w:tr>
      <w:tr>
        <w:trPr>
          <w:trHeight w:val="172"/>
        </w:trPr>
        <w:tc>
          <w:tcPr>
            <w:tcW w:w="6720" w:type="dxa"/>
            <w:vAlign w:val="bottom"/>
          </w:tcPr>
          <w:p>
            <w:pPr>
              <w:ind w:left="240"/>
              <w:spacing w:after="0"/>
              <w:rPr>
                <w:sz w:val="20"/>
                <w:szCs w:val="20"/>
                <w:color w:val="auto"/>
              </w:rPr>
            </w:pPr>
            <w:r>
              <w:rPr>
                <w:rFonts w:ascii="Calibri" w:cs="Calibri" w:eastAsia="Calibri" w:hAnsi="Calibri"/>
                <w:sz w:val="14"/>
                <w:szCs w:val="14"/>
                <w:color w:val="auto"/>
              </w:rPr>
              <w:t>Gain on Sale Transactions, net (Note 6)</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(338,315)</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auto"/>
              </w:rPr>
              <w:t>(176,589)</w:t>
            </w:r>
          </w:p>
        </w:tc>
      </w:tr>
      <w:tr>
        <w:trPr>
          <w:trHeight w:val="170"/>
        </w:trPr>
        <w:tc>
          <w:tcPr>
            <w:tcW w:w="6720" w:type="dxa"/>
            <w:vAlign w:val="bottom"/>
            <w:shd w:val="clear" w:color="auto" w:fill="E5E5E5"/>
          </w:tcPr>
          <w:p>
            <w:pPr>
              <w:ind w:left="240"/>
              <w:spacing w:after="0"/>
              <w:rPr>
                <w:sz w:val="20"/>
                <w:szCs w:val="20"/>
                <w:color w:val="auto"/>
              </w:rPr>
            </w:pPr>
            <w:r>
              <w:rPr>
                <w:rFonts w:ascii="Calibri" w:cs="Calibri" w:eastAsia="Calibri" w:hAnsi="Calibri"/>
                <w:sz w:val="14"/>
                <w:szCs w:val="14"/>
                <w:color w:val="auto"/>
              </w:rPr>
              <w:t>Inventory write-downs, net</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14,143</w:t>
            </w:r>
          </w:p>
        </w:tc>
      </w:tr>
      <w:tr>
        <w:trPr>
          <w:trHeight w:val="172"/>
        </w:trPr>
        <w:tc>
          <w:tcPr>
            <w:tcW w:w="6720" w:type="dxa"/>
            <w:vAlign w:val="bottom"/>
          </w:tcPr>
          <w:p>
            <w:pPr>
              <w:ind w:left="240"/>
              <w:spacing w:after="0"/>
              <w:rPr>
                <w:sz w:val="20"/>
                <w:szCs w:val="20"/>
                <w:color w:val="auto"/>
              </w:rPr>
            </w:pPr>
            <w:r>
              <w:rPr>
                <w:rFonts w:ascii="Calibri" w:cs="Calibri" w:eastAsia="Calibri" w:hAnsi="Calibri"/>
                <w:sz w:val="14"/>
                <w:szCs w:val="14"/>
                <w:color w:val="auto"/>
              </w:rPr>
              <w:t>Change in fair value of derivatives</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12,608</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auto"/>
              </w:rPr>
              <w:t>5,043</w:t>
            </w:r>
          </w:p>
        </w:tc>
      </w:tr>
      <w:tr>
        <w:trPr>
          <w:trHeight w:val="170"/>
        </w:trPr>
        <w:tc>
          <w:tcPr>
            <w:tcW w:w="6720" w:type="dxa"/>
            <w:vAlign w:val="bottom"/>
            <w:shd w:val="clear" w:color="auto" w:fill="E5E5E5"/>
          </w:tcPr>
          <w:p>
            <w:pPr>
              <w:ind w:left="240"/>
              <w:spacing w:after="0"/>
              <w:rPr>
                <w:sz w:val="20"/>
                <w:szCs w:val="20"/>
                <w:color w:val="auto"/>
              </w:rPr>
            </w:pPr>
            <w:r>
              <w:rPr>
                <w:rFonts w:ascii="Calibri" w:cs="Calibri" w:eastAsia="Calibri" w:hAnsi="Calibri"/>
                <w:sz w:val="14"/>
                <w:szCs w:val="14"/>
                <w:color w:val="auto"/>
              </w:rPr>
              <w:t>Other non-cash adjustments, net</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(10,328)</w:t>
            </w: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82</w:t>
            </w:r>
          </w:p>
        </w:tc>
      </w:tr>
      <w:tr>
        <w:trPr>
          <w:trHeight w:val="170"/>
        </w:trPr>
        <w:tc>
          <w:tcPr>
            <w:tcW w:w="6720" w:type="dxa"/>
            <w:vAlign w:val="bottom"/>
          </w:tcPr>
          <w:p>
            <w:pPr>
              <w:ind w:left="240"/>
              <w:spacing w:after="0"/>
              <w:rPr>
                <w:sz w:val="20"/>
                <w:szCs w:val="20"/>
                <w:color w:val="auto"/>
              </w:rPr>
            </w:pPr>
            <w:r>
              <w:rPr>
                <w:rFonts w:ascii="Calibri" w:cs="Calibri" w:eastAsia="Calibri" w:hAnsi="Calibri"/>
                <w:sz w:val="14"/>
                <w:szCs w:val="14"/>
                <w:color w:val="auto"/>
              </w:rPr>
              <w:t>Changes in operating assets and liabilities:</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6720" w:type="dxa"/>
            <w:vAlign w:val="bottom"/>
            <w:shd w:val="clear" w:color="auto" w:fill="E5E5E5"/>
          </w:tcPr>
          <w:p>
            <w:pPr>
              <w:ind w:left="480"/>
              <w:spacing w:after="0"/>
              <w:rPr>
                <w:sz w:val="20"/>
                <w:szCs w:val="20"/>
                <w:color w:val="auto"/>
              </w:rPr>
            </w:pPr>
            <w:r>
              <w:rPr>
                <w:rFonts w:ascii="Calibri" w:cs="Calibri" w:eastAsia="Calibri" w:hAnsi="Calibri"/>
                <w:sz w:val="14"/>
                <w:szCs w:val="14"/>
                <w:color w:val="auto"/>
              </w:rPr>
              <w:t>Trade receivables, net</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93,557</w:t>
            </w: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149,350</w:t>
            </w:r>
          </w:p>
        </w:tc>
      </w:tr>
      <w:tr>
        <w:trPr>
          <w:trHeight w:val="170"/>
        </w:trPr>
        <w:tc>
          <w:tcPr>
            <w:tcW w:w="6720" w:type="dxa"/>
            <w:vAlign w:val="bottom"/>
          </w:tcPr>
          <w:p>
            <w:pPr>
              <w:ind w:left="480"/>
              <w:spacing w:after="0"/>
              <w:rPr>
                <w:sz w:val="20"/>
                <w:szCs w:val="20"/>
                <w:color w:val="auto"/>
              </w:rPr>
            </w:pPr>
            <w:r>
              <w:rPr>
                <w:rFonts w:ascii="Calibri" w:cs="Calibri" w:eastAsia="Calibri" w:hAnsi="Calibri"/>
                <w:sz w:val="14"/>
                <w:szCs w:val="14"/>
                <w:color w:val="auto"/>
              </w:rPr>
              <w:t>Inventory</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(17,108)</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auto"/>
              </w:rPr>
              <w:t>(31,952)</w:t>
            </w:r>
          </w:p>
        </w:tc>
      </w:tr>
      <w:tr>
        <w:trPr>
          <w:trHeight w:val="172"/>
        </w:trPr>
        <w:tc>
          <w:tcPr>
            <w:tcW w:w="6720" w:type="dxa"/>
            <w:vAlign w:val="bottom"/>
            <w:shd w:val="clear" w:color="auto" w:fill="E5E5E5"/>
          </w:tcPr>
          <w:p>
            <w:pPr>
              <w:ind w:left="480"/>
              <w:spacing w:after="0"/>
              <w:rPr>
                <w:sz w:val="20"/>
                <w:szCs w:val="20"/>
                <w:color w:val="auto"/>
              </w:rPr>
            </w:pPr>
            <w:r>
              <w:rPr>
                <w:rFonts w:ascii="Calibri" w:cs="Calibri" w:eastAsia="Calibri" w:hAnsi="Calibri"/>
                <w:sz w:val="14"/>
                <w:szCs w:val="14"/>
                <w:color w:val="auto"/>
              </w:rPr>
              <w:t>Prepaid manufacturing</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338</w:t>
            </w: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4,664</w:t>
            </w:r>
          </w:p>
        </w:tc>
      </w:tr>
      <w:tr>
        <w:trPr>
          <w:trHeight w:val="170"/>
        </w:trPr>
        <w:tc>
          <w:tcPr>
            <w:tcW w:w="6720" w:type="dxa"/>
            <w:vAlign w:val="bottom"/>
          </w:tcPr>
          <w:p>
            <w:pPr>
              <w:ind w:left="480"/>
              <w:spacing w:after="0"/>
              <w:rPr>
                <w:sz w:val="20"/>
                <w:szCs w:val="20"/>
                <w:color w:val="auto"/>
              </w:rPr>
            </w:pPr>
            <w:r>
              <w:rPr>
                <w:rFonts w:ascii="Calibri" w:cs="Calibri" w:eastAsia="Calibri" w:hAnsi="Calibri"/>
                <w:sz w:val="14"/>
                <w:szCs w:val="14"/>
                <w:color w:val="auto"/>
              </w:rPr>
              <w:t>Other prepaid, current and non-current assets</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4,772</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auto"/>
              </w:rPr>
              <w:t>(838)</w:t>
            </w:r>
          </w:p>
        </w:tc>
      </w:tr>
      <w:tr>
        <w:trPr>
          <w:trHeight w:val="170"/>
        </w:trPr>
        <w:tc>
          <w:tcPr>
            <w:tcW w:w="6720" w:type="dxa"/>
            <w:vAlign w:val="bottom"/>
            <w:shd w:val="clear" w:color="auto" w:fill="E5E5E5"/>
          </w:tcPr>
          <w:p>
            <w:pPr>
              <w:ind w:left="480"/>
              <w:spacing w:after="0"/>
              <w:rPr>
                <w:sz w:val="20"/>
                <w:szCs w:val="20"/>
                <w:color w:val="auto"/>
              </w:rPr>
            </w:pPr>
            <w:r>
              <w:rPr>
                <w:rFonts w:ascii="Calibri" w:cs="Calibri" w:eastAsia="Calibri" w:hAnsi="Calibri"/>
                <w:sz w:val="14"/>
                <w:szCs w:val="14"/>
                <w:color w:val="auto"/>
              </w:rPr>
              <w:t>Accounts payable</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(19,556)</w:t>
            </w: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(3,938)</w:t>
            </w:r>
          </w:p>
        </w:tc>
      </w:tr>
      <w:tr>
        <w:trPr>
          <w:trHeight w:val="172"/>
        </w:trPr>
        <w:tc>
          <w:tcPr>
            <w:tcW w:w="6720" w:type="dxa"/>
            <w:vAlign w:val="bottom"/>
          </w:tcPr>
          <w:p>
            <w:pPr>
              <w:ind w:left="480"/>
              <w:spacing w:after="0"/>
              <w:rPr>
                <w:sz w:val="20"/>
                <w:szCs w:val="20"/>
                <w:color w:val="auto"/>
              </w:rPr>
            </w:pPr>
            <w:r>
              <w:rPr>
                <w:rFonts w:ascii="Calibri" w:cs="Calibri" w:eastAsia="Calibri" w:hAnsi="Calibri"/>
                <w:sz w:val="14"/>
                <w:szCs w:val="14"/>
                <w:color w:val="auto"/>
              </w:rPr>
              <w:t>Accrued rebates, fees and reserves</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(119,327)</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auto"/>
              </w:rPr>
              <w:t>(6,065)</w:t>
            </w:r>
          </w:p>
        </w:tc>
      </w:tr>
      <w:tr>
        <w:trPr>
          <w:trHeight w:val="170"/>
        </w:trPr>
        <w:tc>
          <w:tcPr>
            <w:tcW w:w="6720" w:type="dxa"/>
            <w:vAlign w:val="bottom"/>
            <w:shd w:val="clear" w:color="auto" w:fill="E5E5E5"/>
          </w:tcPr>
          <w:p>
            <w:pPr>
              <w:ind w:left="480"/>
              <w:spacing w:after="0"/>
              <w:rPr>
                <w:sz w:val="20"/>
                <w:szCs w:val="20"/>
                <w:color w:val="auto"/>
              </w:rPr>
            </w:pPr>
            <w:r>
              <w:rPr>
                <w:rFonts w:ascii="Calibri" w:cs="Calibri" w:eastAsia="Calibri" w:hAnsi="Calibri"/>
                <w:sz w:val="14"/>
                <w:szCs w:val="14"/>
                <w:color w:val="auto"/>
              </w:rPr>
              <w:t>TSA related operating assets and liabilities, net</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64,446</w:t>
            </w: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w:t>
            </w:r>
          </w:p>
        </w:tc>
      </w:tr>
      <w:tr>
        <w:trPr>
          <w:trHeight w:val="172"/>
        </w:trPr>
        <w:tc>
          <w:tcPr>
            <w:tcW w:w="6720" w:type="dxa"/>
            <w:vAlign w:val="bottom"/>
          </w:tcPr>
          <w:p>
            <w:pPr>
              <w:ind w:left="480"/>
              <w:spacing w:after="0"/>
              <w:rPr>
                <w:sz w:val="20"/>
                <w:szCs w:val="20"/>
                <w:color w:val="auto"/>
              </w:rPr>
            </w:pPr>
            <w:r>
              <w:rPr>
                <w:rFonts w:ascii="Calibri" w:cs="Calibri" w:eastAsia="Calibri" w:hAnsi="Calibri"/>
                <w:sz w:val="14"/>
                <w:szCs w:val="14"/>
                <w:color w:val="auto"/>
              </w:rPr>
              <w:t>Accrued compensation</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(3,765)</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auto"/>
              </w:rPr>
              <w:t>1,549</w:t>
            </w:r>
          </w:p>
        </w:tc>
      </w:tr>
      <w:tr>
        <w:trPr>
          <w:trHeight w:val="170"/>
        </w:trPr>
        <w:tc>
          <w:tcPr>
            <w:tcW w:w="6720" w:type="dxa"/>
            <w:vAlign w:val="bottom"/>
            <w:shd w:val="clear" w:color="auto" w:fill="E5E5E5"/>
          </w:tcPr>
          <w:p>
            <w:pPr>
              <w:ind w:left="480"/>
              <w:spacing w:after="0"/>
              <w:rPr>
                <w:sz w:val="20"/>
                <w:szCs w:val="20"/>
                <w:color w:val="auto"/>
              </w:rPr>
            </w:pPr>
            <w:r>
              <w:rPr>
                <w:rFonts w:ascii="Calibri" w:cs="Calibri" w:eastAsia="Calibri" w:hAnsi="Calibri"/>
                <w:sz w:val="14"/>
                <w:szCs w:val="14"/>
                <w:color w:val="auto"/>
              </w:rPr>
              <w:t>Accrued and other current and non-current liabilities</w:t>
            </w:r>
          </w:p>
        </w:tc>
        <w:tc>
          <w:tcPr>
            <w:tcW w:w="1060" w:type="dxa"/>
            <w:vAlign w:val="bottom"/>
            <w:shd w:val="clear" w:color="auto" w:fill="E5E5E5"/>
          </w:tcPr>
          <w:p>
            <w:pPr>
              <w:spacing w:after="0"/>
              <w:rPr>
                <w:sz w:val="14"/>
                <w:szCs w:val="14"/>
                <w:color w:val="auto"/>
              </w:rPr>
            </w:pPr>
          </w:p>
        </w:tc>
        <w:tc>
          <w:tcPr>
            <w:tcW w:w="360" w:type="dxa"/>
            <w:vAlign w:val="bottom"/>
            <w:tcBorders>
              <w:bottom w:val="single" w:sz="8" w:color="auto"/>
            </w:tcBorders>
            <w:shd w:val="clear" w:color="auto" w:fill="E5E5E5"/>
          </w:tcPr>
          <w:p>
            <w:pPr>
              <w:spacing w:after="0"/>
              <w:rPr>
                <w:sz w:val="14"/>
                <w:szCs w:val="14"/>
                <w:color w:val="auto"/>
              </w:rPr>
            </w:pPr>
          </w:p>
        </w:tc>
        <w:tc>
          <w:tcPr>
            <w:tcW w:w="120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14"/>
                <w:szCs w:val="14"/>
                <w:color w:val="auto"/>
              </w:rPr>
              <w:t>(9,199)</w:t>
            </w:r>
          </w:p>
        </w:tc>
        <w:tc>
          <w:tcPr>
            <w:tcW w:w="260" w:type="dxa"/>
            <w:vAlign w:val="bottom"/>
            <w:shd w:val="clear" w:color="auto" w:fill="E5E5E5"/>
          </w:tcPr>
          <w:p>
            <w:pPr>
              <w:spacing w:after="0"/>
              <w:rPr>
                <w:sz w:val="14"/>
                <w:szCs w:val="14"/>
                <w:color w:val="auto"/>
              </w:rPr>
            </w:pPr>
          </w:p>
        </w:tc>
        <w:tc>
          <w:tcPr>
            <w:tcW w:w="640" w:type="dxa"/>
            <w:vAlign w:val="bottom"/>
            <w:tcBorders>
              <w:bottom w:val="single" w:sz="8" w:color="auto"/>
            </w:tcBorders>
            <w:shd w:val="clear" w:color="auto" w:fill="E5E5E5"/>
          </w:tcPr>
          <w:p>
            <w:pPr>
              <w:spacing w:after="0"/>
              <w:rPr>
                <w:sz w:val="14"/>
                <w:szCs w:val="14"/>
                <w:color w:val="auto"/>
              </w:rPr>
            </w:pPr>
          </w:p>
        </w:tc>
        <w:tc>
          <w:tcPr>
            <w:tcW w:w="92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14"/>
                <w:szCs w:val="14"/>
                <w:color w:val="auto"/>
              </w:rPr>
              <w:t>(56,876)</w:t>
            </w:r>
          </w:p>
        </w:tc>
      </w:tr>
      <w:tr>
        <w:trPr>
          <w:trHeight w:val="161"/>
        </w:trPr>
        <w:tc>
          <w:tcPr>
            <w:tcW w:w="6720" w:type="dxa"/>
            <w:vAlign w:val="bottom"/>
            <w:tcBorders>
              <w:bottom w:val="single" w:sz="8" w:color="E5E5E5"/>
            </w:tcBorders>
          </w:tcPr>
          <w:p>
            <w:pPr>
              <w:ind w:left="720"/>
              <w:spacing w:after="0" w:line="161" w:lineRule="exact"/>
              <w:rPr>
                <w:sz w:val="20"/>
                <w:szCs w:val="20"/>
                <w:color w:val="auto"/>
              </w:rPr>
            </w:pPr>
            <w:r>
              <w:rPr>
                <w:rFonts w:ascii="Calibri" w:cs="Calibri" w:eastAsia="Calibri" w:hAnsi="Calibri"/>
                <w:sz w:val="14"/>
                <w:szCs w:val="14"/>
                <w:color w:val="auto"/>
              </w:rPr>
              <w:t>Net cash used in operating activities</w:t>
            </w:r>
          </w:p>
        </w:tc>
        <w:tc>
          <w:tcPr>
            <w:tcW w:w="1060" w:type="dxa"/>
            <w:vAlign w:val="bottom"/>
            <w:tcBorders>
              <w:bottom w:val="single" w:sz="8" w:color="E5E5E5"/>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1" w:lineRule="exact"/>
              <w:rPr>
                <w:sz w:val="20"/>
                <w:szCs w:val="20"/>
                <w:color w:val="auto"/>
              </w:rPr>
            </w:pPr>
            <w:r>
              <w:rPr>
                <w:rFonts w:ascii="Calibri" w:cs="Calibri" w:eastAsia="Calibri" w:hAnsi="Calibri"/>
                <w:sz w:val="14"/>
                <w:szCs w:val="14"/>
                <w:color w:val="auto"/>
              </w:rPr>
              <w:t>(138,513)</w:t>
            </w:r>
          </w:p>
        </w:tc>
        <w:tc>
          <w:tcPr>
            <w:tcW w:w="260" w:type="dxa"/>
            <w:vAlign w:val="bottom"/>
            <w:tcBorders>
              <w:bottom w:val="single" w:sz="8" w:color="E5E5E5"/>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1" w:lineRule="exact"/>
              <w:rPr>
                <w:sz w:val="20"/>
                <w:szCs w:val="20"/>
                <w:color w:val="auto"/>
              </w:rPr>
            </w:pPr>
            <w:r>
              <w:rPr>
                <w:rFonts w:ascii="Calibri" w:cs="Calibri" w:eastAsia="Calibri" w:hAnsi="Calibri"/>
                <w:sz w:val="14"/>
                <w:szCs w:val="14"/>
                <w:color w:val="auto"/>
              </w:rPr>
              <w:t>(20,440)</w:t>
            </w:r>
          </w:p>
        </w:tc>
      </w:tr>
      <w:tr>
        <w:trPr>
          <w:trHeight w:val="161"/>
        </w:trPr>
        <w:tc>
          <w:tcPr>
            <w:tcW w:w="6720" w:type="dxa"/>
            <w:vAlign w:val="bottom"/>
            <w:shd w:val="clear" w:color="auto" w:fill="E5E5E5"/>
          </w:tcPr>
          <w:p>
            <w:pPr>
              <w:spacing w:after="0"/>
              <w:rPr>
                <w:sz w:val="14"/>
                <w:szCs w:val="14"/>
                <w:color w:val="auto"/>
              </w:rPr>
            </w:pP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r>
      <w:tr>
        <w:trPr>
          <w:trHeight w:val="170"/>
        </w:trPr>
        <w:tc>
          <w:tcPr>
            <w:tcW w:w="6720" w:type="dxa"/>
            <w:vAlign w:val="bottom"/>
          </w:tcPr>
          <w:p>
            <w:pPr>
              <w:spacing w:after="0"/>
              <w:rPr>
                <w:sz w:val="20"/>
                <w:szCs w:val="20"/>
                <w:color w:val="auto"/>
              </w:rPr>
            </w:pPr>
            <w:r>
              <w:rPr>
                <w:rFonts w:ascii="Calibri" w:cs="Calibri" w:eastAsia="Calibri" w:hAnsi="Calibri"/>
                <w:sz w:val="14"/>
                <w:szCs w:val="14"/>
                <w:b w:val="1"/>
                <w:bCs w:val="1"/>
                <w:color w:val="auto"/>
              </w:rPr>
              <w:t>Investing activities</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720" w:type="dxa"/>
            <w:vAlign w:val="bottom"/>
            <w:shd w:val="clear" w:color="auto" w:fill="E5E5E5"/>
          </w:tcPr>
          <w:p>
            <w:pPr>
              <w:spacing w:after="0"/>
              <w:rPr>
                <w:sz w:val="20"/>
                <w:szCs w:val="20"/>
                <w:color w:val="auto"/>
              </w:rPr>
            </w:pPr>
            <w:r>
              <w:rPr>
                <w:rFonts w:ascii="Calibri" w:cs="Calibri" w:eastAsia="Calibri" w:hAnsi="Calibri"/>
                <w:sz w:val="14"/>
                <w:szCs w:val="14"/>
                <w:color w:val="auto"/>
              </w:rPr>
              <w:t>Purchases of investments in marketable securities</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(103,838)</w:t>
            </w: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w:t>
            </w:r>
          </w:p>
        </w:tc>
      </w:tr>
      <w:tr>
        <w:trPr>
          <w:trHeight w:val="172"/>
        </w:trPr>
        <w:tc>
          <w:tcPr>
            <w:tcW w:w="6720" w:type="dxa"/>
            <w:vAlign w:val="bottom"/>
          </w:tcPr>
          <w:p>
            <w:pPr>
              <w:spacing w:after="0"/>
              <w:rPr>
                <w:sz w:val="20"/>
                <w:szCs w:val="20"/>
                <w:color w:val="auto"/>
              </w:rPr>
            </w:pPr>
            <w:r>
              <w:rPr>
                <w:rFonts w:ascii="Calibri" w:cs="Calibri" w:eastAsia="Calibri" w:hAnsi="Calibri"/>
                <w:sz w:val="14"/>
                <w:szCs w:val="14"/>
                <w:color w:val="auto"/>
              </w:rPr>
              <w:t>Proceeds from maturities of investments in marketable securities</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21,462</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auto"/>
              </w:rPr>
              <w:t>6,200</w:t>
            </w:r>
          </w:p>
        </w:tc>
      </w:tr>
      <w:tr>
        <w:trPr>
          <w:trHeight w:val="170"/>
        </w:trPr>
        <w:tc>
          <w:tcPr>
            <w:tcW w:w="6720" w:type="dxa"/>
            <w:vAlign w:val="bottom"/>
            <w:shd w:val="clear" w:color="auto" w:fill="E5E5E5"/>
          </w:tcPr>
          <w:p>
            <w:pPr>
              <w:spacing w:after="0"/>
              <w:rPr>
                <w:sz w:val="20"/>
                <w:szCs w:val="20"/>
                <w:color w:val="auto"/>
              </w:rPr>
            </w:pPr>
            <w:r>
              <w:rPr>
                <w:rFonts w:ascii="Calibri" w:cs="Calibri" w:eastAsia="Calibri" w:hAnsi="Calibri"/>
                <w:sz w:val="14"/>
                <w:szCs w:val="14"/>
                <w:color w:val="auto"/>
              </w:rPr>
              <w:t>Proceeds from sale of investments in marketable securities</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8,688</w:t>
            </w:r>
          </w:p>
        </w:tc>
      </w:tr>
      <w:tr>
        <w:trPr>
          <w:trHeight w:val="172"/>
        </w:trPr>
        <w:tc>
          <w:tcPr>
            <w:tcW w:w="6720" w:type="dxa"/>
            <w:vAlign w:val="bottom"/>
          </w:tcPr>
          <w:p>
            <w:pPr>
              <w:spacing w:after="0"/>
              <w:rPr>
                <w:sz w:val="20"/>
                <w:szCs w:val="20"/>
                <w:color w:val="auto"/>
              </w:rPr>
            </w:pPr>
            <w:r>
              <w:rPr>
                <w:rFonts w:ascii="Calibri" w:cs="Calibri" w:eastAsia="Calibri" w:hAnsi="Calibri"/>
                <w:sz w:val="14"/>
                <w:szCs w:val="14"/>
                <w:color w:val="auto"/>
              </w:rPr>
              <w:t>Net cash received related to the Sale Transactions (Note 6)</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470,305</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auto"/>
              </w:rPr>
              <w:t>227,823</w:t>
            </w:r>
          </w:p>
        </w:tc>
      </w:tr>
      <w:tr>
        <w:trPr>
          <w:trHeight w:val="170"/>
        </w:trPr>
        <w:tc>
          <w:tcPr>
            <w:tcW w:w="6720" w:type="dxa"/>
            <w:vAlign w:val="bottom"/>
            <w:shd w:val="clear" w:color="auto" w:fill="E5E5E5"/>
          </w:tcPr>
          <w:p>
            <w:pPr>
              <w:spacing w:after="0"/>
              <w:rPr>
                <w:sz w:val="20"/>
                <w:szCs w:val="20"/>
                <w:color w:val="auto"/>
              </w:rPr>
            </w:pPr>
            <w:r>
              <w:rPr>
                <w:rFonts w:ascii="Calibri" w:cs="Calibri" w:eastAsia="Calibri" w:hAnsi="Calibri"/>
                <w:sz w:val="14"/>
                <w:szCs w:val="14"/>
                <w:color w:val="auto"/>
              </w:rPr>
              <w:t>Milestone payments to Junshi Biosciences</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(12,500)</w:t>
            </w: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(12,500)</w:t>
            </w:r>
          </w:p>
        </w:tc>
      </w:tr>
      <w:tr>
        <w:trPr>
          <w:trHeight w:val="170"/>
        </w:trPr>
        <w:tc>
          <w:tcPr>
            <w:tcW w:w="6720" w:type="dxa"/>
            <w:vAlign w:val="bottom"/>
            <w:tcBorders>
              <w:bottom w:val="single" w:sz="8" w:color="E5E5E5"/>
            </w:tcBorders>
          </w:tcPr>
          <w:p>
            <w:pPr>
              <w:spacing w:after="0"/>
              <w:rPr>
                <w:sz w:val="20"/>
                <w:szCs w:val="20"/>
                <w:color w:val="auto"/>
              </w:rPr>
            </w:pPr>
            <w:r>
              <w:rPr>
                <w:rFonts w:ascii="Calibri" w:cs="Calibri" w:eastAsia="Calibri" w:hAnsi="Calibri"/>
                <w:sz w:val="14"/>
                <w:szCs w:val="14"/>
                <w:color w:val="auto"/>
              </w:rPr>
              <w:t>Other investing activities, net</w:t>
            </w:r>
          </w:p>
        </w:tc>
        <w:tc>
          <w:tcPr>
            <w:tcW w:w="1060" w:type="dxa"/>
            <w:vAlign w:val="bottom"/>
            <w:tcBorders>
              <w:bottom w:val="single" w:sz="8" w:color="E5E5E5"/>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(342)</w:t>
            </w:r>
          </w:p>
        </w:tc>
        <w:tc>
          <w:tcPr>
            <w:tcW w:w="260" w:type="dxa"/>
            <w:vAlign w:val="bottom"/>
            <w:tcBorders>
              <w:bottom w:val="single" w:sz="8" w:color="E5E5E5"/>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110</w:t>
            </w:r>
          </w:p>
        </w:tc>
      </w:tr>
      <w:tr>
        <w:trPr>
          <w:trHeight w:val="161"/>
        </w:trPr>
        <w:tc>
          <w:tcPr>
            <w:tcW w:w="6720" w:type="dxa"/>
            <w:vAlign w:val="bottom"/>
            <w:shd w:val="clear" w:color="auto" w:fill="E5E5E5"/>
          </w:tcPr>
          <w:p>
            <w:pPr>
              <w:ind w:left="720"/>
              <w:spacing w:after="0" w:line="161" w:lineRule="exact"/>
              <w:rPr>
                <w:sz w:val="20"/>
                <w:szCs w:val="20"/>
                <w:color w:val="auto"/>
              </w:rPr>
            </w:pPr>
            <w:r>
              <w:rPr>
                <w:rFonts w:ascii="Calibri" w:cs="Calibri" w:eastAsia="Calibri" w:hAnsi="Calibri"/>
                <w:sz w:val="14"/>
                <w:szCs w:val="14"/>
                <w:color w:val="auto"/>
              </w:rPr>
              <w:t>Net cash provided by investing activities</w:t>
            </w:r>
          </w:p>
        </w:tc>
        <w:tc>
          <w:tcPr>
            <w:tcW w:w="1060" w:type="dxa"/>
            <w:vAlign w:val="bottom"/>
            <w:shd w:val="clear" w:color="auto" w:fill="E5E5E5"/>
          </w:tcPr>
          <w:p>
            <w:pPr>
              <w:spacing w:after="0"/>
              <w:rPr>
                <w:sz w:val="14"/>
                <w:szCs w:val="14"/>
                <w:color w:val="auto"/>
              </w:rPr>
            </w:pPr>
          </w:p>
        </w:tc>
        <w:tc>
          <w:tcPr>
            <w:tcW w:w="360" w:type="dxa"/>
            <w:vAlign w:val="bottom"/>
            <w:tcBorders>
              <w:bottom w:val="single" w:sz="8" w:color="auto"/>
            </w:tcBorders>
            <w:shd w:val="clear" w:color="auto" w:fill="E5E5E5"/>
          </w:tcPr>
          <w:p>
            <w:pPr>
              <w:spacing w:after="0"/>
              <w:rPr>
                <w:sz w:val="14"/>
                <w:szCs w:val="14"/>
                <w:color w:val="auto"/>
              </w:rPr>
            </w:pPr>
          </w:p>
        </w:tc>
        <w:tc>
          <w:tcPr>
            <w:tcW w:w="1200" w:type="dxa"/>
            <w:vAlign w:val="bottom"/>
            <w:tcBorders>
              <w:bottom w:val="single" w:sz="8" w:color="auto"/>
            </w:tcBorders>
            <w:shd w:val="clear" w:color="auto" w:fill="E5E5E5"/>
          </w:tcPr>
          <w:p>
            <w:pPr>
              <w:jc w:val="right"/>
              <w:spacing w:after="0" w:line="161" w:lineRule="exact"/>
              <w:rPr>
                <w:sz w:val="20"/>
                <w:szCs w:val="20"/>
                <w:color w:val="auto"/>
              </w:rPr>
            </w:pPr>
            <w:r>
              <w:rPr>
                <w:rFonts w:ascii="Calibri" w:cs="Calibri" w:eastAsia="Calibri" w:hAnsi="Calibri"/>
                <w:sz w:val="14"/>
                <w:szCs w:val="14"/>
                <w:color w:val="auto"/>
              </w:rPr>
              <w:t>375,087</w:t>
            </w:r>
          </w:p>
        </w:tc>
        <w:tc>
          <w:tcPr>
            <w:tcW w:w="260" w:type="dxa"/>
            <w:vAlign w:val="bottom"/>
            <w:shd w:val="clear" w:color="auto" w:fill="E5E5E5"/>
          </w:tcPr>
          <w:p>
            <w:pPr>
              <w:spacing w:after="0"/>
              <w:rPr>
                <w:sz w:val="14"/>
                <w:szCs w:val="14"/>
                <w:color w:val="auto"/>
              </w:rPr>
            </w:pPr>
          </w:p>
        </w:tc>
        <w:tc>
          <w:tcPr>
            <w:tcW w:w="640" w:type="dxa"/>
            <w:vAlign w:val="bottom"/>
            <w:tcBorders>
              <w:bottom w:val="single" w:sz="8" w:color="auto"/>
            </w:tcBorders>
            <w:shd w:val="clear" w:color="auto" w:fill="E5E5E5"/>
          </w:tcPr>
          <w:p>
            <w:pPr>
              <w:spacing w:after="0"/>
              <w:rPr>
                <w:sz w:val="14"/>
                <w:szCs w:val="14"/>
                <w:color w:val="auto"/>
              </w:rPr>
            </w:pPr>
          </w:p>
        </w:tc>
        <w:tc>
          <w:tcPr>
            <w:tcW w:w="920" w:type="dxa"/>
            <w:vAlign w:val="bottom"/>
            <w:tcBorders>
              <w:bottom w:val="single" w:sz="8" w:color="auto"/>
            </w:tcBorders>
            <w:shd w:val="clear" w:color="auto" w:fill="E5E5E5"/>
          </w:tcPr>
          <w:p>
            <w:pPr>
              <w:jc w:val="right"/>
              <w:spacing w:after="0" w:line="161" w:lineRule="exact"/>
              <w:rPr>
                <w:sz w:val="20"/>
                <w:szCs w:val="20"/>
                <w:color w:val="auto"/>
              </w:rPr>
            </w:pPr>
            <w:r>
              <w:rPr>
                <w:rFonts w:ascii="Calibri" w:cs="Calibri" w:eastAsia="Calibri" w:hAnsi="Calibri"/>
                <w:sz w:val="14"/>
                <w:szCs w:val="14"/>
                <w:color w:val="auto"/>
              </w:rPr>
              <w:t>230,321</w:t>
            </w:r>
          </w:p>
        </w:tc>
      </w:tr>
      <w:tr>
        <w:trPr>
          <w:trHeight w:val="161"/>
        </w:trPr>
        <w:tc>
          <w:tcPr>
            <w:tcW w:w="6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720" w:type="dxa"/>
            <w:vAlign w:val="bottom"/>
            <w:shd w:val="clear" w:color="auto" w:fill="E5E5E5"/>
          </w:tcPr>
          <w:p>
            <w:pPr>
              <w:spacing w:after="0"/>
              <w:rPr>
                <w:sz w:val="20"/>
                <w:szCs w:val="20"/>
                <w:color w:val="auto"/>
              </w:rPr>
            </w:pPr>
            <w:r>
              <w:rPr>
                <w:rFonts w:ascii="Calibri" w:cs="Calibri" w:eastAsia="Calibri" w:hAnsi="Calibri"/>
                <w:sz w:val="14"/>
                <w:szCs w:val="14"/>
                <w:b w:val="1"/>
                <w:bCs w:val="1"/>
                <w:color w:val="auto"/>
              </w:rPr>
              <w:t>Financing activities</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r>
      <w:tr>
        <w:trPr>
          <w:trHeight w:val="172"/>
        </w:trPr>
        <w:tc>
          <w:tcPr>
            <w:tcW w:w="6720" w:type="dxa"/>
            <w:vAlign w:val="bottom"/>
          </w:tcPr>
          <w:p>
            <w:pPr>
              <w:spacing w:after="0"/>
              <w:rPr>
                <w:sz w:val="20"/>
                <w:szCs w:val="20"/>
                <w:color w:val="auto"/>
              </w:rPr>
            </w:pPr>
            <w:r>
              <w:rPr>
                <w:rFonts w:ascii="Calibri" w:cs="Calibri" w:eastAsia="Calibri" w:hAnsi="Calibri"/>
                <w:sz w:val="14"/>
                <w:szCs w:val="14"/>
                <w:color w:val="auto"/>
              </w:rPr>
              <w:t>Proceeds from 2029 Term Loan, net of debt discount and issuance costs</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auto"/>
              </w:rPr>
              <w:t>36,979</w:t>
            </w:r>
          </w:p>
        </w:tc>
      </w:tr>
      <w:tr>
        <w:trPr>
          <w:trHeight w:val="170"/>
        </w:trPr>
        <w:tc>
          <w:tcPr>
            <w:tcW w:w="6720" w:type="dxa"/>
            <w:vAlign w:val="bottom"/>
            <w:shd w:val="clear" w:color="auto" w:fill="E5E5E5"/>
          </w:tcPr>
          <w:p>
            <w:pPr>
              <w:spacing w:after="0"/>
              <w:rPr>
                <w:sz w:val="20"/>
                <w:szCs w:val="20"/>
                <w:color w:val="auto"/>
              </w:rPr>
            </w:pPr>
            <w:r>
              <w:rPr>
                <w:rFonts w:ascii="Calibri" w:cs="Calibri" w:eastAsia="Calibri" w:hAnsi="Calibri"/>
                <w:sz w:val="14"/>
                <w:szCs w:val="14"/>
                <w:color w:val="auto"/>
              </w:rPr>
              <w:t>Proceeds from (repayment of) Revenue Purchase and Sale Agreement, net of issuance costs</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(47,652)</w:t>
            </w: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36,486</w:t>
            </w:r>
          </w:p>
        </w:tc>
      </w:tr>
      <w:tr>
        <w:trPr>
          <w:trHeight w:val="172"/>
        </w:trPr>
        <w:tc>
          <w:tcPr>
            <w:tcW w:w="6720" w:type="dxa"/>
            <w:vAlign w:val="bottom"/>
          </w:tcPr>
          <w:p>
            <w:pPr>
              <w:spacing w:after="0"/>
              <w:rPr>
                <w:sz w:val="20"/>
                <w:szCs w:val="20"/>
                <w:color w:val="auto"/>
              </w:rPr>
            </w:pPr>
            <w:r>
              <w:rPr>
                <w:rFonts w:ascii="Calibri" w:cs="Calibri" w:eastAsia="Calibri" w:hAnsi="Calibri"/>
                <w:sz w:val="14"/>
                <w:szCs w:val="14"/>
                <w:color w:val="auto"/>
              </w:rPr>
              <w:t>Proceeds from issuance of common stock under Private Placement, net of issuance costs</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7,894</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170"/>
        </w:trPr>
        <w:tc>
          <w:tcPr>
            <w:tcW w:w="6720" w:type="dxa"/>
            <w:vAlign w:val="bottom"/>
            <w:shd w:val="clear" w:color="auto" w:fill="E5E5E5"/>
          </w:tcPr>
          <w:p>
            <w:pPr>
              <w:spacing w:after="0"/>
              <w:rPr>
                <w:sz w:val="20"/>
                <w:szCs w:val="20"/>
                <w:color w:val="auto"/>
              </w:rPr>
            </w:pPr>
            <w:r>
              <w:rPr>
                <w:rFonts w:ascii="Calibri" w:cs="Calibri" w:eastAsia="Calibri" w:hAnsi="Calibri"/>
                <w:sz w:val="14"/>
                <w:szCs w:val="14"/>
                <w:color w:val="auto"/>
              </w:rPr>
              <w:t>Proceeds from issuance of common stock under Sales Agreement, net of issuance costs</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1,455</w:t>
            </w:r>
          </w:p>
        </w:tc>
      </w:tr>
      <w:tr>
        <w:trPr>
          <w:trHeight w:val="170"/>
        </w:trPr>
        <w:tc>
          <w:tcPr>
            <w:tcW w:w="6720" w:type="dxa"/>
            <w:vAlign w:val="bottom"/>
          </w:tcPr>
          <w:p>
            <w:pPr>
              <w:spacing w:after="0"/>
              <w:rPr>
                <w:sz w:val="20"/>
                <w:szCs w:val="20"/>
                <w:color w:val="auto"/>
              </w:rPr>
            </w:pPr>
            <w:r>
              <w:rPr>
                <w:rFonts w:ascii="Calibri" w:cs="Calibri" w:eastAsia="Calibri" w:hAnsi="Calibri"/>
                <w:sz w:val="14"/>
                <w:szCs w:val="14"/>
                <w:color w:val="auto"/>
              </w:rPr>
              <w:t>Proceeds from purchase under the employee stock purchase plan</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353</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auto"/>
              </w:rPr>
              <w:t>926</w:t>
            </w:r>
          </w:p>
        </w:tc>
      </w:tr>
      <w:tr>
        <w:trPr>
          <w:trHeight w:val="172"/>
        </w:trPr>
        <w:tc>
          <w:tcPr>
            <w:tcW w:w="6720" w:type="dxa"/>
            <w:vAlign w:val="bottom"/>
            <w:shd w:val="clear" w:color="auto" w:fill="E5E5E5"/>
          </w:tcPr>
          <w:p>
            <w:pPr>
              <w:spacing w:after="0"/>
              <w:rPr>
                <w:sz w:val="20"/>
                <w:szCs w:val="20"/>
                <w:color w:val="auto"/>
              </w:rPr>
            </w:pPr>
            <w:r>
              <w:rPr>
                <w:rFonts w:ascii="Calibri" w:cs="Calibri" w:eastAsia="Calibri" w:hAnsi="Calibri"/>
                <w:sz w:val="14"/>
                <w:szCs w:val="14"/>
                <w:color w:val="auto"/>
              </w:rPr>
              <w:t>Taxes paid related to net share settlement</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(283)</w:t>
            </w: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(2,476)</w:t>
            </w:r>
          </w:p>
        </w:tc>
      </w:tr>
      <w:tr>
        <w:trPr>
          <w:trHeight w:val="170"/>
        </w:trPr>
        <w:tc>
          <w:tcPr>
            <w:tcW w:w="6720" w:type="dxa"/>
            <w:vAlign w:val="bottom"/>
          </w:tcPr>
          <w:p>
            <w:pPr>
              <w:spacing w:after="0"/>
              <w:rPr>
                <w:sz w:val="20"/>
                <w:szCs w:val="20"/>
                <w:color w:val="auto"/>
              </w:rPr>
            </w:pPr>
            <w:r>
              <w:rPr>
                <w:rFonts w:ascii="Calibri" w:cs="Calibri" w:eastAsia="Calibri" w:hAnsi="Calibri"/>
                <w:sz w:val="14"/>
                <w:szCs w:val="14"/>
                <w:color w:val="auto"/>
              </w:rPr>
              <w:t>Redemption of 2026 Convertible Notes, including transaction costs</w:t>
            </w: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alibri" w:cs="Calibri" w:eastAsia="Calibri" w:hAnsi="Calibri"/>
                <w:sz w:val="14"/>
                <w:szCs w:val="14"/>
                <w:color w:val="auto"/>
              </w:rPr>
              <w:t>(233,185)</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alibri" w:cs="Calibri" w:eastAsia="Calibri" w:hAnsi="Calibri"/>
                <w:sz w:val="14"/>
                <w:szCs w:val="14"/>
                <w:color w:val="auto"/>
              </w:rPr>
              <w:t>—</w:t>
            </w:r>
          </w:p>
        </w:tc>
      </w:tr>
      <w:tr>
        <w:trPr>
          <w:trHeight w:val="172"/>
        </w:trPr>
        <w:tc>
          <w:tcPr>
            <w:tcW w:w="6720" w:type="dxa"/>
            <w:vAlign w:val="bottom"/>
            <w:shd w:val="clear" w:color="auto" w:fill="E5E5E5"/>
          </w:tcPr>
          <w:p>
            <w:pPr>
              <w:spacing w:after="0"/>
              <w:rPr>
                <w:sz w:val="20"/>
                <w:szCs w:val="20"/>
                <w:color w:val="auto"/>
              </w:rPr>
            </w:pPr>
            <w:r>
              <w:rPr>
                <w:rFonts w:ascii="Calibri" w:cs="Calibri" w:eastAsia="Calibri" w:hAnsi="Calibri"/>
                <w:sz w:val="14"/>
                <w:szCs w:val="14"/>
                <w:color w:val="auto"/>
              </w:rPr>
              <w:t>Repayment of 2027 Term Loans, premiums and make-whole</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w:t>
            </w: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(260,387)</w:t>
            </w:r>
          </w:p>
        </w:tc>
      </w:tr>
      <w:tr>
        <w:trPr>
          <w:trHeight w:val="170"/>
        </w:trPr>
        <w:tc>
          <w:tcPr>
            <w:tcW w:w="6720" w:type="dxa"/>
            <w:vAlign w:val="bottom"/>
            <w:tcBorders>
              <w:bottom w:val="single" w:sz="8" w:color="E5E5E5"/>
            </w:tcBorders>
          </w:tcPr>
          <w:p>
            <w:pPr>
              <w:spacing w:after="0"/>
              <w:rPr>
                <w:sz w:val="20"/>
                <w:szCs w:val="20"/>
                <w:color w:val="auto"/>
              </w:rPr>
            </w:pPr>
            <w:r>
              <w:rPr>
                <w:rFonts w:ascii="Calibri" w:cs="Calibri" w:eastAsia="Calibri" w:hAnsi="Calibri"/>
                <w:sz w:val="14"/>
                <w:szCs w:val="14"/>
                <w:color w:val="auto"/>
              </w:rPr>
              <w:t>Other financing activities, net</w:t>
            </w:r>
          </w:p>
        </w:tc>
        <w:tc>
          <w:tcPr>
            <w:tcW w:w="1060" w:type="dxa"/>
            <w:vAlign w:val="bottom"/>
            <w:tcBorders>
              <w:bottom w:val="single" w:sz="8" w:color="E5E5E5"/>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(832)</w:t>
            </w:r>
          </w:p>
        </w:tc>
        <w:tc>
          <w:tcPr>
            <w:tcW w:w="260" w:type="dxa"/>
            <w:vAlign w:val="bottom"/>
            <w:tcBorders>
              <w:bottom w:val="single" w:sz="8" w:color="E5E5E5"/>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43</w:t>
            </w:r>
          </w:p>
        </w:tc>
      </w:tr>
      <w:tr>
        <w:trPr>
          <w:trHeight w:val="161"/>
        </w:trPr>
        <w:tc>
          <w:tcPr>
            <w:tcW w:w="6720" w:type="dxa"/>
            <w:vAlign w:val="bottom"/>
            <w:tcBorders>
              <w:bottom w:val="single" w:sz="8" w:color="E5E5E5"/>
            </w:tcBorders>
            <w:shd w:val="clear" w:color="auto" w:fill="E5E5E5"/>
          </w:tcPr>
          <w:p>
            <w:pPr>
              <w:ind w:left="720"/>
              <w:spacing w:after="0" w:line="161" w:lineRule="exact"/>
              <w:rPr>
                <w:sz w:val="20"/>
                <w:szCs w:val="20"/>
                <w:color w:val="auto"/>
              </w:rPr>
            </w:pPr>
            <w:r>
              <w:rPr>
                <w:rFonts w:ascii="Calibri" w:cs="Calibri" w:eastAsia="Calibri" w:hAnsi="Calibri"/>
                <w:sz w:val="14"/>
                <w:szCs w:val="14"/>
                <w:color w:val="auto"/>
              </w:rPr>
              <w:t>Net cash used in financing activities</w:t>
            </w:r>
          </w:p>
        </w:tc>
        <w:tc>
          <w:tcPr>
            <w:tcW w:w="1060" w:type="dxa"/>
            <w:vAlign w:val="bottom"/>
            <w:tcBorders>
              <w:bottom w:val="single" w:sz="8" w:color="E5E5E5"/>
            </w:tcBorders>
            <w:shd w:val="clear" w:color="auto" w:fill="E5E5E5"/>
          </w:tcPr>
          <w:p>
            <w:pPr>
              <w:spacing w:after="0"/>
              <w:rPr>
                <w:sz w:val="14"/>
                <w:szCs w:val="14"/>
                <w:color w:val="auto"/>
              </w:rPr>
            </w:pPr>
          </w:p>
        </w:tc>
        <w:tc>
          <w:tcPr>
            <w:tcW w:w="360" w:type="dxa"/>
            <w:vAlign w:val="bottom"/>
            <w:tcBorders>
              <w:bottom w:val="single" w:sz="8" w:color="auto"/>
            </w:tcBorders>
            <w:shd w:val="clear" w:color="auto" w:fill="E5E5E5"/>
          </w:tcPr>
          <w:p>
            <w:pPr>
              <w:spacing w:after="0"/>
              <w:rPr>
                <w:sz w:val="14"/>
                <w:szCs w:val="14"/>
                <w:color w:val="auto"/>
              </w:rPr>
            </w:pPr>
          </w:p>
        </w:tc>
        <w:tc>
          <w:tcPr>
            <w:tcW w:w="1200" w:type="dxa"/>
            <w:vAlign w:val="bottom"/>
            <w:tcBorders>
              <w:bottom w:val="single" w:sz="8" w:color="auto"/>
            </w:tcBorders>
            <w:shd w:val="clear" w:color="auto" w:fill="E5E5E5"/>
          </w:tcPr>
          <w:p>
            <w:pPr>
              <w:jc w:val="right"/>
              <w:spacing w:after="0" w:line="161" w:lineRule="exact"/>
              <w:rPr>
                <w:sz w:val="20"/>
                <w:szCs w:val="20"/>
                <w:color w:val="auto"/>
              </w:rPr>
            </w:pPr>
            <w:r>
              <w:rPr>
                <w:rFonts w:ascii="Calibri" w:cs="Calibri" w:eastAsia="Calibri" w:hAnsi="Calibri"/>
                <w:sz w:val="14"/>
                <w:szCs w:val="14"/>
                <w:color w:val="auto"/>
              </w:rPr>
              <w:t>(273,705)</w:t>
            </w:r>
          </w:p>
        </w:tc>
        <w:tc>
          <w:tcPr>
            <w:tcW w:w="260" w:type="dxa"/>
            <w:vAlign w:val="bottom"/>
            <w:tcBorders>
              <w:bottom w:val="single" w:sz="8" w:color="E5E5E5"/>
            </w:tcBorders>
            <w:shd w:val="clear" w:color="auto" w:fill="E5E5E5"/>
          </w:tcPr>
          <w:p>
            <w:pPr>
              <w:spacing w:after="0"/>
              <w:rPr>
                <w:sz w:val="14"/>
                <w:szCs w:val="14"/>
                <w:color w:val="auto"/>
              </w:rPr>
            </w:pPr>
          </w:p>
        </w:tc>
        <w:tc>
          <w:tcPr>
            <w:tcW w:w="640" w:type="dxa"/>
            <w:vAlign w:val="bottom"/>
            <w:tcBorders>
              <w:bottom w:val="single" w:sz="8" w:color="auto"/>
            </w:tcBorders>
            <w:shd w:val="clear" w:color="auto" w:fill="E5E5E5"/>
          </w:tcPr>
          <w:p>
            <w:pPr>
              <w:spacing w:after="0"/>
              <w:rPr>
                <w:sz w:val="14"/>
                <w:szCs w:val="14"/>
                <w:color w:val="auto"/>
              </w:rPr>
            </w:pPr>
          </w:p>
        </w:tc>
        <w:tc>
          <w:tcPr>
            <w:tcW w:w="920" w:type="dxa"/>
            <w:vAlign w:val="bottom"/>
            <w:tcBorders>
              <w:bottom w:val="single" w:sz="8" w:color="auto"/>
            </w:tcBorders>
            <w:shd w:val="clear" w:color="auto" w:fill="E5E5E5"/>
          </w:tcPr>
          <w:p>
            <w:pPr>
              <w:jc w:val="right"/>
              <w:spacing w:after="0" w:line="161" w:lineRule="exact"/>
              <w:rPr>
                <w:sz w:val="20"/>
                <w:szCs w:val="20"/>
                <w:color w:val="auto"/>
              </w:rPr>
            </w:pPr>
            <w:r>
              <w:rPr>
                <w:rFonts w:ascii="Calibri" w:cs="Calibri" w:eastAsia="Calibri" w:hAnsi="Calibri"/>
                <w:sz w:val="14"/>
                <w:szCs w:val="14"/>
                <w:color w:val="auto"/>
              </w:rPr>
              <w:t>(186,974)</w:t>
            </w:r>
          </w:p>
        </w:tc>
      </w:tr>
      <w:tr>
        <w:trPr>
          <w:trHeight w:val="161"/>
        </w:trPr>
        <w:tc>
          <w:tcPr>
            <w:tcW w:w="6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720" w:type="dxa"/>
            <w:vAlign w:val="bottom"/>
            <w:shd w:val="clear" w:color="auto" w:fill="E5E5E5"/>
          </w:tcPr>
          <w:p>
            <w:pPr>
              <w:spacing w:after="0"/>
              <w:rPr>
                <w:sz w:val="20"/>
                <w:szCs w:val="20"/>
                <w:color w:val="auto"/>
              </w:rPr>
            </w:pPr>
            <w:r>
              <w:rPr>
                <w:rFonts w:ascii="Calibri" w:cs="Calibri" w:eastAsia="Calibri" w:hAnsi="Calibri"/>
                <w:sz w:val="14"/>
                <w:szCs w:val="14"/>
                <w:color w:val="auto"/>
              </w:rPr>
              <w:t>Net increase (decrease) in cash, cash equivalents and restricted cash</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(37,131)</w:t>
            </w: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22,907</w:t>
            </w:r>
          </w:p>
        </w:tc>
      </w:tr>
      <w:tr>
        <w:trPr>
          <w:trHeight w:val="170"/>
        </w:trPr>
        <w:tc>
          <w:tcPr>
            <w:tcW w:w="6720" w:type="dxa"/>
            <w:vAlign w:val="bottom"/>
            <w:tcBorders>
              <w:bottom w:val="single" w:sz="8" w:color="E5E5E5"/>
            </w:tcBorders>
          </w:tcPr>
          <w:p>
            <w:pPr>
              <w:spacing w:after="0"/>
              <w:rPr>
                <w:sz w:val="20"/>
                <w:szCs w:val="20"/>
                <w:color w:val="auto"/>
              </w:rPr>
            </w:pPr>
            <w:r>
              <w:rPr>
                <w:rFonts w:ascii="Calibri" w:cs="Calibri" w:eastAsia="Calibri" w:hAnsi="Calibri"/>
                <w:sz w:val="14"/>
                <w:szCs w:val="14"/>
                <w:color w:val="auto"/>
              </w:rPr>
              <w:t>Cash, cash equivalents and restricted cash at beginning of period</w:t>
            </w:r>
          </w:p>
        </w:tc>
        <w:tc>
          <w:tcPr>
            <w:tcW w:w="1060" w:type="dxa"/>
            <w:vAlign w:val="bottom"/>
            <w:tcBorders>
              <w:bottom w:val="single" w:sz="8" w:color="E5E5E5"/>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126,250</w:t>
            </w:r>
          </w:p>
        </w:tc>
        <w:tc>
          <w:tcPr>
            <w:tcW w:w="260" w:type="dxa"/>
            <w:vAlign w:val="bottom"/>
            <w:tcBorders>
              <w:bottom w:val="single" w:sz="8" w:color="E5E5E5"/>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14"/>
                <w:szCs w:val="14"/>
                <w:color w:val="auto"/>
              </w:rPr>
              <w:t>103,343</w:t>
            </w:r>
          </w:p>
        </w:tc>
      </w:tr>
      <w:tr>
        <w:trPr>
          <w:trHeight w:val="170"/>
        </w:trPr>
        <w:tc>
          <w:tcPr>
            <w:tcW w:w="6720" w:type="dxa"/>
            <w:vAlign w:val="bottom"/>
            <w:shd w:val="clear" w:color="auto" w:fill="E5E5E5"/>
          </w:tcPr>
          <w:p>
            <w:pPr>
              <w:spacing w:after="0" w:line="161" w:lineRule="exact"/>
              <w:rPr>
                <w:sz w:val="20"/>
                <w:szCs w:val="20"/>
                <w:color w:val="auto"/>
              </w:rPr>
            </w:pPr>
            <w:r>
              <w:rPr>
                <w:rFonts w:ascii="Calibri" w:cs="Calibri" w:eastAsia="Calibri" w:hAnsi="Calibri"/>
                <w:sz w:val="14"/>
                <w:szCs w:val="14"/>
                <w:color w:val="auto"/>
              </w:rPr>
              <w:t>Cash, cash equivalents and restricted cash at end of period</w:t>
            </w:r>
          </w:p>
        </w:tc>
        <w:tc>
          <w:tcPr>
            <w:tcW w:w="1420" w:type="dxa"/>
            <w:vAlign w:val="bottom"/>
            <w:gridSpan w:val="2"/>
            <w:shd w:val="clear" w:color="auto" w:fill="E5E5E5"/>
          </w:tcPr>
          <w:p>
            <w:pPr>
              <w:jc w:val="right"/>
              <w:ind w:right="280"/>
              <w:spacing w:after="0" w:line="161" w:lineRule="exact"/>
              <w:rPr>
                <w:sz w:val="20"/>
                <w:szCs w:val="20"/>
                <w:color w:val="auto"/>
              </w:rPr>
            </w:pPr>
            <w:r>
              <w:rPr>
                <w:rFonts w:ascii="Calibri" w:cs="Calibri" w:eastAsia="Calibri" w:hAnsi="Calibri"/>
                <w:sz w:val="14"/>
                <w:szCs w:val="14"/>
                <w:color w:val="auto"/>
              </w:rPr>
              <w:t>$</w:t>
            </w:r>
          </w:p>
        </w:tc>
        <w:tc>
          <w:tcPr>
            <w:tcW w:w="1200" w:type="dxa"/>
            <w:vAlign w:val="bottom"/>
            <w:shd w:val="clear" w:color="auto" w:fill="E5E5E5"/>
          </w:tcPr>
          <w:p>
            <w:pPr>
              <w:jc w:val="right"/>
              <w:spacing w:after="0" w:line="161" w:lineRule="exact"/>
              <w:rPr>
                <w:sz w:val="20"/>
                <w:szCs w:val="20"/>
                <w:color w:val="auto"/>
              </w:rPr>
            </w:pPr>
            <w:r>
              <w:rPr>
                <w:rFonts w:ascii="Calibri" w:cs="Calibri" w:eastAsia="Calibri" w:hAnsi="Calibri"/>
                <w:sz w:val="14"/>
                <w:szCs w:val="14"/>
                <w:color w:val="auto"/>
              </w:rPr>
              <w:t>89,119</w:t>
            </w:r>
          </w:p>
        </w:tc>
        <w:tc>
          <w:tcPr>
            <w:tcW w:w="900" w:type="dxa"/>
            <w:vAlign w:val="bottom"/>
            <w:gridSpan w:val="2"/>
            <w:shd w:val="clear" w:color="auto" w:fill="E5E5E5"/>
          </w:tcPr>
          <w:p>
            <w:pPr>
              <w:jc w:val="right"/>
              <w:ind w:right="560"/>
              <w:spacing w:after="0" w:line="161" w:lineRule="exact"/>
              <w:rPr>
                <w:sz w:val="20"/>
                <w:szCs w:val="20"/>
                <w:color w:val="auto"/>
              </w:rPr>
            </w:pPr>
            <w:r>
              <w:rPr>
                <w:rFonts w:ascii="Calibri" w:cs="Calibri" w:eastAsia="Calibri" w:hAnsi="Calibri"/>
                <w:sz w:val="14"/>
                <w:szCs w:val="14"/>
                <w:color w:val="auto"/>
              </w:rPr>
              <w:t>$</w:t>
            </w:r>
          </w:p>
        </w:tc>
        <w:tc>
          <w:tcPr>
            <w:tcW w:w="920" w:type="dxa"/>
            <w:vAlign w:val="bottom"/>
            <w:shd w:val="clear" w:color="auto" w:fill="E5E5E5"/>
          </w:tcPr>
          <w:p>
            <w:pPr>
              <w:jc w:val="right"/>
              <w:spacing w:after="0" w:line="161" w:lineRule="exact"/>
              <w:rPr>
                <w:sz w:val="20"/>
                <w:szCs w:val="20"/>
                <w:color w:val="auto"/>
              </w:rPr>
            </w:pPr>
            <w:r>
              <w:rPr>
                <w:rFonts w:ascii="Calibri" w:cs="Calibri" w:eastAsia="Calibri" w:hAnsi="Calibri"/>
                <w:sz w:val="14"/>
                <w:szCs w:val="14"/>
                <w:color w:val="auto"/>
              </w:rPr>
              <w:t>126,250</w:t>
            </w:r>
          </w:p>
        </w:tc>
      </w:tr>
      <w:tr>
        <w:trPr>
          <w:trHeight w:val="173"/>
        </w:trPr>
        <w:tc>
          <w:tcPr>
            <w:tcW w:w="6720" w:type="dxa"/>
            <w:vAlign w:val="bottom"/>
            <w:tcBorders>
              <w:top w:val="single" w:sz="8" w:color="E5E5E5"/>
            </w:tcBorders>
          </w:tcPr>
          <w:p>
            <w:pPr>
              <w:spacing w:after="0"/>
              <w:rPr>
                <w:sz w:val="15"/>
                <w:szCs w:val="15"/>
                <w:color w:val="auto"/>
              </w:rPr>
            </w:pPr>
          </w:p>
        </w:tc>
        <w:tc>
          <w:tcPr>
            <w:tcW w:w="1060" w:type="dxa"/>
            <w:vAlign w:val="bottom"/>
            <w:tcBorders>
              <w:top w:val="single" w:sz="8" w:color="E5E5E5"/>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60" w:type="dxa"/>
            <w:vAlign w:val="bottom"/>
            <w:tcBorders>
              <w:top w:val="single" w:sz="8" w:color="E5E5E5"/>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170"/>
        </w:trPr>
        <w:tc>
          <w:tcPr>
            <w:tcW w:w="6720" w:type="dxa"/>
            <w:vAlign w:val="bottom"/>
            <w:shd w:val="clear" w:color="auto" w:fill="E5E5E5"/>
          </w:tcPr>
          <w:p>
            <w:pPr>
              <w:spacing w:after="0"/>
              <w:rPr>
                <w:sz w:val="20"/>
                <w:szCs w:val="20"/>
                <w:color w:val="auto"/>
              </w:rPr>
            </w:pPr>
            <w:r>
              <w:rPr>
                <w:rFonts w:ascii="Calibri" w:cs="Calibri" w:eastAsia="Calibri" w:hAnsi="Calibri"/>
                <w:sz w:val="14"/>
                <w:szCs w:val="14"/>
                <w:b w:val="1"/>
                <w:bCs w:val="1"/>
                <w:color w:val="auto"/>
              </w:rPr>
              <w:t>Supplemental disclosure of cash flow information</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r>
      <w:tr>
        <w:trPr>
          <w:trHeight w:val="170"/>
        </w:trPr>
        <w:tc>
          <w:tcPr>
            <w:tcW w:w="6720" w:type="dxa"/>
            <w:vAlign w:val="bottom"/>
          </w:tcPr>
          <w:p>
            <w:pPr>
              <w:spacing w:after="0"/>
              <w:rPr>
                <w:sz w:val="20"/>
                <w:szCs w:val="20"/>
                <w:color w:val="auto"/>
              </w:rPr>
            </w:pPr>
            <w:r>
              <w:rPr>
                <w:rFonts w:ascii="Calibri" w:cs="Calibri" w:eastAsia="Calibri" w:hAnsi="Calibri"/>
                <w:sz w:val="14"/>
                <w:szCs w:val="14"/>
                <w:color w:val="auto"/>
              </w:rPr>
              <w:t>Cash paid for interest</w:t>
            </w:r>
          </w:p>
        </w:tc>
        <w:tc>
          <w:tcPr>
            <w:tcW w:w="1420" w:type="dxa"/>
            <w:vAlign w:val="bottom"/>
            <w:gridSpan w:val="2"/>
          </w:tcPr>
          <w:p>
            <w:pPr>
              <w:jc w:val="right"/>
              <w:ind w:right="280"/>
              <w:spacing w:after="0"/>
              <w:rPr>
                <w:sz w:val="20"/>
                <w:szCs w:val="20"/>
                <w:color w:val="auto"/>
              </w:rPr>
            </w:pPr>
            <w:r>
              <w:rPr>
                <w:rFonts w:ascii="Calibri" w:cs="Calibri" w:eastAsia="Calibri" w:hAnsi="Calibri"/>
                <w:sz w:val="14"/>
                <w:szCs w:val="14"/>
                <w:color w:val="auto"/>
              </w:rPr>
              <w:t>$</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9,916</w:t>
            </w:r>
          </w:p>
        </w:tc>
        <w:tc>
          <w:tcPr>
            <w:tcW w:w="900" w:type="dxa"/>
            <w:vAlign w:val="bottom"/>
            <w:gridSpan w:val="2"/>
          </w:tcPr>
          <w:p>
            <w:pPr>
              <w:jc w:val="right"/>
              <w:ind w:right="560"/>
              <w:spacing w:after="0"/>
              <w:rPr>
                <w:sz w:val="20"/>
                <w:szCs w:val="20"/>
                <w:color w:val="auto"/>
              </w:rPr>
            </w:pPr>
            <w:r>
              <w:rPr>
                <w:rFonts w:ascii="Calibri" w:cs="Calibri" w:eastAsia="Calibri" w:hAnsi="Calibri"/>
                <w:sz w:val="14"/>
                <w:szCs w:val="14"/>
                <w:color w:val="auto"/>
              </w:rPr>
              <w:t>$</w:t>
            </w:r>
          </w:p>
        </w:tc>
        <w:tc>
          <w:tcPr>
            <w:tcW w:w="920" w:type="dxa"/>
            <w:vAlign w:val="bottom"/>
          </w:tcPr>
          <w:p>
            <w:pPr>
              <w:jc w:val="right"/>
              <w:spacing w:after="0"/>
              <w:rPr>
                <w:sz w:val="20"/>
                <w:szCs w:val="20"/>
                <w:color w:val="auto"/>
              </w:rPr>
            </w:pPr>
            <w:r>
              <w:rPr>
                <w:rFonts w:ascii="Calibri" w:cs="Calibri" w:eastAsia="Calibri" w:hAnsi="Calibri"/>
                <w:sz w:val="14"/>
                <w:szCs w:val="14"/>
                <w:color w:val="auto"/>
              </w:rPr>
              <w:t>25,376</w:t>
            </w:r>
          </w:p>
        </w:tc>
      </w:tr>
      <w:tr>
        <w:trPr>
          <w:trHeight w:val="172"/>
        </w:trPr>
        <w:tc>
          <w:tcPr>
            <w:tcW w:w="6720" w:type="dxa"/>
            <w:vAlign w:val="bottom"/>
            <w:shd w:val="clear" w:color="auto" w:fill="E5E5E5"/>
          </w:tcPr>
          <w:p>
            <w:pPr>
              <w:spacing w:after="0"/>
              <w:rPr>
                <w:sz w:val="20"/>
                <w:szCs w:val="20"/>
                <w:color w:val="auto"/>
              </w:rPr>
            </w:pPr>
            <w:r>
              <w:rPr>
                <w:rFonts w:ascii="Calibri" w:cs="Calibri" w:eastAsia="Calibri" w:hAnsi="Calibri"/>
                <w:sz w:val="14"/>
                <w:szCs w:val="14"/>
                <w:color w:val="auto"/>
              </w:rPr>
              <w:t>Income taxes paid (refunded), net</w:t>
            </w:r>
          </w:p>
        </w:tc>
        <w:tc>
          <w:tcPr>
            <w:tcW w:w="1420" w:type="dxa"/>
            <w:vAlign w:val="bottom"/>
            <w:gridSpan w:val="2"/>
            <w:shd w:val="clear" w:color="auto" w:fill="E5E5E5"/>
          </w:tcPr>
          <w:p>
            <w:pPr>
              <w:jc w:val="right"/>
              <w:ind w:right="280"/>
              <w:spacing w:after="0"/>
              <w:rPr>
                <w:sz w:val="20"/>
                <w:szCs w:val="20"/>
                <w:color w:val="auto"/>
              </w:rPr>
            </w:pPr>
            <w:r>
              <w:rPr>
                <w:rFonts w:ascii="Calibri" w:cs="Calibri" w:eastAsia="Calibri" w:hAnsi="Calibri"/>
                <w:sz w:val="14"/>
                <w:szCs w:val="14"/>
                <w:color w:val="auto"/>
              </w:rPr>
              <w:t>$</w:t>
            </w:r>
          </w:p>
        </w:tc>
        <w:tc>
          <w:tcPr>
            <w:tcW w:w="120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36</w:t>
            </w:r>
          </w:p>
        </w:tc>
        <w:tc>
          <w:tcPr>
            <w:tcW w:w="900" w:type="dxa"/>
            <w:vAlign w:val="bottom"/>
            <w:gridSpan w:val="2"/>
            <w:shd w:val="clear" w:color="auto" w:fill="E5E5E5"/>
          </w:tcPr>
          <w:p>
            <w:pPr>
              <w:jc w:val="right"/>
              <w:ind w:right="560"/>
              <w:spacing w:after="0"/>
              <w:rPr>
                <w:sz w:val="20"/>
                <w:szCs w:val="20"/>
                <w:color w:val="auto"/>
              </w:rPr>
            </w:pPr>
            <w:r>
              <w:rPr>
                <w:rFonts w:ascii="Calibri" w:cs="Calibri" w:eastAsia="Calibri" w:hAnsi="Calibri"/>
                <w:sz w:val="14"/>
                <w:szCs w:val="14"/>
                <w:color w:val="auto"/>
              </w:rPr>
              <w:t>$</w:t>
            </w:r>
          </w:p>
        </w:tc>
        <w:tc>
          <w:tcPr>
            <w:tcW w:w="920" w:type="dxa"/>
            <w:vAlign w:val="bottom"/>
            <w:shd w:val="clear" w:color="auto" w:fill="E5E5E5"/>
          </w:tcPr>
          <w:p>
            <w:pPr>
              <w:jc w:val="right"/>
              <w:spacing w:after="0"/>
              <w:rPr>
                <w:sz w:val="20"/>
                <w:szCs w:val="20"/>
                <w:color w:val="auto"/>
              </w:rPr>
            </w:pPr>
            <w:r>
              <w:rPr>
                <w:rFonts w:ascii="Calibri" w:cs="Calibri" w:eastAsia="Calibri" w:hAnsi="Calibri"/>
                <w:sz w:val="14"/>
                <w:szCs w:val="14"/>
                <w:color w:val="auto"/>
              </w:rPr>
              <w:t>(114)</w:t>
            </w:r>
          </w:p>
        </w:tc>
      </w:tr>
      <w:tr>
        <w:trPr>
          <w:trHeight w:val="170"/>
        </w:trPr>
        <w:tc>
          <w:tcPr>
            <w:tcW w:w="6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6720" w:type="dxa"/>
            <w:vAlign w:val="bottom"/>
            <w:shd w:val="clear" w:color="auto" w:fill="E5E5E5"/>
          </w:tcPr>
          <w:p>
            <w:pPr>
              <w:spacing w:after="0"/>
              <w:rPr>
                <w:sz w:val="20"/>
                <w:szCs w:val="20"/>
                <w:color w:val="auto"/>
              </w:rPr>
            </w:pPr>
            <w:r>
              <w:rPr>
                <w:rFonts w:ascii="Calibri" w:cs="Calibri" w:eastAsia="Calibri" w:hAnsi="Calibri"/>
                <w:sz w:val="14"/>
                <w:szCs w:val="14"/>
                <w:b w:val="1"/>
                <w:bCs w:val="1"/>
                <w:color w:val="auto"/>
              </w:rPr>
              <w:t>Supplemental disclosures of non-cash activities</w:t>
            </w:r>
          </w:p>
        </w:tc>
        <w:tc>
          <w:tcPr>
            <w:tcW w:w="1060" w:type="dxa"/>
            <w:vAlign w:val="bottom"/>
            <w:shd w:val="clear" w:color="auto" w:fill="E5E5E5"/>
          </w:tcPr>
          <w:p>
            <w:pPr>
              <w:spacing w:after="0"/>
              <w:rPr>
                <w:sz w:val="14"/>
                <w:szCs w:val="14"/>
                <w:color w:val="auto"/>
              </w:rPr>
            </w:pPr>
          </w:p>
        </w:tc>
        <w:tc>
          <w:tcPr>
            <w:tcW w:w="360" w:type="dxa"/>
            <w:vAlign w:val="bottom"/>
            <w:shd w:val="clear" w:color="auto" w:fill="E5E5E5"/>
          </w:tcPr>
          <w:p>
            <w:pPr>
              <w:spacing w:after="0"/>
              <w:rPr>
                <w:sz w:val="14"/>
                <w:szCs w:val="14"/>
                <w:color w:val="auto"/>
              </w:rPr>
            </w:pPr>
          </w:p>
        </w:tc>
        <w:tc>
          <w:tcPr>
            <w:tcW w:w="1200" w:type="dxa"/>
            <w:vAlign w:val="bottom"/>
            <w:shd w:val="clear" w:color="auto" w:fill="E5E5E5"/>
          </w:tcPr>
          <w:p>
            <w:pPr>
              <w:spacing w:after="0"/>
              <w:rPr>
                <w:sz w:val="14"/>
                <w:szCs w:val="14"/>
                <w:color w:val="auto"/>
              </w:rPr>
            </w:pPr>
          </w:p>
        </w:tc>
        <w:tc>
          <w:tcPr>
            <w:tcW w:w="26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920" w:type="dxa"/>
            <w:vAlign w:val="bottom"/>
            <w:shd w:val="clear" w:color="auto" w:fill="E5E5E5"/>
          </w:tcPr>
          <w:p>
            <w:pPr>
              <w:spacing w:after="0"/>
              <w:rPr>
                <w:sz w:val="14"/>
                <w:szCs w:val="14"/>
                <w:color w:val="auto"/>
              </w:rPr>
            </w:pPr>
          </w:p>
        </w:tc>
      </w:tr>
      <w:tr>
        <w:trPr>
          <w:trHeight w:val="185"/>
        </w:trPr>
        <w:tc>
          <w:tcPr>
            <w:tcW w:w="6720" w:type="dxa"/>
            <w:vAlign w:val="bottom"/>
          </w:tcPr>
          <w:p>
            <w:pPr>
              <w:spacing w:after="0"/>
              <w:rPr>
                <w:sz w:val="20"/>
                <w:szCs w:val="20"/>
                <w:color w:val="auto"/>
              </w:rPr>
            </w:pPr>
            <w:r>
              <w:rPr>
                <w:rFonts w:ascii="Calibri" w:cs="Calibri" w:eastAsia="Calibri" w:hAnsi="Calibri"/>
                <w:sz w:val="14"/>
                <w:szCs w:val="14"/>
                <w:color w:val="auto"/>
              </w:rPr>
              <w:t>Non-cash employee bonuses settled in common stock</w:t>
            </w:r>
          </w:p>
        </w:tc>
        <w:tc>
          <w:tcPr>
            <w:tcW w:w="1420" w:type="dxa"/>
            <w:vAlign w:val="bottom"/>
            <w:gridSpan w:val="2"/>
          </w:tcPr>
          <w:p>
            <w:pPr>
              <w:jc w:val="right"/>
              <w:ind w:right="280"/>
              <w:spacing w:after="0"/>
              <w:rPr>
                <w:sz w:val="20"/>
                <w:szCs w:val="20"/>
                <w:color w:val="auto"/>
              </w:rPr>
            </w:pPr>
            <w:r>
              <w:rPr>
                <w:rFonts w:ascii="Calibri" w:cs="Calibri" w:eastAsia="Calibri" w:hAnsi="Calibri"/>
                <w:sz w:val="14"/>
                <w:szCs w:val="14"/>
                <w:color w:val="auto"/>
              </w:rPr>
              <w:t>$</w:t>
            </w:r>
          </w:p>
        </w:tc>
        <w:tc>
          <w:tcPr>
            <w:tcW w:w="12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900" w:type="dxa"/>
            <w:vAlign w:val="bottom"/>
            <w:gridSpan w:val="2"/>
          </w:tcPr>
          <w:p>
            <w:pPr>
              <w:jc w:val="right"/>
              <w:ind w:right="580"/>
              <w:spacing w:after="0"/>
              <w:rPr>
                <w:sz w:val="20"/>
                <w:szCs w:val="20"/>
                <w:color w:val="auto"/>
              </w:rPr>
            </w:pPr>
            <w:r>
              <w:rPr>
                <w:rFonts w:ascii="Calibri" w:cs="Calibri" w:eastAsia="Calibri" w:hAnsi="Calibri"/>
                <w:sz w:val="14"/>
                <w:szCs w:val="14"/>
                <w:color w:val="auto"/>
              </w:rPr>
              <w:t>$</w:t>
            </w:r>
          </w:p>
        </w:tc>
        <w:tc>
          <w:tcPr>
            <w:tcW w:w="920" w:type="dxa"/>
            <w:vAlign w:val="bottom"/>
          </w:tcPr>
          <w:p>
            <w:pPr>
              <w:jc w:val="right"/>
              <w:spacing w:after="0"/>
              <w:rPr>
                <w:sz w:val="20"/>
                <w:szCs w:val="20"/>
                <w:color w:val="auto"/>
              </w:rPr>
            </w:pPr>
            <w:r>
              <w:rPr>
                <w:rFonts w:ascii="Calibri" w:cs="Calibri" w:eastAsia="Calibri" w:hAnsi="Calibri"/>
                <w:sz w:val="14"/>
                <w:szCs w:val="14"/>
                <w:color w:val="auto"/>
              </w:rPr>
              <w:t>4,408</w:t>
            </w:r>
          </w:p>
        </w:tc>
      </w:tr>
    </w:tbl>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See accompanying notes.</w:t>
      </w:r>
    </w:p>
    <w:p>
      <w:pPr>
        <w:sectPr>
          <w:pgSz w:w="12240" w:h="15840" w:orient="portrait"/>
          <w:cols w:equalWidth="0" w:num="1">
            <w:col w:w="11160"/>
          </w:cols>
          <w:pgMar w:left="540" w:top="530"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82</w:t>
      </w:r>
    </w:p>
    <w:p>
      <w:pPr>
        <w:sectPr>
          <w:pgSz w:w="12240" w:h="15840" w:orient="portrait"/>
          <w:cols w:equalWidth="0" w:num="1">
            <w:col w:w="11160"/>
          </w:cols>
          <w:pgMar w:left="540" w:top="530" w:right="540" w:bottom="9" w:gutter="0" w:footer="0" w:header="0"/>
          <w:type w:val="continuous"/>
        </w:sectPr>
      </w:pPr>
    </w:p>
    <w:bookmarkStart w:id="84" w:name="page85"/>
    <w:bookmarkEnd w:id="84"/>
    <w:p>
      <w:pPr>
        <w:jc w:val="center"/>
        <w:spacing w:after="0"/>
        <w:rPr>
          <w:sz w:val="20"/>
          <w:szCs w:val="20"/>
          <w:color w:val="auto"/>
        </w:rPr>
      </w:pPr>
      <w:r>
        <w:rPr>
          <w:rFonts w:ascii="Calibri" w:cs="Calibri" w:eastAsia="Calibri" w:hAnsi="Calibri"/>
          <w:sz w:val="20"/>
          <w:szCs w:val="20"/>
          <w:b w:val="1"/>
          <w:bCs w:val="1"/>
          <w:color w:val="auto"/>
        </w:rPr>
        <w:t>Coherus Oncology, Inc.</w:t>
      </w:r>
    </w:p>
    <w:p>
      <w:pPr>
        <w:spacing w:after="0" w:line="11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Notes to Consolidated Financial Statements</w:t>
      </w:r>
    </w:p>
    <w:p>
      <w:pPr>
        <w:spacing w:after="0" w:line="241" w:lineRule="exact"/>
        <w:rPr>
          <w:sz w:val="20"/>
          <w:szCs w:val="20"/>
          <w:color w:val="auto"/>
        </w:rPr>
      </w:pPr>
    </w:p>
    <w:p>
      <w:pPr>
        <w:ind w:right="6440" w:firstLine="7"/>
        <w:spacing w:after="0" w:line="476" w:lineRule="auto"/>
        <w:tabs>
          <w:tab w:leader="none" w:pos="720" w:val="left"/>
        </w:tabs>
        <w:numPr>
          <w:ilvl w:val="0"/>
          <w:numId w:val="5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Organization and Significant Accounting Policies Description of the Business</w:t>
      </w:r>
    </w:p>
    <w:p>
      <w:pPr>
        <w:spacing w:after="0" w:line="1"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Coherus Oncology, Inc. (the “Company” or “Coherus”) is a fully integrated commercial-stage innovative oncology company with an approved next-generation programmed death receptor-1 (“PD-1”) inhibitor, LOQTORZI® (toripalimab-tpzi), and a pipeline that includes two mid-stage clinical candidates targeting liver, head &amp; neck, colorectal and other cancers. The Company’s strategy is to grow sales of LOQTORZI in NPC and advance the development of new indications for LOQTORZI in combination with both its pipeline candidates as well as through its partners, driving sales multiples and synergies from proprietary combinations. On May 29, 2025, the Company changed its corporate name from Coherus BioSciences, Inc. to Coherus Oncology, Inc. to better align with the Company’s exit from the biosimilar business and exclusive focus on proprietary innovative immuno-oncology medicines following the recent divestitures of its biosimilar franchises.</w:t>
      </w:r>
    </w:p>
    <w:p>
      <w:pPr>
        <w:spacing w:after="0" w:line="215" w:lineRule="exact"/>
        <w:rPr>
          <w:sz w:val="20"/>
          <w:szCs w:val="20"/>
          <w:color w:val="auto"/>
        </w:rPr>
      </w:pPr>
    </w:p>
    <w:p>
      <w:pPr>
        <w:jc w:val="both"/>
        <w:ind w:firstLine="720"/>
        <w:spacing w:after="0" w:line="241" w:lineRule="auto"/>
        <w:rPr>
          <w:sz w:val="20"/>
          <w:szCs w:val="20"/>
          <w:color w:val="auto"/>
        </w:rPr>
      </w:pPr>
      <w:r>
        <w:rPr>
          <w:rFonts w:ascii="Calibri" w:cs="Calibri" w:eastAsia="Calibri" w:hAnsi="Calibri"/>
          <w:sz w:val="20"/>
          <w:szCs w:val="20"/>
          <w:color w:val="auto"/>
        </w:rPr>
        <w:t>The Company previously owned UDENYCA (pegfilgrastim-cbqv), which was launched commercially in a pre-filled syringe presentation in the United States in January 2019, followed by the launch of UDENYCA in an autoinjector presentation in May 2023 and the launch of UDENYCA ONBODY in February 2024. On December 2, 2024, the Company and Intas Pharmaceuticals Ltd. (“Intas”) entered into an asset purchase agreement (the “UDENYCA Purchase Agreement”), pursuant to which the Company agreed to divest the UDENYCA franchise (the “UDENYCA Business”) to Intas (the “UDENYCA Sale”). On April 11, 2025 (the “UDENYCA Closing Date”), the Company completed the divestiture of the UDENYCA Business to Intas for upfront, all-cash consideration of $483.4 million, inclusive of $118.4 million for UDENYCA product inventory. Intas designated Accord BioPharma, Inc., an indirect wholly owned subsidiary of Intas (“Accord” and, together with Intas, the “Intas Parties”) to purchase the physical assets, including product inventory. The Company is eligible to receive two additional payments of $37.5 million each (together, the “Earnout Payments”). The first such payment is payable by Intas to the Company if net sales (as defined in the UDENYCA Purchase Agreement, “Net Sales”) of UDENYCA for four consecutive fiscal quarters from July 1, 2025 through September 30, 2026 are equal to or greater than $300 million, and the second such payment is payable by Intas to the Company if Net Sales of UDENYCA for four consecutive fiscal quarters from July 1, 2025 through March 31, 2027 are equal to or greater than $350 million.</w:t>
      </w:r>
    </w:p>
    <w:p>
      <w:pPr>
        <w:spacing w:after="0" w:line="227"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The UDENYCA Sale represented the last and most significant divestiture of the Company’s biosimilar businesses, which comprised the UDENYCA, YUSIMRY and CIMERLI franchises; therefore, the strategic shift criteria had been met and discontinued operations presentation has been included in the consolidated statements of operations and consolidated balance sheets for all periods presented. Refer to Note 6. Discontinued Operations for more information.</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Basis of Consolidation</w:t>
      </w:r>
    </w:p>
    <w:p>
      <w:pPr>
        <w:spacing w:after="0" w:line="240"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The accompanying consolidated financial statements have been prepared in accordance with U.S. GAAP and include the accounts of Coherus and its wholly-owned subsidiaries. The Company does not have any significant interest in variable interest entities. All material intercompany transactions and balances have been eliminated upon consolidation.</w:t>
      </w:r>
    </w:p>
    <w:p>
      <w:pPr>
        <w:spacing w:after="0" w:line="20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Use of Estimates</w:t>
      </w:r>
    </w:p>
    <w:p>
      <w:pPr>
        <w:spacing w:after="0" w:line="240"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The preparation of financial statements in conformity with U.S. GAAP requires management to make judgments, estimates and assumptions that affect the reported amounts of assets, liabilities, revenue and expenses, and related disclosures. Management bases its estimates on historical experience and on various other assumptions that are believed to be reasonable under the circumstances. These estimates form the basis for making judgments about the carrying values of assets and liabilities when these values are not readily apparent from other sources. Estimates are assessed each period and updated to reflect current information. Accounting estimates and judgements are inherently uncertain, and the actual results could differ from these estimates.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Segment Reporting and Geographic Disclosures</w:t>
      </w:r>
    </w:p>
    <w:p>
      <w:pPr>
        <w:spacing w:after="0" w:line="240" w:lineRule="exact"/>
        <w:rPr>
          <w:sz w:val="20"/>
          <w:szCs w:val="20"/>
          <w:color w:val="auto"/>
        </w:rPr>
      </w:pPr>
    </w:p>
    <w:p>
      <w:pPr>
        <w:jc w:val="both"/>
        <w:ind w:firstLine="720"/>
        <w:spacing w:after="0" w:line="261" w:lineRule="auto"/>
        <w:rPr>
          <w:sz w:val="20"/>
          <w:szCs w:val="20"/>
          <w:color w:val="auto"/>
        </w:rPr>
      </w:pPr>
      <w:r>
        <w:rPr>
          <w:rFonts w:ascii="Calibri" w:cs="Calibri" w:eastAsia="Calibri" w:hAnsi="Calibri"/>
          <w:sz w:val="19"/>
          <w:szCs w:val="19"/>
          <w:color w:val="auto"/>
        </w:rPr>
        <w:t>The Company has one reportable and operating segment, which is engaged in developing and commercializing human pharmaceutical products. The Company’s Chief Executive Officer, as the chief operating decision maker (“CODM”), manages and allocates resources to the operations of the Company on an entity-wide basis. Managing and allocating resources on an entity-wide basis enables the CODM to assess the overall level of resources available and how to best deploy these resources across functions. The CODM assesses operating performance and makes operating decisions primarily based on net income (loss), cash on-hand and investments, and cash flows.</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83</w:t>
      </w:r>
    </w:p>
    <w:p>
      <w:pPr>
        <w:sectPr>
          <w:pgSz w:w="12240" w:h="15840" w:orient="portrait"/>
          <w:cols w:equalWidth="0" w:num="1">
            <w:col w:w="11160"/>
          </w:cols>
          <w:pgMar w:left="540" w:top="531" w:right="540" w:bottom="9" w:gutter="0" w:footer="0" w:header="0"/>
          <w:type w:val="continuous"/>
        </w:sectPr>
      </w:pPr>
    </w:p>
    <w:bookmarkStart w:id="85" w:name="page86"/>
    <w:bookmarkEnd w:id="85"/>
    <w:p>
      <w:pPr>
        <w:jc w:val="both"/>
        <w:spacing w:after="0" w:line="247" w:lineRule="auto"/>
        <w:rPr>
          <w:sz w:val="20"/>
          <w:szCs w:val="20"/>
          <w:color w:val="auto"/>
        </w:rPr>
      </w:pPr>
      <w:r>
        <w:rPr>
          <w:rFonts w:ascii="Calibri" w:cs="Calibri" w:eastAsia="Calibri" w:hAnsi="Calibri"/>
          <w:sz w:val="20"/>
          <w:szCs w:val="20"/>
          <w:color w:val="auto"/>
        </w:rPr>
        <w:t>All expense categories on the consolidated statements of operations are significant, and there are no other significant segment expenses that would require disclosure. Asset information is not regularly provided to the CODM for assessing performance and allocating resources other than cash, cash equivalents and investments in marketable securities. Primarily, all revenue is generated and all long-lived assets are maintained in the United States.</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Cash, Cash Equivalents and Restricted Cash</w:t>
      </w:r>
    </w:p>
    <w:p>
      <w:pPr>
        <w:spacing w:after="0" w:line="241" w:lineRule="exact"/>
        <w:rPr>
          <w:sz w:val="20"/>
          <w:szCs w:val="20"/>
          <w:color w:val="auto"/>
        </w:rPr>
      </w:pPr>
    </w:p>
    <w:p>
      <w:pPr>
        <w:ind w:left="720"/>
        <w:spacing w:after="0"/>
        <w:rPr>
          <w:sz w:val="20"/>
          <w:szCs w:val="20"/>
          <w:color w:val="auto"/>
        </w:rPr>
      </w:pPr>
      <w:r>
        <w:rPr>
          <w:rFonts w:ascii="Calibri" w:cs="Calibri" w:eastAsia="Calibri" w:hAnsi="Calibri"/>
          <w:sz w:val="19"/>
          <w:szCs w:val="19"/>
          <w:color w:val="auto"/>
        </w:rPr>
        <w:t>Cash, cash equivalents and restricted cash comprise cash and highly liquid investments with original maturities of 90 days or less.</w:t>
      </w:r>
    </w:p>
    <w:p>
      <w:pPr>
        <w:spacing w:after="0" w:line="252"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Restricted cash consists of a deposit for a letter of credit that the Company has provided to secure its obligations under a lease and is included in other assets, non-current in the consolidated balance sheets.</w:t>
      </w:r>
    </w:p>
    <w:p>
      <w:pPr>
        <w:spacing w:after="0" w:line="194" w:lineRule="exact"/>
        <w:rPr>
          <w:sz w:val="20"/>
          <w:szCs w:val="20"/>
          <w:color w:val="auto"/>
        </w:rPr>
      </w:pPr>
    </w:p>
    <w:p>
      <w:pPr>
        <w:jc w:val="both"/>
        <w:ind w:firstLine="720"/>
        <w:spacing w:after="0" w:line="263" w:lineRule="auto"/>
        <w:rPr>
          <w:sz w:val="20"/>
          <w:szCs w:val="20"/>
          <w:color w:val="auto"/>
        </w:rPr>
      </w:pPr>
      <w:r>
        <w:rPr>
          <w:rFonts w:ascii="Calibri" w:cs="Calibri" w:eastAsia="Calibri" w:hAnsi="Calibri"/>
          <w:sz w:val="20"/>
          <w:szCs w:val="20"/>
          <w:color w:val="auto"/>
        </w:rPr>
        <w:t>The Company classifies milestone payments related to licensing arrangements as cash flows used in investing activities in its consolidated statements of cash flows.</w:t>
      </w:r>
    </w:p>
    <w:p>
      <w:pPr>
        <w:spacing w:after="0" w:line="19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Trade Receivables</w:t>
      </w:r>
    </w:p>
    <w:p>
      <w:pPr>
        <w:spacing w:after="0" w:line="241"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Trade receivables are recorded net of allowances for chargebacks, chargeback prepayments, cash discounts for prompt payment and credit losses. The Company estimates an allowance for expected credit losses by considering factors such as historical experience, credit quality, the age of the accounts receivable balances, and current economic conditions that may affect a customer’s ability to pay. The corresponding expense for the credit loss allowance is reflected in selling, general and administrative expenses and was not material during the periods presented. The Company believes that its allowance for expected credit losses was adequate and immaterial as of December 31, 2025 and 2024.</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Investments in Marketable Securities</w:t>
      </w:r>
    </w:p>
    <w:p>
      <w:pPr>
        <w:spacing w:after="0" w:line="241"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Investments in marketable securities primarily consist of U.S. Treasury securities, government agency securities, commercial paper, corporate notes and market money funds. Management determines the appropriate classification of investments in marketable securities at the time of purchase based upon management’s intent with regards to such investment and re-evaluates such designation as of each balance sheet date. The Company’s investment policy requires that it only invests in highly rated securities and limits its exposure to any single issuer, except for securities issued by the U.S. government. All investments in marketable debt securities are held as “available-for-sale” and are carried at the estimated fair value as determined based upon quoted market prices or pricing models for similar securities.</w:t>
      </w:r>
    </w:p>
    <w:p>
      <w:pPr>
        <w:spacing w:after="0" w:line="219" w:lineRule="exact"/>
        <w:rPr>
          <w:sz w:val="20"/>
          <w:szCs w:val="20"/>
          <w:color w:val="auto"/>
        </w:rPr>
      </w:pPr>
    </w:p>
    <w:p>
      <w:pPr>
        <w:jc w:val="both"/>
        <w:ind w:firstLine="720"/>
        <w:spacing w:after="0" w:line="261" w:lineRule="auto"/>
        <w:rPr>
          <w:sz w:val="20"/>
          <w:szCs w:val="20"/>
          <w:color w:val="auto"/>
        </w:rPr>
      </w:pPr>
      <w:r>
        <w:rPr>
          <w:rFonts w:ascii="Calibri" w:cs="Calibri" w:eastAsia="Calibri" w:hAnsi="Calibri"/>
          <w:sz w:val="19"/>
          <w:szCs w:val="19"/>
          <w:color w:val="auto"/>
        </w:rPr>
        <w:t>The Company classifies investments in marketable securities as short-term when they have remaining contractual maturities of one year or less from the balance sheet date. The Company regularly reviews its investments for declines in fair value below the amortized cost basis to determine whether the impairment, if any, is due to credit-related or other factors. This review includes the credit worthiness of the security issuers, the severity of the unrealized losses, whether the Company has the intent to sell the securities and whether it is more likely than not that the Company will be required to sell the securities before the recovery of the amortized cost basis.</w:t>
      </w:r>
    </w:p>
    <w:p>
      <w:pPr>
        <w:spacing w:after="0" w:line="199"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Unrealized gains and losses on available-for-sale debt securities are reported as a component of other comprehensive income (loss), with the exception of unrealized losses believed to be related to credit losses, if any, which are recognized in earnings in the period the impairment occurs. Impairment assessments are made at the individual security level each reporting period. When the fair value of an available-for-sale debt investment is less than its cost at the balance sheet date, a determination is made as to whether the impairment is related to a credit loss and, if it is, the portion of the impairment relating to credit loss is recorded as an allowance through net income (loss). There were no impairments related to credit losses during any of the periods presented. Realized gains and losses, if any, on available-for-sale securities are included in other income (expense), net, in the consolidated statements of operations based on the specific identification method. During 2025 and 2024, interest income was $7.0 million and $4.5 million, respectively, and is included in other income (expense), net, in the consolidated statements of operations.</w:t>
      </w: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Concentrations of Risk</w:t>
      </w:r>
    </w:p>
    <w:p>
      <w:pPr>
        <w:spacing w:after="0" w:line="241" w:lineRule="exact"/>
        <w:rPr>
          <w:sz w:val="20"/>
          <w:szCs w:val="20"/>
          <w:color w:val="auto"/>
        </w:rPr>
      </w:pPr>
    </w:p>
    <w:p>
      <w:pPr>
        <w:jc w:val="both"/>
        <w:ind w:firstLine="720"/>
        <w:spacing w:after="0" w:line="264" w:lineRule="auto"/>
        <w:rPr>
          <w:sz w:val="20"/>
          <w:szCs w:val="20"/>
          <w:color w:val="auto"/>
        </w:rPr>
      </w:pPr>
      <w:r>
        <w:rPr>
          <w:rFonts w:ascii="Calibri" w:cs="Calibri" w:eastAsia="Calibri" w:hAnsi="Calibri"/>
          <w:sz w:val="19"/>
          <w:szCs w:val="19"/>
          <w:color w:val="auto"/>
        </w:rPr>
        <w:t>The Company’s financial instruments that are exposed to concentration of credit risk consist primarily of cash, cash equivalents, investments in marketable securities and trade receivables. The Company attempts to minimize the risks related to cash, cash equivalents and marketable securities by investing in a broad and diverse range of financial instruments. The investment portfolio is maintained in accordance with the Company’s investment policy, which defines allowable investments, specifies credit quality standards and limits the</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84</w:t>
      </w:r>
    </w:p>
    <w:p>
      <w:pPr>
        <w:sectPr>
          <w:pgSz w:w="12240" w:h="15840" w:orient="portrait"/>
          <w:cols w:equalWidth="0" w:num="1">
            <w:col w:w="11160"/>
          </w:cols>
          <w:pgMar w:left="540" w:top="532" w:right="540" w:bottom="9" w:gutter="0" w:footer="0" w:header="0"/>
          <w:type w:val="continuous"/>
        </w:sectPr>
      </w:pPr>
    </w:p>
    <w:bookmarkStart w:id="86" w:name="page87"/>
    <w:bookmarkEnd w:id="86"/>
    <w:p>
      <w:pPr>
        <w:jc w:val="both"/>
        <w:spacing w:after="0" w:line="262" w:lineRule="auto"/>
        <w:rPr>
          <w:sz w:val="20"/>
          <w:szCs w:val="20"/>
          <w:color w:val="auto"/>
        </w:rPr>
      </w:pPr>
      <w:r>
        <w:rPr>
          <w:rFonts w:ascii="Calibri" w:cs="Calibri" w:eastAsia="Calibri" w:hAnsi="Calibri"/>
          <w:sz w:val="20"/>
          <w:szCs w:val="20"/>
          <w:color w:val="auto"/>
        </w:rPr>
        <w:t>credit exposure of any single issuer. The Company monitors the credit worthiness of customers that are granted credit in the normal course of business. In general, there is no requirement for collateral from customers.</w:t>
      </w:r>
    </w:p>
    <w:p>
      <w:pPr>
        <w:spacing w:after="0" w:line="195"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Substantially all of the Company’s revenues are from sales in the United States to three wholesalers. Net revenue for product sales of UDENYCA, YUSIMRY and CIMERLI effectively ceased following the disposition of these product lines on April 11, 2025, June 26, 2024 and March 1, 2024, respectively (see Note 6. Discontinued Operations). Continuing operations products sales are entirely from LOQTORZI.</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Foreign Currency</w:t>
      </w:r>
    </w:p>
    <w:p>
      <w:pPr>
        <w:spacing w:after="0" w:line="240"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Monetary assets and liabilities denominated in foreign currency are remeasured at period-end exchange rates. Non-monetary assets and liabilities denominated in foreign currencies are remeasured at historical rates. Translation gains and losses are included in accumulated other comprehensive loss in stockholders’ equity (deficit). Revenue and expense accounts are translated to U.S. dollars at average exchange rates in effect during the period with resulting transaction gains and losses recognized in other income (expense), net in the consolidated statements of operations. The Company has not experienced material foreign currency transaction gains and losses for any of the years presented.</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Inventory</w:t>
      </w:r>
    </w:p>
    <w:p>
      <w:pPr>
        <w:spacing w:after="0" w:line="240"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Inventory is stated at the lower of cost or estimated net realizable value with cost determined under the first-in first-out method. Inventory costs include third-party contract manufacturing, third-party packaging services, freight, labor costs for personnel involved in the manufacturing process, and indirect overhead costs. The Company primarily uses actual costs to determine the cost basis for inventory. The determination of excess or obsolete inventory requires judgment including consideration of many factors, such as estimates of future product demand, current and future market conditions, product expiration information, and potential product obsolescence, among others. During 2024, the Company recorded $14.1 million in inventory write-downs, within cost of goods sold in discontinued operations, primarily related to UDENYCA inventory that did not meet acceptance criteria.</w:t>
      </w:r>
    </w:p>
    <w:p>
      <w:pPr>
        <w:spacing w:after="0" w:line="219"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Although the Company believes the assumptions used in estimating potential inventory write-downs are reasonable, if actual market conditions are less favorable than projected by management, write-downs of inventory, charges related to firm purchase commitments, or both may be required which would be recorded as cost of goods sold in the consolidated statements of operations. Adverse developments affecting the Company’s assumptions of the level and timing of demand for its products include those that are outside of the Company’s control such as the actions taken by competitors, contract manufacturers, customers, and other factors.</w:t>
      </w:r>
    </w:p>
    <w:p>
      <w:pPr>
        <w:spacing w:after="0" w:line="216"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Prior to the regulatory approval of product candidates, the Company incurs expenses for the manufacture of drug products that could potentially be available to support the commercial launch of the products. Inventory costs are capitalized when future commercialization is considered probable and the future economic benefit is expected to be realized, based on management’s judgment. A number of factors are considered, including the current status in the regulatory approval process, potential impediments to the approval process such as safety or efficacy, viability of commercialization and marketplace trends. Inventory in the consolidated balance sheets relates to LOQTORZI which is procured as a finished product. UDENYCA inventory is classified within assets of discontinued operations on the consolidated balance sheet at December 31, 2024.</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Property and Equipment</w:t>
      </w:r>
    </w:p>
    <w:p>
      <w:pPr>
        <w:spacing w:after="0" w:line="240"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Property and equipment is stated at cost less accumulated depreciation and amortization. Maintenance and repairs are charged to expense as incurred. Interest costs incurred during the construction of major capital projects are capitalized until the underlying asset is ready for its intended use, at which point the capitalized interest costs are amortized as depreciation or amortization expense over the life of the underlying asset. When the Company disposes of property and equipment, it removes the associated cost and accumulated depreciation from the related accounts in the consolidated balance sheets and include any resulting gain or loss in the consolidated statements of operations. Eligible costs of internal use software and implementation costs of certain hosting arrangements are capitalized and amortized over the estimated useful life of the software or associated hosting arrangement, as applicable. Depreciation and amortization are recognized using the straight-line method over the following estimated useful lives: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00" w:type="dxa"/>
            <w:vAlign w:val="bottom"/>
            <w:shd w:val="clear" w:color="auto" w:fill="E5E5E5"/>
          </w:tcPr>
          <w:p>
            <w:pPr>
              <w:spacing w:after="0"/>
              <w:rPr>
                <w:sz w:val="20"/>
                <w:szCs w:val="20"/>
                <w:color w:val="auto"/>
              </w:rPr>
            </w:pPr>
            <w:r>
              <w:rPr>
                <w:rFonts w:ascii="Calibri" w:cs="Calibri" w:eastAsia="Calibri" w:hAnsi="Calibri"/>
                <w:sz w:val="20"/>
                <w:szCs w:val="20"/>
                <w:color w:val="auto"/>
              </w:rPr>
              <w:t>Computer equipment and software</w:t>
            </w:r>
          </w:p>
        </w:tc>
        <w:tc>
          <w:tcPr>
            <w:tcW w:w="55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3 - 7 years</w:t>
            </w:r>
          </w:p>
        </w:tc>
      </w:tr>
      <w:tr>
        <w:trPr>
          <w:trHeight w:val="244"/>
        </w:trPr>
        <w:tc>
          <w:tcPr>
            <w:tcW w:w="5600" w:type="dxa"/>
            <w:vAlign w:val="bottom"/>
          </w:tcPr>
          <w:p>
            <w:pPr>
              <w:spacing w:after="0"/>
              <w:rPr>
                <w:sz w:val="20"/>
                <w:szCs w:val="20"/>
                <w:color w:val="auto"/>
              </w:rPr>
            </w:pPr>
            <w:r>
              <w:rPr>
                <w:rFonts w:ascii="Calibri" w:cs="Calibri" w:eastAsia="Calibri" w:hAnsi="Calibri"/>
                <w:sz w:val="20"/>
                <w:szCs w:val="20"/>
                <w:color w:val="auto"/>
              </w:rPr>
              <w:t>Furniture and fixtures</w:t>
            </w:r>
          </w:p>
        </w:tc>
        <w:tc>
          <w:tcPr>
            <w:tcW w:w="5560" w:type="dxa"/>
            <w:vAlign w:val="bottom"/>
          </w:tcPr>
          <w:p>
            <w:pPr>
              <w:jc w:val="right"/>
              <w:spacing w:after="0"/>
              <w:rPr>
                <w:sz w:val="20"/>
                <w:szCs w:val="20"/>
                <w:color w:val="auto"/>
              </w:rPr>
            </w:pPr>
            <w:r>
              <w:rPr>
                <w:rFonts w:ascii="Calibri" w:cs="Calibri" w:eastAsia="Calibri" w:hAnsi="Calibri"/>
                <w:sz w:val="20"/>
                <w:szCs w:val="20"/>
                <w:color w:val="auto"/>
              </w:rPr>
              <w:t>5 years</w:t>
            </w:r>
          </w:p>
        </w:tc>
      </w:tr>
      <w:tr>
        <w:trPr>
          <w:trHeight w:val="245"/>
        </w:trPr>
        <w:tc>
          <w:tcPr>
            <w:tcW w:w="5600" w:type="dxa"/>
            <w:vAlign w:val="bottom"/>
            <w:shd w:val="clear" w:color="auto" w:fill="E5E5E5"/>
          </w:tcPr>
          <w:p>
            <w:pPr>
              <w:spacing w:after="0"/>
              <w:rPr>
                <w:sz w:val="20"/>
                <w:szCs w:val="20"/>
                <w:color w:val="auto"/>
              </w:rPr>
            </w:pPr>
            <w:r>
              <w:rPr>
                <w:rFonts w:ascii="Calibri" w:cs="Calibri" w:eastAsia="Calibri" w:hAnsi="Calibri"/>
                <w:sz w:val="20"/>
                <w:szCs w:val="20"/>
                <w:color w:val="auto"/>
              </w:rPr>
              <w:t>Machinery and equipment</w:t>
            </w:r>
          </w:p>
        </w:tc>
        <w:tc>
          <w:tcPr>
            <w:tcW w:w="55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5 years</w:t>
            </w:r>
          </w:p>
        </w:tc>
      </w:tr>
      <w:tr>
        <w:trPr>
          <w:trHeight w:val="266"/>
        </w:trPr>
        <w:tc>
          <w:tcPr>
            <w:tcW w:w="5600" w:type="dxa"/>
            <w:vAlign w:val="bottom"/>
          </w:tcPr>
          <w:p>
            <w:pPr>
              <w:spacing w:after="0"/>
              <w:rPr>
                <w:sz w:val="20"/>
                <w:szCs w:val="20"/>
                <w:color w:val="auto"/>
              </w:rPr>
            </w:pPr>
            <w:r>
              <w:rPr>
                <w:rFonts w:ascii="Calibri" w:cs="Calibri" w:eastAsia="Calibri" w:hAnsi="Calibri"/>
                <w:sz w:val="20"/>
                <w:szCs w:val="20"/>
                <w:color w:val="auto"/>
              </w:rPr>
              <w:t>Leasehold improvements</w:t>
            </w:r>
          </w:p>
        </w:tc>
        <w:tc>
          <w:tcPr>
            <w:tcW w:w="5560" w:type="dxa"/>
            <w:vAlign w:val="bottom"/>
          </w:tcPr>
          <w:p>
            <w:pPr>
              <w:jc w:val="right"/>
              <w:spacing w:after="0"/>
              <w:rPr>
                <w:sz w:val="20"/>
                <w:szCs w:val="20"/>
                <w:color w:val="auto"/>
              </w:rPr>
            </w:pPr>
            <w:r>
              <w:rPr>
                <w:rFonts w:ascii="Calibri" w:cs="Calibri" w:eastAsia="Calibri" w:hAnsi="Calibri"/>
                <w:sz w:val="20"/>
                <w:szCs w:val="20"/>
                <w:color w:val="auto"/>
              </w:rPr>
              <w:t>Shorter of lease term or useful life</w:t>
            </w:r>
          </w:p>
        </w:tc>
      </w:tr>
    </w:tbl>
    <w:p>
      <w:pPr>
        <w:spacing w:after="0" w:line="200" w:lineRule="exact"/>
        <w:rPr>
          <w:sz w:val="20"/>
          <w:szCs w:val="20"/>
          <w:color w:val="auto"/>
        </w:rPr>
      </w:pP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85</w:t>
      </w:r>
    </w:p>
    <w:p>
      <w:pPr>
        <w:sectPr>
          <w:pgSz w:w="12240" w:h="15840" w:orient="portrait"/>
          <w:cols w:equalWidth="0" w:num="1">
            <w:col w:w="11160"/>
          </w:cols>
          <w:pgMar w:left="540" w:top="532" w:right="540" w:bottom="9" w:gutter="0" w:footer="0" w:header="0"/>
          <w:type w:val="continuous"/>
        </w:sectPr>
      </w:pPr>
    </w:p>
    <w:bookmarkStart w:id="87" w:name="page88"/>
    <w:bookmarkEnd w:id="87"/>
    <w:p>
      <w:pPr>
        <w:spacing w:after="0"/>
        <w:rPr>
          <w:sz w:val="20"/>
          <w:szCs w:val="20"/>
          <w:color w:val="auto"/>
        </w:rPr>
      </w:pPr>
      <w:r>
        <w:rPr>
          <w:rFonts w:ascii="Calibri" w:cs="Calibri" w:eastAsia="Calibri" w:hAnsi="Calibri"/>
          <w:sz w:val="20"/>
          <w:szCs w:val="20"/>
          <w:b w:val="1"/>
          <w:bCs w:val="1"/>
          <w:color w:val="auto"/>
        </w:rPr>
        <w:t>Intangible Assets</w:t>
      </w:r>
    </w:p>
    <w:p>
      <w:pPr>
        <w:spacing w:after="0" w:line="240"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Acquired in-process research and development (“IPR&amp;D”) that the Company acquires in conjunction with the acquisition of a business represents the fair value assigned to incomplete research projects which, at the time of acquisition, have not reached technological feasibility. The amounts are capitalized and are accounted for as indefinite-lived intangible assets, subject to impairment testing until completion or abandonment of the projects. Upon successful completion of each IPR&amp;D project, the Company will commence amortization over the useful life of the intangible asset, which will generally be determined by the period in which the substantial majority of the cash flows are expected to be generated. The Company evaluates IPR&amp;D for impairment on an annual basis, during the fourth quarter, or more frequently if impairment indicators exist.</w:t>
      </w:r>
    </w:p>
    <w:p>
      <w:pPr>
        <w:spacing w:after="0" w:line="219"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Finite-lived intangible assets are generally amortized on a straight-line basis over their estimated economic life and are reviewed for impairment whenever events or changes in circumstances indicate that the carrying amount may not be recoverable. The amortization expense related to capitalized milestone payments under license agreements and the amortization expense from out-licenses are recorded as a component of cost of goods sold in the consolidated statements of operations. The estimated life for capitalized milestone payments is ten years.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Impairment of Long-Lived Assets</w:t>
      </w:r>
    </w:p>
    <w:p>
      <w:pPr>
        <w:spacing w:after="0" w:line="240"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Long-lived assets, including property and equipment and finite-lived intangible assets, are reviewed for impairment whenever facts or circumstances either internally or externally may indicate that the carrying value of an asset may not be recoverable. If there is an indication of impairment, the Company tests for recoverability by comparing the estimated undiscounted future cash flows expected to result from the use of the asset to the carrying amount of the asset or asset group. If the asset or asset group is determined to be impaired, any excess of the carrying value of the asset or asset group over its estimated fair value is recognized as an impairment loss.</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Accrued Research and Development Expense</w:t>
      </w:r>
    </w:p>
    <w:p>
      <w:pPr>
        <w:spacing w:after="0" w:line="241"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Clinical trial costs are a component of research and development expense. The Company accrues and expenses clinical trial activities performed by third parties based upon actual work completed in accordance with agreements established with clinical research and manufacturing organizations and clinical sites. The Company determines the actual costs through monitoring patient enrollment, discussions with internal personnel and external service providers regarding the progress or stage of completion of trials or services and the agreed-upon fee to be paid for such services.</w:t>
      </w:r>
    </w:p>
    <w:p>
      <w:pPr>
        <w:spacing w:after="0" w:line="21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Revenue Purchase and Sale Agreement</w:t>
      </w:r>
    </w:p>
    <w:p>
      <w:pPr>
        <w:spacing w:after="0" w:line="241"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The Revenue Purchase and Sale Agreement (see Note 8. Financial Liabilities) contains the Royalty Fee Derivative Liability that meets the criteria to be bifurcated and accounted for separately from the Revenue Purchase and Sale Agreement. The Royalty Fee Derivative Liability was recorded at fair value upon entering into the Revenue Purchase and Sale Agreement and is subsequently remeasured to fair value at each reporting period with the corresponding change in fair value recognized in other income (expense), net in the consolidated statements of operations for the portion related to LOQTORZI and in discontinued operations for the UDENYCA portion. The Revenue Purchase and Sale Agreement was initially valued and is remeasured using Monte Carlo simulation models to perform the “with-and-without” method, which involves valuing the Revenue Purchase and Sale Agreement with the embedded derivative and then valuing it without the embedded derivative. The difference between values is determined to be the estimated fair value of the Royalty Fee Derivative Liability. Refer to Note 3. Fair Value Measurements for details regarding the fair value.</w:t>
      </w:r>
    </w:p>
    <w:p>
      <w:pPr>
        <w:spacing w:after="0" w:line="261"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The Revenue Purchase and Sale Agreement is accounted for as a liability net of a discount comprising issuance costs and the fair value of the embedded derivative requiring bifurcation. The Company imputes interest expense associated with this liability using the effective interest rate method on a prospective basis. The effective interest rate is calculated based on the rate that would enable the liability to be repaid in full over the anticipated life of the arrangement. Interest expense is recognized over the estimated term on the consolidated statement of operations for the portion related to LOQTORZI and in discontinued operations for the UDENYCA portion. The interest rate may vary during the term of the agreement depending on a number of factors, including the levels of actual and forecasted net sales. Increases or decreases in forecasted net sales could have an impact on the revenue participation liability, interest expense, and the time period for repayment. In the second quarter of 2025, the Company used a portion of the UDENYCA Sale proceeds to buy out royalty obligations related to UDENYCA pursuant to the Revenue Purchase and Sale Agreement (see Note 6. Discontinued Operations).</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86</w:t>
      </w:r>
    </w:p>
    <w:p>
      <w:pPr>
        <w:sectPr>
          <w:pgSz w:w="12240" w:h="15840" w:orient="portrait"/>
          <w:cols w:equalWidth="0" w:num="1">
            <w:col w:w="11160"/>
          </w:cols>
          <w:pgMar w:left="540" w:top="531" w:right="540" w:bottom="9" w:gutter="0" w:footer="0" w:header="0"/>
          <w:type w:val="continuous"/>
        </w:sectPr>
      </w:pPr>
    </w:p>
    <w:bookmarkStart w:id="88" w:name="page89"/>
    <w:bookmarkEnd w:id="88"/>
    <w:p>
      <w:pPr>
        <w:spacing w:after="0"/>
        <w:rPr>
          <w:sz w:val="20"/>
          <w:szCs w:val="20"/>
          <w:color w:val="auto"/>
        </w:rPr>
      </w:pPr>
      <w:r>
        <w:rPr>
          <w:rFonts w:ascii="Calibri" w:cs="Calibri" w:eastAsia="Calibri" w:hAnsi="Calibri"/>
          <w:sz w:val="20"/>
          <w:szCs w:val="20"/>
          <w:b w:val="1"/>
          <w:bCs w:val="1"/>
          <w:color w:val="auto"/>
        </w:rPr>
        <w:t>Contingent Consideration</w:t>
      </w:r>
    </w:p>
    <w:p>
      <w:pPr>
        <w:spacing w:after="0" w:line="240"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Contingent consideration primarily relates to the potential payments to holders of the CVRs that are contingent upon the achievement by the Company and certain third-parties meeting product development or financial performance milestones. For transactions accounted for as business combinations, the Company records contingent consideration at fair value at the date of the acquisition based on the consideration expected to be transferred. Liabilities for contingent consideration are remeasured each reporting period and subsequent changes in fair value are recognized within loss from continuing operations in the consolidated statements of operations. The assumptions utilized in the calculation of the fair values include probability of success and the discount rates. Contingent consideration involves certain assumptions requiring significant judgment and actual results may differ from estimated amounts.</w:t>
      </w:r>
    </w:p>
    <w:p>
      <w:pPr>
        <w:spacing w:after="0" w:line="219"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Each CVR entitles the holder to receive quarterly contingent payments in the form of cash, stock or a combination of cash and stock at the Company’s discretion during the ten-year period following September 8, 2023, for the sum of the following, less any permitted deductions in accordance with the CVR Agreement:</w:t>
      </w:r>
    </w:p>
    <w:p>
      <w:pPr>
        <w:spacing w:after="0" w:line="218" w:lineRule="exact"/>
        <w:rPr>
          <w:sz w:val="20"/>
          <w:szCs w:val="20"/>
          <w:color w:val="auto"/>
        </w:rPr>
      </w:pPr>
    </w:p>
    <w:p>
      <w:pPr>
        <w:ind w:left="1080" w:hanging="353"/>
        <w:spacing w:after="0" w:line="251" w:lineRule="auto"/>
        <w:tabs>
          <w:tab w:leader="none" w:pos="1080" w:val="left"/>
        </w:tabs>
        <w:numPr>
          <w:ilvl w:val="0"/>
          <w:numId w:val="53"/>
        </w:numPr>
        <w:rPr>
          <w:rFonts w:ascii="Symbol" w:cs="Symbol" w:eastAsia="Symbol" w:hAnsi="Symbol"/>
          <w:sz w:val="20"/>
          <w:szCs w:val="20"/>
          <w:color w:val="auto"/>
        </w:rPr>
      </w:pPr>
      <w:r>
        <w:rPr>
          <w:rFonts w:ascii="Calibri" w:cs="Calibri" w:eastAsia="Calibri" w:hAnsi="Calibri"/>
          <w:sz w:val="20"/>
          <w:szCs w:val="20"/>
          <w:color w:val="auto"/>
        </w:rPr>
        <w:t>25% of any upfront payment received by the Company or its affiliates pursuant to potential ex-U.S. licensing agreements for tagmokitug; and</w:t>
      </w:r>
    </w:p>
    <w:p>
      <w:pPr>
        <w:spacing w:after="0" w:line="217" w:lineRule="exact"/>
        <w:rPr>
          <w:rFonts w:ascii="Symbol" w:cs="Symbol" w:eastAsia="Symbol" w:hAnsi="Symbol"/>
          <w:sz w:val="20"/>
          <w:szCs w:val="20"/>
          <w:color w:val="auto"/>
        </w:rPr>
      </w:pPr>
    </w:p>
    <w:p>
      <w:pPr>
        <w:ind w:left="1080" w:hanging="353"/>
        <w:spacing w:after="0" w:line="251" w:lineRule="auto"/>
        <w:tabs>
          <w:tab w:leader="none" w:pos="1080" w:val="left"/>
        </w:tabs>
        <w:numPr>
          <w:ilvl w:val="0"/>
          <w:numId w:val="53"/>
        </w:numPr>
        <w:rPr>
          <w:rFonts w:ascii="Symbol" w:cs="Symbol" w:eastAsia="Symbol" w:hAnsi="Symbol"/>
          <w:sz w:val="20"/>
          <w:szCs w:val="20"/>
          <w:color w:val="auto"/>
        </w:rPr>
      </w:pPr>
      <w:r>
        <w:rPr>
          <w:rFonts w:ascii="Calibri" w:cs="Calibri" w:eastAsia="Calibri" w:hAnsi="Calibri"/>
          <w:sz w:val="20"/>
          <w:szCs w:val="20"/>
          <w:color w:val="auto"/>
        </w:rPr>
        <w:t>50% of any upfront payment received by the Company or its affiliates pursuant to potential ex-U.S. licensing agreements for casdozokitug.</w:t>
      </w:r>
    </w:p>
    <w:p>
      <w:pPr>
        <w:spacing w:after="0" w:line="205"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 xml:space="preserve">The Company is unable to estimate a range of outcomes for potential royalty and milestone payments for tagmokitug and casdozokitug. </w:t>
      </w:r>
      <w:r>
        <w:rPr>
          <w:rFonts w:ascii="Segoe UI" w:cs="Segoe UI" w:eastAsia="Segoe UI" w:hAnsi="Segoe UI"/>
          <w:sz w:val="18"/>
          <w:szCs w:val="18"/>
          <w:color w:val="auto"/>
        </w:rPr>
        <w:t>With the termination of out-licensed partnership programs in 2025 and 2024, the corresponding CVR liabilities for GSK4381562</w:t>
      </w:r>
      <w:r>
        <w:rPr>
          <w:rFonts w:ascii="Calibri" w:cs="Calibri" w:eastAsia="Calibri" w:hAnsi="Calibri"/>
          <w:sz w:val="20"/>
          <w:szCs w:val="20"/>
          <w:color w:val="auto"/>
        </w:rPr>
        <w:t xml:space="preserve"> </w:t>
      </w:r>
      <w:r>
        <w:rPr>
          <w:rFonts w:ascii="Segoe UI" w:cs="Segoe UI" w:eastAsia="Segoe UI" w:hAnsi="Segoe UI"/>
          <w:sz w:val="18"/>
          <w:szCs w:val="18"/>
          <w:color w:val="auto"/>
        </w:rPr>
        <w:t>and NZV930 were remeasured to their final fair values of zero in 2025 and 2024, respectively (see Note 3. Fair Value Measurements and Note 5. Balance Sheet Components).</w:t>
      </w:r>
    </w:p>
    <w:p>
      <w:pPr>
        <w:spacing w:after="0" w:line="18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Net Revenues</w:t>
      </w:r>
    </w:p>
    <w:p>
      <w:pPr>
        <w:spacing w:after="0" w:line="241" w:lineRule="exact"/>
        <w:rPr>
          <w:sz w:val="20"/>
          <w:szCs w:val="20"/>
          <w:color w:val="auto"/>
        </w:rPr>
      </w:pPr>
    </w:p>
    <w:p>
      <w:pPr>
        <w:jc w:val="both"/>
        <w:ind w:firstLine="720"/>
        <w:spacing w:after="0" w:line="257" w:lineRule="auto"/>
        <w:rPr>
          <w:sz w:val="20"/>
          <w:szCs w:val="20"/>
          <w:color w:val="auto"/>
        </w:rPr>
      </w:pPr>
      <w:r>
        <w:rPr>
          <w:rFonts w:ascii="Calibri" w:cs="Calibri" w:eastAsia="Calibri" w:hAnsi="Calibri"/>
          <w:sz w:val="19"/>
          <w:szCs w:val="19"/>
          <w:color w:val="auto"/>
        </w:rPr>
        <w:t>The Company sells to wholesalers and distributors, (collectively, “Customers”). The Customers then resell to hospitals and clinics (collectively, “Healthcare Providers”) pursuant to contracts with the Company. In addition to distribution agreements with Customers and contracts with Healthcare Providers, the Company enters into arrangements with group purchasing organizations (“GPOs”) that provide for United States government-mandated or privately negotiated rebates, chargebacks and discounts. The Company also enters into rebate arrangements with payers, which consist primarily of commercial insurance companies and government entities, to cover the reimbursement of products to Healthcare Providers. The Company provides co-payment assistance to patients who have commercial insurance and meet certain eligibility requirements. Revenue from product sales is recognized at the point when a Customer obtains control of the product and the Company satisfies its performance obligation, which generally occurs at the time product is delivered to the Customer. Payment terms differ by jurisdiction and customer, but typically range from approximately 30 to 80 days from date of shipment.</w:t>
      </w:r>
    </w:p>
    <w:p>
      <w:pPr>
        <w:spacing w:after="0" w:line="202"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The Company recognizes revenue from sales to the U.S. federal government for placement into stockpiles in accordance with SEC Interpretation, Commission Guidance Regarding Accounting for Sales of Vaccines and BioTerror Countermeasures to the Federal Government for Placement into the Pediatric Vaccine Stockpile or the Strategic National Stockpile. This interpretation allows companies to recognize revenue for sales of vaccines into U.S. government stockpiles even though these sales might not meet the criteria for revenue recognition under other accounting guidance.</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Product Sales Discounts and Allowances</w:t>
      </w:r>
    </w:p>
    <w:p>
      <w:pPr>
        <w:spacing w:after="0" w:line="241" w:lineRule="exact"/>
        <w:rPr>
          <w:sz w:val="20"/>
          <w:szCs w:val="20"/>
          <w:color w:val="auto"/>
        </w:rPr>
      </w:pPr>
    </w:p>
    <w:p>
      <w:pPr>
        <w:jc w:val="both"/>
        <w:ind w:firstLine="720"/>
        <w:spacing w:after="0" w:line="256" w:lineRule="auto"/>
        <w:rPr>
          <w:sz w:val="20"/>
          <w:szCs w:val="20"/>
          <w:color w:val="auto"/>
        </w:rPr>
      </w:pPr>
      <w:r>
        <w:rPr>
          <w:rFonts w:ascii="Calibri" w:cs="Calibri" w:eastAsia="Calibri" w:hAnsi="Calibri"/>
          <w:sz w:val="19"/>
          <w:szCs w:val="19"/>
          <w:color w:val="auto"/>
        </w:rPr>
        <w:t>Revenue from product sales is recorded at the net sales price, or transaction price, which includes estimates of variable consideration for which reserves are established resulting from chargebacks, rebates, co-pay assistance, prompt-payment discounts, returns and other allowances that are offered within contracts between the Company and its Customers, Healthcare Providers, payers and GPOs. These reserves are based on the amounts earned or to be claimed on the related sales and are classified as reductions in trade receivables (if the amounts are payable to a Customer) or current and non-current liabilities (if the amounts are payable to a party other than a Customer). Where appropriate, these estimates take into consideration a range of possible outcomes that are probability-weighted for relevant factors such as historical experience, current contractual and statutory requirements, specifically known market events and trends, industry data and forecasted Customer buying and payment patterns. Overall, these reserves reflect the best estimates of the amount of consideration to which the Company is entitled based on the terms of its contracts. The amount of variable consideration that is included in the transaction price may be constrained, and is only included in the net sales price to the extent that it is probable that a significant reversal in the amount of the cumulative revenue recognized will not occur in a future period. The actual amount of</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87</w:t>
      </w:r>
    </w:p>
    <w:p>
      <w:pPr>
        <w:sectPr>
          <w:pgSz w:w="12240" w:h="15840" w:orient="portrait"/>
          <w:cols w:equalWidth="0" w:num="1">
            <w:col w:w="11160"/>
          </w:cols>
          <w:pgMar w:left="540" w:top="531" w:right="540" w:bottom="9" w:gutter="0" w:footer="0" w:header="0"/>
          <w:type w:val="continuous"/>
        </w:sectPr>
      </w:pPr>
    </w:p>
    <w:bookmarkStart w:id="89" w:name="page90"/>
    <w:bookmarkEnd w:id="89"/>
    <w:p>
      <w:pPr>
        <w:jc w:val="both"/>
        <w:spacing w:after="0" w:line="262" w:lineRule="auto"/>
        <w:rPr>
          <w:sz w:val="20"/>
          <w:szCs w:val="20"/>
          <w:color w:val="auto"/>
        </w:rPr>
      </w:pPr>
      <w:r>
        <w:rPr>
          <w:rFonts w:ascii="Calibri" w:cs="Calibri" w:eastAsia="Calibri" w:hAnsi="Calibri"/>
          <w:sz w:val="20"/>
          <w:szCs w:val="20"/>
          <w:color w:val="auto"/>
        </w:rPr>
        <w:t>consideration ultimately received may differ. If actual results in the future vary from the Company’s estimates, the estimates will be adjusted, which will affect net product revenue in the period that such variances become known.</w:t>
      </w:r>
    </w:p>
    <w:p>
      <w:pPr>
        <w:spacing w:after="0" w:line="195"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i w:val="1"/>
          <w:iCs w:val="1"/>
          <w:color w:val="auto"/>
        </w:rPr>
        <w:t xml:space="preserve">Chargebacks: </w:t>
      </w:r>
      <w:r>
        <w:rPr>
          <w:rFonts w:ascii="Calibri" w:cs="Calibri" w:eastAsia="Calibri" w:hAnsi="Calibri"/>
          <w:sz w:val="20"/>
          <w:szCs w:val="20"/>
          <w:color w:val="auto"/>
        </w:rPr>
        <w:t>Chargebacks are discounts that occur when Healthcare Providers purchase directly from a Customer. Healthcare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Providers, which belong to Public Health Service institutions, non-profit clinics, government entities, GPOs, and health maintenance organizations, generally purchase the product at a discounted price. The Customer, in turn, charges back to the Company the difference between the price initially paid by the Customer and the discounted price paid by the Healthcare Providers to the Customer. The allowance for chargebacks is based on an estimate of sales through to Healthcare Providers from the Customer.</w:t>
      </w:r>
    </w:p>
    <w:p>
      <w:pPr>
        <w:spacing w:after="0" w:line="214"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i w:val="1"/>
          <w:iCs w:val="1"/>
          <w:color w:val="auto"/>
        </w:rPr>
        <w:t xml:space="preserve">Discounts for Prompt Payment: </w:t>
      </w:r>
      <w:r>
        <w:rPr>
          <w:rFonts w:ascii="Calibri" w:cs="Calibri" w:eastAsia="Calibri" w:hAnsi="Calibri"/>
          <w:sz w:val="20"/>
          <w:szCs w:val="20"/>
          <w:color w:val="auto"/>
        </w:rPr>
        <w:t>The Company provides for prompt payment discounts to its Customers, which are recorded as a</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reduction in revenue in the same period that the related product revenue is recognized.</w:t>
      </w:r>
    </w:p>
    <w:p>
      <w:pPr>
        <w:spacing w:after="0" w:line="195"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i w:val="1"/>
          <w:iCs w:val="1"/>
          <w:color w:val="auto"/>
        </w:rPr>
        <w:t xml:space="preserve">Rebates: </w:t>
      </w:r>
      <w:r>
        <w:rPr>
          <w:rFonts w:ascii="Calibri" w:cs="Calibri" w:eastAsia="Calibri" w:hAnsi="Calibri"/>
          <w:sz w:val="20"/>
          <w:szCs w:val="20"/>
          <w:color w:val="auto"/>
        </w:rPr>
        <w:t>Rebates include mandated discounts under the Medicaid Drug Rebate Program, other government programs and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commercial contracts. Rebate amounts owed after the final dispensing of the product to a benefit plan participant are based upon contractual agreements or legal requirements with public sector benefit providers. The accrual for rebates is based on statutory or contractual discount rates and expected utilization. The estimates for the expected utilization of rebates are based on Customer and commercially available payer data, as well as data collected from the Healthcare Providers, Customers, GPOs, and historical utilization rates. Rebates invoiced by payers, Healthcare Providers and GPOs are paid in arrears. If actual future rebates vary from estimates, the Company may need to adjust its accruals, which would affect net product revenue in the period of adjustment.</w:t>
      </w:r>
    </w:p>
    <w:p>
      <w:pPr>
        <w:spacing w:after="0" w:line="219"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i w:val="1"/>
          <w:iCs w:val="1"/>
          <w:color w:val="auto"/>
        </w:rPr>
        <w:t xml:space="preserve">Co-payment Assistance: </w:t>
      </w:r>
      <w:r>
        <w:rPr>
          <w:rFonts w:ascii="Calibri" w:cs="Calibri" w:eastAsia="Calibri" w:hAnsi="Calibri"/>
          <w:sz w:val="20"/>
          <w:szCs w:val="20"/>
          <w:color w:val="auto"/>
        </w:rPr>
        <w:t>Patients who have commercial insurance and meet certain eligibility requirements may receive co-payment assistance. The calculation of the accrual for co-pay assistance is based on an estimate of claims and the cost per claim that the Company expects to receive associated with product that has been recognized as revenue.</w:t>
      </w:r>
    </w:p>
    <w:p>
      <w:pPr>
        <w:spacing w:after="0" w:line="206"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i w:val="1"/>
          <w:iCs w:val="1"/>
          <w:color w:val="auto"/>
        </w:rPr>
        <w:t xml:space="preserve">Product Returns: </w:t>
      </w:r>
      <w:r>
        <w:rPr>
          <w:rFonts w:ascii="Calibri" w:cs="Calibri" w:eastAsia="Calibri" w:hAnsi="Calibri"/>
          <w:sz w:val="20"/>
          <w:szCs w:val="20"/>
          <w:color w:val="auto"/>
        </w:rPr>
        <w:t>The Company offers its Customers limited product return rights, which are principally based upon whether the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product is damaged or defective, or the product’s expiration date. Product return reserves are established for returns made by Customers and are recorded in the period the related revenue is recognized, resulting in a reduction to product revenue. In accordance with contractual terms, Customers are permitted to return product for reasons such as damaged or expired product. The majority of Customer returns are due to product expiration. Expired product return reserves are estimated considering historical return data to their related sales on a production lot basis.</w:t>
      </w:r>
    </w:p>
    <w:p>
      <w:pPr>
        <w:spacing w:after="0" w:line="216"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i w:val="1"/>
          <w:iCs w:val="1"/>
          <w:color w:val="auto"/>
        </w:rPr>
        <w:t xml:space="preserve">Other Allowances: </w:t>
      </w:r>
      <w:r>
        <w:rPr>
          <w:rFonts w:ascii="Calibri" w:cs="Calibri" w:eastAsia="Calibri" w:hAnsi="Calibri"/>
          <w:sz w:val="20"/>
          <w:szCs w:val="20"/>
          <w:color w:val="auto"/>
        </w:rPr>
        <w:t>The Company pays fees to Customers and GPOs for account management, data management and other</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administrative services. To the extent that the services received are distinct from the sale of products to the customer, these payments are classified in selling, general and administrative expense in the Company’s consolidated statements of operations, otherwise they are included as a reduction in product revenue.</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Royalty Revenue</w:t>
      </w:r>
    </w:p>
    <w:p>
      <w:pPr>
        <w:spacing w:after="0" w:line="240"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Royalty revenue from licensees, which is based on sales to third parties of licensed products, is recorded when the third-party sale occurs and the performance obligation to which some or all of the royalty has been allocated has been satisfied (or partially satisfied). Royalty revenue is classified in net revenue and was $1.3 million and $1.0 million for the years ended December 31, 2025 and 2024, respectively.</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Cost of Goods Sold</w:t>
      </w:r>
    </w:p>
    <w:p>
      <w:pPr>
        <w:spacing w:after="0" w:line="241"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Cost of goods sold consists primarily of third-party manufacturing, distribution, certain overhead costs, royalties on certain products, shipping and handling costs, and charges for inventory write-downs.</w:t>
      </w:r>
    </w:p>
    <w:p>
      <w:pPr>
        <w:spacing w:after="0" w:line="197"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The Company incurs royalties on net sales of LOQTORZI in the low twenty percent range.</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88</w:t>
      </w:r>
    </w:p>
    <w:p>
      <w:pPr>
        <w:sectPr>
          <w:pgSz w:w="12240" w:h="15840" w:orient="portrait"/>
          <w:cols w:equalWidth="0" w:num="1">
            <w:col w:w="11160"/>
          </w:cols>
          <w:pgMar w:left="540" w:top="532" w:right="540" w:bottom="9" w:gutter="0" w:footer="0" w:header="0"/>
          <w:type w:val="continuous"/>
        </w:sectPr>
      </w:pPr>
    </w:p>
    <w:bookmarkStart w:id="90" w:name="page91"/>
    <w:bookmarkEnd w:id="90"/>
    <w:p>
      <w:pPr>
        <w:spacing w:after="0"/>
        <w:rPr>
          <w:sz w:val="20"/>
          <w:szCs w:val="20"/>
          <w:color w:val="auto"/>
        </w:rPr>
      </w:pPr>
      <w:r>
        <w:rPr>
          <w:rFonts w:ascii="Calibri" w:cs="Calibri" w:eastAsia="Calibri" w:hAnsi="Calibri"/>
          <w:sz w:val="20"/>
          <w:szCs w:val="20"/>
          <w:b w:val="1"/>
          <w:bCs w:val="1"/>
          <w:color w:val="auto"/>
        </w:rPr>
        <w:t>Research and Development Expense</w:t>
      </w:r>
    </w:p>
    <w:p>
      <w:pPr>
        <w:spacing w:after="0" w:line="240"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Research and development expense represents costs incurred to conduct research, such as the discovery and development of product candidates. The Company recognizes all research and development costs as they are incurred. The Company currently tracks research and development costs incurred on a product candidate basis only for external research and development expenses. The Company’s external research and development expense consists primarily of:</w:t>
      </w:r>
    </w:p>
    <w:p>
      <w:pPr>
        <w:spacing w:after="0" w:line="223" w:lineRule="exact"/>
        <w:rPr>
          <w:sz w:val="20"/>
          <w:szCs w:val="20"/>
          <w:color w:val="auto"/>
        </w:rPr>
      </w:pPr>
    </w:p>
    <w:p>
      <w:pPr>
        <w:ind w:left="1080" w:hanging="353"/>
        <w:spacing w:after="0" w:line="251" w:lineRule="auto"/>
        <w:tabs>
          <w:tab w:leader="none" w:pos="1080" w:val="left"/>
        </w:tabs>
        <w:numPr>
          <w:ilvl w:val="0"/>
          <w:numId w:val="54"/>
        </w:numPr>
        <w:rPr>
          <w:rFonts w:ascii="Symbol" w:cs="Symbol" w:eastAsia="Symbol" w:hAnsi="Symbol"/>
          <w:sz w:val="20"/>
          <w:szCs w:val="20"/>
          <w:color w:val="auto"/>
        </w:rPr>
      </w:pPr>
      <w:r>
        <w:rPr>
          <w:rFonts w:ascii="Calibri" w:cs="Calibri" w:eastAsia="Calibri" w:hAnsi="Calibri"/>
          <w:sz w:val="20"/>
          <w:szCs w:val="20"/>
          <w:color w:val="auto"/>
        </w:rPr>
        <w:t>expense incurred under agreements with collaborators, consultants, third-party CROs, and investigative sites where a substantial portion of the Company’s preclinical studies and all of its clinical trials are conducted;</w:t>
      </w:r>
    </w:p>
    <w:p>
      <w:pPr>
        <w:spacing w:after="0" w:line="157" w:lineRule="exact"/>
        <w:rPr>
          <w:rFonts w:ascii="Symbol" w:cs="Symbol" w:eastAsia="Symbol" w:hAnsi="Symbol"/>
          <w:sz w:val="20"/>
          <w:szCs w:val="20"/>
          <w:color w:val="auto"/>
        </w:rPr>
      </w:pPr>
    </w:p>
    <w:p>
      <w:pPr>
        <w:ind w:left="1080" w:hanging="353"/>
        <w:spacing w:after="0" w:line="251" w:lineRule="auto"/>
        <w:tabs>
          <w:tab w:leader="none" w:pos="1080" w:val="left"/>
        </w:tabs>
        <w:numPr>
          <w:ilvl w:val="0"/>
          <w:numId w:val="54"/>
        </w:numPr>
        <w:rPr>
          <w:rFonts w:ascii="Symbol" w:cs="Symbol" w:eastAsia="Symbol" w:hAnsi="Symbol"/>
          <w:sz w:val="20"/>
          <w:szCs w:val="20"/>
          <w:color w:val="auto"/>
        </w:rPr>
      </w:pPr>
      <w:r>
        <w:rPr>
          <w:rFonts w:ascii="Calibri" w:cs="Calibri" w:eastAsia="Calibri" w:hAnsi="Calibri"/>
          <w:sz w:val="20"/>
          <w:szCs w:val="20"/>
          <w:color w:val="auto"/>
        </w:rPr>
        <w:t>costs of acquiring originator comparator materials and manufacturing preclinical study and clinical trial supplies and other materials from CMOs, and related costs associated with release and stability testing;</w:t>
      </w:r>
    </w:p>
    <w:p>
      <w:pPr>
        <w:spacing w:after="0" w:line="157" w:lineRule="exact"/>
        <w:rPr>
          <w:rFonts w:ascii="Symbol" w:cs="Symbol" w:eastAsia="Symbol" w:hAnsi="Symbol"/>
          <w:sz w:val="20"/>
          <w:szCs w:val="20"/>
          <w:color w:val="auto"/>
        </w:rPr>
      </w:pPr>
    </w:p>
    <w:p>
      <w:pPr>
        <w:ind w:left="1080" w:hanging="353"/>
        <w:spacing w:after="0" w:line="251" w:lineRule="auto"/>
        <w:tabs>
          <w:tab w:leader="none" w:pos="1080" w:val="left"/>
        </w:tabs>
        <w:numPr>
          <w:ilvl w:val="0"/>
          <w:numId w:val="54"/>
        </w:numPr>
        <w:rPr>
          <w:rFonts w:ascii="Symbol" w:cs="Symbol" w:eastAsia="Symbol" w:hAnsi="Symbol"/>
          <w:sz w:val="20"/>
          <w:szCs w:val="20"/>
          <w:color w:val="auto"/>
        </w:rPr>
      </w:pPr>
      <w:r>
        <w:rPr>
          <w:rFonts w:ascii="Calibri" w:cs="Calibri" w:eastAsia="Calibri" w:hAnsi="Calibri"/>
          <w:sz w:val="20"/>
          <w:szCs w:val="20"/>
          <w:color w:val="auto"/>
        </w:rPr>
        <w:t>costs associated with manufacturing process development activities, analytical activities and pre-launch inventory manufactured prior to regulatory approval being obtained or deemed to be probable; and</w:t>
      </w:r>
    </w:p>
    <w:p>
      <w:pPr>
        <w:spacing w:after="0" w:line="157" w:lineRule="exact"/>
        <w:rPr>
          <w:rFonts w:ascii="Symbol" w:cs="Symbol" w:eastAsia="Symbol" w:hAnsi="Symbol"/>
          <w:sz w:val="20"/>
          <w:szCs w:val="20"/>
          <w:color w:val="auto"/>
        </w:rPr>
      </w:pPr>
    </w:p>
    <w:p>
      <w:pPr>
        <w:ind w:left="1080" w:hanging="353"/>
        <w:spacing w:after="0"/>
        <w:tabs>
          <w:tab w:leader="none" w:pos="1080" w:val="left"/>
        </w:tabs>
        <w:numPr>
          <w:ilvl w:val="0"/>
          <w:numId w:val="54"/>
        </w:numPr>
        <w:rPr>
          <w:rFonts w:ascii="Symbol" w:cs="Symbol" w:eastAsia="Symbol" w:hAnsi="Symbol"/>
          <w:sz w:val="20"/>
          <w:szCs w:val="20"/>
          <w:color w:val="auto"/>
        </w:rPr>
      </w:pPr>
      <w:r>
        <w:rPr>
          <w:rFonts w:ascii="Calibri" w:cs="Calibri" w:eastAsia="Calibri" w:hAnsi="Calibri"/>
          <w:sz w:val="20"/>
          <w:szCs w:val="20"/>
          <w:color w:val="auto"/>
        </w:rPr>
        <w:t>option and certain milestone payments related to licensing and collaboration agreements.</w:t>
      </w:r>
    </w:p>
    <w:p>
      <w:pPr>
        <w:spacing w:after="0" w:line="229"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Internal costs are associated with activities performed by the Company’s research and development organization and generally benefit multiple programs. These costs are not separately allocated by product candidate. Unallocated, internal research and development costs consist primarily of:</w:t>
      </w:r>
    </w:p>
    <w:p>
      <w:pPr>
        <w:spacing w:after="0" w:line="218" w:lineRule="exact"/>
        <w:rPr>
          <w:sz w:val="20"/>
          <w:szCs w:val="20"/>
          <w:color w:val="auto"/>
        </w:rPr>
      </w:pPr>
    </w:p>
    <w:p>
      <w:pPr>
        <w:ind w:left="1080" w:hanging="353"/>
        <w:spacing w:after="0"/>
        <w:tabs>
          <w:tab w:leader="none" w:pos="1080" w:val="left"/>
        </w:tabs>
        <w:numPr>
          <w:ilvl w:val="0"/>
          <w:numId w:val="55"/>
        </w:numPr>
        <w:rPr>
          <w:rFonts w:ascii="Symbol" w:cs="Symbol" w:eastAsia="Symbol" w:hAnsi="Symbol"/>
          <w:sz w:val="20"/>
          <w:szCs w:val="20"/>
          <w:color w:val="auto"/>
        </w:rPr>
      </w:pPr>
      <w:r>
        <w:rPr>
          <w:rFonts w:ascii="Calibri" w:cs="Calibri" w:eastAsia="Calibri" w:hAnsi="Calibri"/>
          <w:sz w:val="20"/>
          <w:szCs w:val="20"/>
          <w:color w:val="auto"/>
        </w:rPr>
        <w:t>personnel-related expense, which include salaries, benefits and stock-based compensation; and</w:t>
      </w:r>
    </w:p>
    <w:p>
      <w:pPr>
        <w:spacing w:after="0" w:line="178" w:lineRule="exact"/>
        <w:rPr>
          <w:rFonts w:ascii="Symbol" w:cs="Symbol" w:eastAsia="Symbol" w:hAnsi="Symbol"/>
          <w:sz w:val="20"/>
          <w:szCs w:val="20"/>
          <w:color w:val="auto"/>
        </w:rPr>
      </w:pPr>
    </w:p>
    <w:p>
      <w:pPr>
        <w:ind w:left="1080" w:hanging="353"/>
        <w:spacing w:after="0" w:line="253" w:lineRule="auto"/>
        <w:tabs>
          <w:tab w:leader="none" w:pos="1080" w:val="left"/>
        </w:tabs>
        <w:numPr>
          <w:ilvl w:val="0"/>
          <w:numId w:val="55"/>
        </w:numPr>
        <w:rPr>
          <w:rFonts w:ascii="Symbol" w:cs="Symbol" w:eastAsia="Symbol" w:hAnsi="Symbol"/>
          <w:sz w:val="20"/>
          <w:szCs w:val="20"/>
          <w:color w:val="auto"/>
        </w:rPr>
      </w:pPr>
      <w:r>
        <w:rPr>
          <w:rFonts w:ascii="Calibri" w:cs="Calibri" w:eastAsia="Calibri" w:hAnsi="Calibri"/>
          <w:sz w:val="20"/>
          <w:szCs w:val="20"/>
          <w:color w:val="auto"/>
        </w:rPr>
        <w:t>facilities and other allocated expense, which include direct and allocated expense for rent and maintenance of facilities, depreciation and amortization of leasehold improvements and equipment, laboratory and other supplies.</w:t>
      </w:r>
    </w:p>
    <w:p>
      <w:pPr>
        <w:spacing w:after="0" w:line="20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License Agreements</w:t>
      </w:r>
    </w:p>
    <w:p>
      <w:pPr>
        <w:spacing w:after="0" w:line="241"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The Company has entered and may continue to enter into license agreements to access and utilize certain technology. To determine whether the licensing transactions should be accounted for as a business combination or as an asset acquisition, the Company makes certain judgments, which include assessing whether the acquired set of activities and assets would meet the definition of a business under the relevant accounting rules.</w:t>
      </w:r>
    </w:p>
    <w:p>
      <w:pPr>
        <w:spacing w:after="0" w:line="211" w:lineRule="exact"/>
        <w:rPr>
          <w:sz w:val="20"/>
          <w:szCs w:val="20"/>
          <w:color w:val="auto"/>
        </w:rPr>
      </w:pPr>
    </w:p>
    <w:p>
      <w:pPr>
        <w:jc w:val="both"/>
        <w:ind w:firstLine="720"/>
        <w:spacing w:after="0" w:line="263" w:lineRule="auto"/>
        <w:rPr>
          <w:sz w:val="20"/>
          <w:szCs w:val="20"/>
          <w:color w:val="auto"/>
        </w:rPr>
      </w:pPr>
      <w:r>
        <w:rPr>
          <w:rFonts w:ascii="Calibri" w:cs="Calibri" w:eastAsia="Calibri" w:hAnsi="Calibri"/>
          <w:sz w:val="20"/>
          <w:szCs w:val="20"/>
          <w:color w:val="auto"/>
        </w:rPr>
        <w:t>If the acquired set of activities and assets does not meet the definition of a business, the transaction is recorded as an asset acquisition and therefore, any acquired IPR&amp;D that does not have an alternative future use is charged to expense at the acquisition date.</w:t>
      </w:r>
    </w:p>
    <w:p>
      <w:pPr>
        <w:spacing w:after="0" w:line="19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Selling, General and Administrative Expense</w:t>
      </w:r>
    </w:p>
    <w:p>
      <w:pPr>
        <w:spacing w:after="0" w:line="241"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Selling, general and administrative expense comprises primarily compensation and benefits associated with sales and marketing, finance, human resources, legal, information technology and other administrative personnel, outside marketing, advertising and legal expenses and other general and administrative costs. The Company expenses the cost of advertising, including promotional expenses, as incurred. Advertising expenses for continuing operations were $6.6 million and $7.4 million in 2025 and 2024, respectively.</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Stock-Based Compensation</w:t>
      </w:r>
    </w:p>
    <w:p>
      <w:pPr>
        <w:spacing w:after="0" w:line="240"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The Company’s compensation programs include stock-based awards. For awards other than condition-based performance stock options, the fair values are recognized as compensation expense on a straight-line basis over the vesting period. For condition-based performance stock options, expense is recognized only when performance conditions are considered probable of being achieved and is recognized over the period from the grant date through the time the milestone is expected to be achieved. The related costs are recorded in cost of goods sold, research and development, and selling, general and administrative expense, as appropriate. The Company accounts for forfeitures as they occur.</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Income Taxes</w:t>
      </w:r>
    </w:p>
    <w:p>
      <w:pPr>
        <w:spacing w:after="0" w:line="240" w:lineRule="exact"/>
        <w:rPr>
          <w:sz w:val="20"/>
          <w:szCs w:val="20"/>
          <w:color w:val="auto"/>
        </w:rPr>
      </w:pPr>
    </w:p>
    <w:p>
      <w:pPr>
        <w:jc w:val="both"/>
        <w:ind w:firstLine="720"/>
        <w:spacing w:after="0" w:line="270" w:lineRule="auto"/>
        <w:rPr>
          <w:sz w:val="20"/>
          <w:szCs w:val="20"/>
          <w:color w:val="auto"/>
        </w:rPr>
      </w:pPr>
      <w:r>
        <w:rPr>
          <w:rFonts w:ascii="Calibri" w:cs="Calibri" w:eastAsia="Calibri" w:hAnsi="Calibri"/>
          <w:sz w:val="19"/>
          <w:szCs w:val="19"/>
          <w:color w:val="auto"/>
        </w:rPr>
        <w:t>The Company utilizes the liability method of accounting for deferred income taxes. Under this method, deferred tax liabilities and assets are recognized for the expected future tax consequences of temporary differences between the carrying amounts and the tax basis of assets and liabilities. A valuation allowance is established against deferred tax assets when, based on the weight of available evidence,</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89</w:t>
      </w:r>
    </w:p>
    <w:p>
      <w:pPr>
        <w:sectPr>
          <w:pgSz w:w="12240" w:h="15840" w:orient="portrait"/>
          <w:cols w:equalWidth="0" w:num="1">
            <w:col w:w="11160"/>
          </w:cols>
          <w:pgMar w:left="540" w:top="531" w:right="540" w:bottom="9" w:gutter="0" w:footer="0" w:header="0"/>
          <w:type w:val="continuous"/>
        </w:sectPr>
      </w:pPr>
    </w:p>
    <w:bookmarkStart w:id="91" w:name="page92"/>
    <w:bookmarkEnd w:id="91"/>
    <w:p>
      <w:pPr>
        <w:jc w:val="both"/>
        <w:spacing w:after="0" w:line="262" w:lineRule="auto"/>
        <w:rPr>
          <w:sz w:val="20"/>
          <w:szCs w:val="20"/>
          <w:color w:val="auto"/>
        </w:rPr>
      </w:pPr>
      <w:r>
        <w:rPr>
          <w:rFonts w:ascii="Calibri" w:cs="Calibri" w:eastAsia="Calibri" w:hAnsi="Calibri"/>
          <w:sz w:val="20"/>
          <w:szCs w:val="20"/>
          <w:color w:val="auto"/>
        </w:rPr>
        <w:t>it is more likely than not that some or all of the deferred tax assets will not be realized. The Company’s policy is to record interest and penalties on uncertain tax positions as income tax expense.</w:t>
      </w:r>
    </w:p>
    <w:p>
      <w:pPr>
        <w:spacing w:after="0" w:line="195"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The Company recognizes uncertain income tax positions at the largest amount that is more likely than not to be sustained upon audit by the relevant taxing authority. The Company does not expect its unrecognized tax benefits from prior years to change significantly in 2026.</w:t>
      </w: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Operating Leases</w:t>
      </w:r>
    </w:p>
    <w:p>
      <w:pPr>
        <w:spacing w:after="0" w:line="241"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The Company determines at an arrangement’s inception whether it is a lease. The Company does not recognize right-of-use assets and lease liabilities related to short-term leases, and the Company does not separate lease and non-lease components for its facility leases. Operating leases are included in other assets, non-current, accrued and other current liabilities, and lease liabilities, non-current in the consolidated balance sheets. The lease terms may include options to extend or terminate the lease when it is reasonably certain that the Company will exercise any such options. The Company recognizes operating lease expense for these leases on a straight-line basis over the lease term.</w:t>
      </w:r>
    </w:p>
    <w:p>
      <w:pPr>
        <w:spacing w:after="0" w:line="215"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The operating lease right-of-use assets and the lease liabilities are recognized based on the present value of lease payments over the lease term at the lease commencement date. The Company uses its incremental borrowing rate based on the information available at the commencement date or the lease modification date, as applicable, in determining the lease liabilities as the Company's leases generally do not provide an implicit rate.</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Net Income (Loss) Per Share</w:t>
      </w:r>
    </w:p>
    <w:p>
      <w:pPr>
        <w:spacing w:after="0" w:line="240"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Basic net income (loss) per share is calculated by dividing the net income (loss) by the weighted-average number of shares of common stock outstanding for the period, without consideration for potential dilutive common shares. The weighted-average common stock outstanding as of December 31, 2025 includes warrants to purchase shares of common stock each with an exercise price of $0.01 per share that were issued in connection with the October 2025 Private Placement (see Note 11. Stockholders’ Equity (Deficit)).</w:t>
      </w:r>
    </w:p>
    <w:p>
      <w:pPr>
        <w:spacing w:after="0" w:line="212"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Diluted net income per share is computed by dividing the net income by the weighted average number of common shares outstanding for the period plus any diluted potential common shares outstanding for the period determined using the treasury stock method for options, performance-based stock options (“PSOs”), RSUs and ESPP and using the if-converted method for the convertible notes. Diluted net loss per share is computed by dividing net loss by the weighted-average number of common shares outstanding for the period, without consideration for any potential dilutive common share equivalents as their effect would be antidilutive (see Note 14. Net Income (Loss) Per Share).</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Comprehensive Income (Loss)</w:t>
      </w:r>
    </w:p>
    <w:p>
      <w:pPr>
        <w:spacing w:after="0" w:line="240"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Comprehensive income (loss) includes the following two components: net income (loss) and other comprehensive income (loss). Other comprehensive income (loss) refers to gains and losses that are recorded as an element of stockholders’ equity (deficit), but are excluded from net income (loss). The Company’s other comprehensive income (loss) includes the unrealized gain (loss) on available-for-sale securities and foreign currency translation adjustments in 2025 and 2024.</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Transition Service Agreements (“TSAs”)</w:t>
      </w:r>
    </w:p>
    <w:p>
      <w:pPr>
        <w:spacing w:after="0" w:line="241" w:lineRule="exact"/>
        <w:rPr>
          <w:sz w:val="20"/>
          <w:szCs w:val="20"/>
          <w:color w:val="auto"/>
        </w:rPr>
      </w:pPr>
    </w:p>
    <w:p>
      <w:pPr>
        <w:jc w:val="both"/>
        <w:ind w:firstLine="490"/>
        <w:spacing w:after="0" w:line="245" w:lineRule="auto"/>
        <w:rPr>
          <w:sz w:val="20"/>
          <w:szCs w:val="20"/>
          <w:color w:val="auto"/>
        </w:rPr>
      </w:pPr>
      <w:r>
        <w:rPr>
          <w:rFonts w:ascii="Calibri" w:cs="Calibri" w:eastAsia="Calibri" w:hAnsi="Calibri"/>
          <w:sz w:val="20"/>
          <w:szCs w:val="20"/>
          <w:color w:val="auto"/>
        </w:rPr>
        <w:t>In connection with the Sale Transactions, the Company and each of the buyers in each Sale Transaction entered into a TSA, pursuant to which the Company has provided certain business support services on behalf of the buyers including billings, collections, and the remittance of rebates, to ensure business continuity for patients and customers. Under each TSA, the Company is entitled to be reimbursed for its costs. Such reimbursements are recorded as a reduction to operating expenses or in other income (expense), net in the consolidated statements of operations.</w:t>
      </w:r>
    </w:p>
    <w:p>
      <w:pPr>
        <w:spacing w:after="0" w:line="214" w:lineRule="exact"/>
        <w:rPr>
          <w:sz w:val="20"/>
          <w:szCs w:val="20"/>
          <w:color w:val="auto"/>
        </w:rPr>
      </w:pPr>
    </w:p>
    <w:p>
      <w:pPr>
        <w:jc w:val="both"/>
        <w:ind w:firstLine="490"/>
        <w:spacing w:after="0" w:line="244" w:lineRule="auto"/>
        <w:rPr>
          <w:sz w:val="20"/>
          <w:szCs w:val="20"/>
          <w:color w:val="auto"/>
        </w:rPr>
      </w:pPr>
      <w:r>
        <w:rPr>
          <w:rFonts w:ascii="Calibri" w:cs="Calibri" w:eastAsia="Calibri" w:hAnsi="Calibri"/>
          <w:sz w:val="20"/>
          <w:szCs w:val="20"/>
          <w:color w:val="auto"/>
        </w:rPr>
        <w:t>Since certain contracts with third parties could not immediately be transitioned at the divestiture dates, generally because the contracts did not allow for assignment, the Company remained a legal party to transactions occurring after the closings, often functioning as an agent on behalf of the buyer. The CIMERLI and YUSIMRY TSAs were substantially completed as of December 31, 2025. These transactions are presented within TSA receivables, net and TSA payables and accrued liabilities in the consolidated balance sheets, and they do not affect the consolidated statements of operations. The use of cash to settle TSA payables and accrued liabilities is expected to occur in a front-loaded fashion over the remainder of 2026.</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90</w:t>
      </w:r>
    </w:p>
    <w:p>
      <w:pPr>
        <w:sectPr>
          <w:pgSz w:w="12240" w:h="15840" w:orient="portrait"/>
          <w:cols w:equalWidth="0" w:num="1">
            <w:col w:w="11160"/>
          </w:cols>
          <w:pgMar w:left="540" w:top="532" w:right="540" w:bottom="9" w:gutter="0" w:footer="0" w:header="0"/>
          <w:type w:val="continuous"/>
        </w:sectPr>
      </w:pPr>
    </w:p>
    <w:bookmarkStart w:id="92" w:name="page93"/>
    <w:bookmarkEnd w:id="92"/>
    <w:p>
      <w:pPr>
        <w:spacing w:after="0"/>
        <w:rPr>
          <w:sz w:val="20"/>
          <w:szCs w:val="20"/>
          <w:color w:val="auto"/>
        </w:rPr>
      </w:pPr>
      <w:r>
        <w:rPr>
          <w:rFonts w:ascii="Calibri" w:cs="Calibri" w:eastAsia="Calibri" w:hAnsi="Calibri"/>
          <w:sz w:val="20"/>
          <w:szCs w:val="20"/>
          <w:b w:val="1"/>
          <w:bCs w:val="1"/>
          <w:color w:val="auto"/>
        </w:rPr>
        <w:t>Discontinued Operations</w:t>
      </w:r>
    </w:p>
    <w:p>
      <w:pPr>
        <w:spacing w:after="0" w:line="240"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The Company evaluates all disposal transactions to determine whether they qualify for reporting as discontinued operations. A disposal of a component or a group of components is reported in discontinued operations if the disposal represents a strategic shift that has or will have a major effect on the Company’s operations and financial results when the following occurs: (1) a component (or group of components) meets the criteria to be classified as held for sale; (2) the component or group of components is disposed of by sale; or (3) the component or group of components is disposed of other than by sale (for example, by abandonment or in a distribution to owners in a spin-off). The results of discontinued operations, including gains or losses recognized upon disposal, are presented separately from continuing operations in the consolidated statement of operations for all periods presented. For comparative purposes, the Company presents net assets transferred in connection with divestitures as assets of discontinued operations on the consolidated balance sheet for prior periods.</w:t>
      </w: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Reclassifications</w:t>
      </w:r>
    </w:p>
    <w:p>
      <w:pPr>
        <w:spacing w:after="0" w:line="241"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Certain amounts in prior years’ financial statements have been reclassified to conform with the current period presentation of discontinued operations, including amounts in the consolidated balance sheets, consolidated statements of operations and various footnotes. There were no changes to net income (loss). In addition, certain amounts in the consolidated statements of cash flows have been reclassified to conform with the current period presentation, and these changes had no impact to the net cash flows of operating, investing or financing activities.</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Recent Accounting Pronouncements</w:t>
      </w:r>
    </w:p>
    <w:p>
      <w:pPr>
        <w:spacing w:after="0" w:line="240"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 xml:space="preserve">In December 2023, the FASB issued ASU 2023-09, </w:t>
      </w:r>
      <w:r>
        <w:rPr>
          <w:rFonts w:ascii="Calibri" w:cs="Calibri" w:eastAsia="Calibri" w:hAnsi="Calibri"/>
          <w:sz w:val="20"/>
          <w:szCs w:val="20"/>
          <w:i w:val="1"/>
          <w:iCs w:val="1"/>
          <w:color w:val="auto"/>
        </w:rPr>
        <w:t>Income Taxes (Topic 740): Improvements to Income Tax Disclosures</w:t>
      </w:r>
      <w:r>
        <w:rPr>
          <w:rFonts w:ascii="Calibri" w:cs="Calibri" w:eastAsia="Calibri" w:hAnsi="Calibri"/>
          <w:sz w:val="20"/>
          <w:szCs w:val="20"/>
          <w:color w:val="auto"/>
        </w:rPr>
        <w:t>, which provides qualitative and quantitative updates to the rate reconciliation and income taxes paid disclosures, among others, in order to enhance the transparency of income tax disclosures, including consistent categories and greater disaggregation of information in the rate reconciliation and disaggregation by jurisdiction of income taxes paid. The Company adopted the new standard retrospectively as of December 31, 2025. The impact was limited to the Company’s income tax-related disclosures in Note 13. Income Taxes.</w:t>
      </w:r>
    </w:p>
    <w:p>
      <w:pPr>
        <w:spacing w:after="0" w:line="217"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The following addresses accounting pronouncements that the Company has not yet adopted:</w:t>
      </w:r>
    </w:p>
    <w:p>
      <w:pPr>
        <w:spacing w:after="0" w:line="238"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 xml:space="preserve">In November 2024, the FASB issued ASU 2024-03, </w:t>
      </w:r>
      <w:r>
        <w:rPr>
          <w:rFonts w:ascii="Calibri" w:cs="Calibri" w:eastAsia="Calibri" w:hAnsi="Calibri"/>
          <w:sz w:val="20"/>
          <w:szCs w:val="20"/>
          <w:i w:val="1"/>
          <w:iCs w:val="1"/>
          <w:color w:val="auto"/>
        </w:rPr>
        <w:t>Income Statement - Reporting Comprehensive Income - Expense Disaggregation</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 xml:space="preserve">(Subtopic 220-40): Disaggregation of Income Statement Expenses, </w:t>
      </w:r>
      <w:r>
        <w:rPr>
          <w:rFonts w:ascii="Calibri" w:cs="Calibri" w:eastAsia="Calibri" w:hAnsi="Calibri"/>
          <w:sz w:val="20"/>
          <w:szCs w:val="20"/>
          <w:color w:val="auto"/>
        </w:rPr>
        <w:t>which requires public entities to disclose certain disaggregated costs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and expenses on an annual and interim basis in the notes to the financial statements. It also requires disclosure of the total amount of selling expenses, and the Company’s definition of selling expenses. The new standard is effective for annual reporting periods beginning after December 15, 2026, and interim reporting periods beginning after December 15, 2027. Early adoption is permitted and is effective on either a prospective or retrospective basis. The Company is currently evaluating the impact this ASU may have on its financial statement disclosures.</w:t>
      </w:r>
    </w:p>
    <w:p>
      <w:pPr>
        <w:spacing w:after="0" w:line="219" w:lineRule="exact"/>
        <w:rPr>
          <w:sz w:val="20"/>
          <w:szCs w:val="20"/>
          <w:color w:val="auto"/>
        </w:rPr>
      </w:pPr>
    </w:p>
    <w:p>
      <w:pPr>
        <w:jc w:val="both"/>
        <w:ind w:right="20" w:firstLine="720"/>
        <w:spacing w:after="0" w:line="263" w:lineRule="auto"/>
        <w:rPr>
          <w:sz w:val="20"/>
          <w:szCs w:val="20"/>
          <w:color w:val="auto"/>
        </w:rPr>
      </w:pPr>
      <w:r>
        <w:rPr>
          <w:rFonts w:ascii="Calibri" w:cs="Calibri" w:eastAsia="Calibri" w:hAnsi="Calibri"/>
          <w:sz w:val="20"/>
          <w:szCs w:val="20"/>
          <w:color w:val="auto"/>
        </w:rPr>
        <w:t>The Company has reviewed other recent accounting pronouncements and concluded they are either not applicable to the business or that no material effect is expected on the consolidated financial statements as a result of future adoption.</w:t>
      </w:r>
    </w:p>
    <w:p>
      <w:pPr>
        <w:spacing w:after="0" w:line="313" w:lineRule="exact"/>
        <w:rPr>
          <w:sz w:val="20"/>
          <w:szCs w:val="20"/>
          <w:color w:val="auto"/>
        </w:rPr>
      </w:pPr>
    </w:p>
    <w:p>
      <w:pPr>
        <w:ind w:left="720" w:hanging="713"/>
        <w:spacing w:after="0"/>
        <w:tabs>
          <w:tab w:leader="none" w:pos="720" w:val="left"/>
        </w:tabs>
        <w:numPr>
          <w:ilvl w:val="0"/>
          <w:numId w:val="5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Revenue</w:t>
      </w:r>
    </w:p>
    <w:p>
      <w:pPr>
        <w:spacing w:after="0" w:line="241" w:lineRule="exact"/>
        <w:rPr>
          <w:sz w:val="20"/>
          <w:szCs w:val="20"/>
          <w:color w:val="auto"/>
        </w:rPr>
      </w:pPr>
    </w:p>
    <w:p>
      <w:pPr>
        <w:jc w:val="both"/>
        <w:ind w:firstLine="720"/>
        <w:spacing w:after="0" w:line="250" w:lineRule="auto"/>
        <w:rPr>
          <w:sz w:val="20"/>
          <w:szCs w:val="20"/>
          <w:color w:val="auto"/>
        </w:rPr>
      </w:pPr>
      <w:r>
        <w:rPr>
          <w:rFonts w:ascii="Calibri" w:cs="Calibri" w:eastAsia="Calibri" w:hAnsi="Calibri"/>
          <w:sz w:val="20"/>
          <w:szCs w:val="20"/>
          <w:color w:val="auto"/>
        </w:rPr>
        <w:t>The Company launched LOQTORZI in January 2024. Net revenue for sales of UDENYCA, YUSIMRY and CIMERLI have been classified within discontinued operations (refer to Note 6. Discontinued Operations). All LOQTORZI net product revenue was generated in the United States. The Company’s net revenue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jc w:val="right"/>
              <w:ind w:right="825"/>
              <w:spacing w:after="0"/>
              <w:rPr>
                <w:sz w:val="20"/>
                <w:szCs w:val="20"/>
                <w:color w:val="auto"/>
              </w:rPr>
            </w:pPr>
            <w:r>
              <w:rPr>
                <w:rFonts w:ascii="Calibri" w:cs="Calibri" w:eastAsia="Calibri" w:hAnsi="Calibri"/>
                <w:sz w:val="16"/>
                <w:szCs w:val="16"/>
                <w:b w:val="1"/>
                <w:bCs w:val="1"/>
                <w:color w:val="auto"/>
              </w:rPr>
              <w:t>Year Ended December 31,</w:t>
            </w:r>
          </w:p>
        </w:tc>
        <w:tc>
          <w:tcPr>
            <w:tcW w:w="0" w:type="dxa"/>
            <w:vAlign w:val="bottom"/>
          </w:tcPr>
          <w:p>
            <w:pPr>
              <w:spacing w:after="0"/>
              <w:rPr>
                <w:sz w:val="1"/>
                <w:szCs w:val="1"/>
                <w:color w:val="auto"/>
              </w:rPr>
            </w:pPr>
          </w:p>
        </w:tc>
      </w:tr>
      <w:tr>
        <w:trPr>
          <w:trHeight w:val="186"/>
        </w:trPr>
        <w:tc>
          <w:tcPr>
            <w:tcW w:w="7400" w:type="dxa"/>
            <w:vAlign w:val="bottom"/>
            <w:tcBorders>
              <w:bottom w:val="single" w:sz="8" w:color="E5E5E5"/>
            </w:tcBorders>
            <w:vMerge w:val="continue"/>
          </w:tcPr>
          <w:p>
            <w:pPr>
              <w:spacing w:after="0"/>
              <w:rPr>
                <w:sz w:val="16"/>
                <w:szCs w:val="16"/>
                <w:color w:val="auto"/>
              </w:rPr>
            </w:pPr>
          </w:p>
        </w:tc>
        <w:tc>
          <w:tcPr>
            <w:tcW w:w="22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8"/>
              <w:spacing w:after="0" w:line="187" w:lineRule="exact"/>
              <w:rPr>
                <w:sz w:val="20"/>
                <w:szCs w:val="20"/>
                <w:color w:val="auto"/>
              </w:rPr>
            </w:pPr>
            <w:r>
              <w:rPr>
                <w:rFonts w:ascii="Calibri" w:cs="Calibri" w:eastAsia="Calibri" w:hAnsi="Calibri"/>
                <w:sz w:val="16"/>
                <w:szCs w:val="16"/>
                <w:b w:val="1"/>
                <w:bCs w:val="1"/>
                <w:color w:val="auto"/>
              </w:rPr>
              <w:t>2025</w:t>
            </w:r>
          </w:p>
        </w:tc>
        <w:tc>
          <w:tcPr>
            <w:tcW w:w="20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5"/>
              <w:spacing w:after="0" w:line="187" w:lineRule="exact"/>
              <w:rPr>
                <w:sz w:val="20"/>
                <w:szCs w:val="20"/>
                <w:color w:val="auto"/>
              </w:rPr>
            </w:pPr>
            <w:r>
              <w:rPr>
                <w:rFonts w:ascii="Calibri" w:cs="Calibri" w:eastAsia="Calibri" w:hAnsi="Calibri"/>
                <w:sz w:val="16"/>
                <w:szCs w:val="16"/>
                <w:b w:val="1"/>
                <w:bCs w:val="1"/>
                <w:color w:val="auto"/>
              </w:rPr>
              <w:t>2024</w:t>
            </w:r>
          </w:p>
        </w:tc>
        <w:tc>
          <w:tcPr>
            <w:tcW w:w="0" w:type="dxa"/>
            <w:vAlign w:val="bottom"/>
          </w:tcPr>
          <w:p>
            <w:pPr>
              <w:spacing w:after="0"/>
              <w:rPr>
                <w:sz w:val="1"/>
                <w:szCs w:val="1"/>
                <w:color w:val="auto"/>
              </w:rPr>
            </w:pPr>
          </w:p>
        </w:tc>
      </w:tr>
      <w:tr>
        <w:trPr>
          <w:trHeight w:val="260"/>
        </w:trPr>
        <w:tc>
          <w:tcPr>
            <w:tcW w:w="7400" w:type="dxa"/>
            <w:vAlign w:val="bottom"/>
            <w:shd w:val="clear" w:color="auto" w:fill="E5E5E5"/>
          </w:tcPr>
          <w:p>
            <w:pPr>
              <w:spacing w:after="0"/>
              <w:rPr>
                <w:sz w:val="20"/>
                <w:szCs w:val="20"/>
                <w:color w:val="auto"/>
              </w:rPr>
            </w:pPr>
            <w:r>
              <w:rPr>
                <w:rFonts w:ascii="Calibri" w:cs="Calibri" w:eastAsia="Calibri" w:hAnsi="Calibri"/>
                <w:sz w:val="20"/>
                <w:szCs w:val="20"/>
                <w:color w:val="auto"/>
              </w:rPr>
              <w:t>LOQTORZI</w:t>
            </w:r>
          </w:p>
        </w:tc>
        <w:tc>
          <w:tcPr>
            <w:tcW w:w="620" w:type="dxa"/>
            <w:vAlign w:val="bottom"/>
            <w:gridSpan w:val="3"/>
            <w:shd w:val="clear" w:color="auto" w:fill="E5E5E5"/>
          </w:tcPr>
          <w:p>
            <w:pPr>
              <w:jc w:val="right"/>
              <w:ind w:right="280"/>
              <w:spacing w:after="0"/>
              <w:rPr>
                <w:sz w:val="20"/>
                <w:szCs w:val="20"/>
                <w:color w:val="auto"/>
              </w:rPr>
            </w:pPr>
            <w:r>
              <w:rPr>
                <w:rFonts w:ascii="Calibri" w:cs="Calibri" w:eastAsia="Calibri" w:hAnsi="Calibri"/>
                <w:sz w:val="20"/>
                <w:szCs w:val="20"/>
                <w:color w:val="auto"/>
              </w:rPr>
              <w:t>$</w:t>
            </w:r>
          </w:p>
        </w:tc>
        <w:tc>
          <w:tcPr>
            <w:tcW w:w="122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40,836</w:t>
            </w:r>
          </w:p>
        </w:tc>
        <w:tc>
          <w:tcPr>
            <w:tcW w:w="200" w:type="dxa"/>
            <w:vAlign w:val="bottom"/>
            <w:shd w:val="clear" w:color="auto" w:fill="E5E5E5"/>
          </w:tcPr>
          <w:p>
            <w:pPr>
              <w:spacing w:after="0"/>
              <w:rPr>
                <w:sz w:val="22"/>
                <w:szCs w:val="22"/>
                <w:color w:val="auto"/>
              </w:rPr>
            </w:pPr>
          </w:p>
        </w:tc>
        <w:tc>
          <w:tcPr>
            <w:tcW w:w="20" w:type="dxa"/>
            <w:vAlign w:val="bottom"/>
            <w:shd w:val="clear" w:color="auto" w:fill="E5E5E5"/>
          </w:tcPr>
          <w:p>
            <w:pPr>
              <w:spacing w:after="0"/>
              <w:rPr>
                <w:sz w:val="22"/>
                <w:szCs w:val="22"/>
                <w:color w:val="auto"/>
              </w:rPr>
            </w:pPr>
          </w:p>
        </w:tc>
        <w:tc>
          <w:tcPr>
            <w:tcW w:w="400" w:type="dxa"/>
            <w:vAlign w:val="bottom"/>
            <w:shd w:val="clear" w:color="auto" w:fill="E5E5E5"/>
          </w:tcPr>
          <w:p>
            <w:pPr>
              <w:jc w:val="right"/>
              <w:ind w:right="200"/>
              <w:spacing w:after="0"/>
              <w:rPr>
                <w:sz w:val="20"/>
                <w:szCs w:val="20"/>
                <w:color w:val="auto"/>
              </w:rPr>
            </w:pPr>
            <w:r>
              <w:rPr>
                <w:rFonts w:ascii="Calibri" w:cs="Calibri" w:eastAsia="Calibri" w:hAnsi="Calibri"/>
                <w:sz w:val="20"/>
                <w:szCs w:val="20"/>
                <w:color w:val="auto"/>
                <w:w w:val="78"/>
              </w:rPr>
              <w:t>$</w:t>
            </w:r>
          </w:p>
        </w:tc>
        <w:tc>
          <w:tcPr>
            <w:tcW w:w="13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19,131</w:t>
            </w:r>
          </w:p>
        </w:tc>
        <w:tc>
          <w:tcPr>
            <w:tcW w:w="0" w:type="dxa"/>
            <w:vAlign w:val="bottom"/>
          </w:tcPr>
          <w:p>
            <w:pPr>
              <w:spacing w:after="0"/>
              <w:rPr>
                <w:sz w:val="1"/>
                <w:szCs w:val="1"/>
                <w:color w:val="auto"/>
              </w:rPr>
            </w:pPr>
          </w:p>
        </w:tc>
      </w:tr>
      <w:tr>
        <w:trPr>
          <w:trHeight w:val="269"/>
        </w:trPr>
        <w:tc>
          <w:tcPr>
            <w:tcW w:w="7400" w:type="dxa"/>
            <w:vAlign w:val="bottom"/>
            <w:tcBorders>
              <w:bottom w:val="single" w:sz="8" w:color="E5E5E5"/>
            </w:tcBorders>
          </w:tcPr>
          <w:p>
            <w:pPr>
              <w:spacing w:after="0"/>
              <w:rPr>
                <w:sz w:val="20"/>
                <w:szCs w:val="20"/>
                <w:color w:val="auto"/>
              </w:rPr>
            </w:pPr>
            <w:r>
              <w:rPr>
                <w:rFonts w:ascii="Calibri" w:cs="Calibri" w:eastAsia="Calibri" w:hAnsi="Calibri"/>
                <w:sz w:val="20"/>
                <w:szCs w:val="20"/>
                <w:color w:val="auto"/>
              </w:rPr>
              <w:t>Other revenue</w:t>
            </w:r>
          </w:p>
        </w:tc>
        <w:tc>
          <w:tcPr>
            <w:tcW w:w="220" w:type="dxa"/>
            <w:vAlign w:val="bottom"/>
            <w:tcBorders>
              <w:bottom w:val="single" w:sz="8" w:color="E5E5E5"/>
            </w:tcBorders>
          </w:tcPr>
          <w:p>
            <w:pPr>
              <w:spacing w:after="0"/>
              <w:rPr>
                <w:sz w:val="23"/>
                <w:szCs w:val="23"/>
                <w:color w:val="auto"/>
              </w:rPr>
            </w:pPr>
          </w:p>
        </w:tc>
        <w:tc>
          <w:tcPr>
            <w:tcW w:w="20" w:type="dxa"/>
            <w:vAlign w:val="bottom"/>
            <w:tcBorders>
              <w:bottom w:val="single" w:sz="8" w:color="E5E5E5"/>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1,336</w:t>
            </w:r>
          </w:p>
        </w:tc>
        <w:tc>
          <w:tcPr>
            <w:tcW w:w="200" w:type="dxa"/>
            <w:vAlign w:val="bottom"/>
            <w:tcBorders>
              <w:bottom w:val="single" w:sz="8" w:color="E5E5E5"/>
            </w:tcBorders>
          </w:tcPr>
          <w:p>
            <w:pPr>
              <w:spacing w:after="0"/>
              <w:rPr>
                <w:sz w:val="23"/>
                <w:szCs w:val="23"/>
                <w:color w:val="auto"/>
              </w:rPr>
            </w:pPr>
          </w:p>
        </w:tc>
        <w:tc>
          <w:tcPr>
            <w:tcW w:w="20" w:type="dxa"/>
            <w:vAlign w:val="bottom"/>
            <w:tcBorders>
              <w:bottom w:val="single" w:sz="8" w:color="E5E5E5"/>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7,258</w:t>
            </w:r>
          </w:p>
        </w:tc>
        <w:tc>
          <w:tcPr>
            <w:tcW w:w="0" w:type="dxa"/>
            <w:vAlign w:val="bottom"/>
          </w:tcPr>
          <w:p>
            <w:pPr>
              <w:spacing w:after="0"/>
              <w:rPr>
                <w:sz w:val="1"/>
                <w:szCs w:val="1"/>
                <w:color w:val="auto"/>
              </w:rPr>
            </w:pPr>
          </w:p>
        </w:tc>
      </w:tr>
      <w:tr>
        <w:trPr>
          <w:trHeight w:val="270"/>
        </w:trPr>
        <w:tc>
          <w:tcPr>
            <w:tcW w:w="7400" w:type="dxa"/>
            <w:vAlign w:val="bottom"/>
            <w:shd w:val="clear" w:color="auto" w:fill="E5E5E5"/>
          </w:tcPr>
          <w:p>
            <w:pPr>
              <w:ind w:left="140"/>
              <w:spacing w:after="0"/>
              <w:rPr>
                <w:sz w:val="20"/>
                <w:szCs w:val="20"/>
                <w:color w:val="auto"/>
              </w:rPr>
            </w:pPr>
            <w:r>
              <w:rPr>
                <w:rFonts w:ascii="Calibri" w:cs="Calibri" w:eastAsia="Calibri" w:hAnsi="Calibri"/>
                <w:sz w:val="20"/>
                <w:szCs w:val="20"/>
                <w:color w:val="auto"/>
              </w:rPr>
              <w:t>Total net revenue</w:t>
            </w:r>
          </w:p>
        </w:tc>
        <w:tc>
          <w:tcPr>
            <w:tcW w:w="220" w:type="dxa"/>
            <w:vAlign w:val="bottom"/>
            <w:shd w:val="clear" w:color="auto" w:fill="E5E5E5"/>
          </w:tcPr>
          <w:p>
            <w:pPr>
              <w:spacing w:after="0"/>
              <w:rPr>
                <w:sz w:val="23"/>
                <w:szCs w:val="23"/>
                <w:color w:val="auto"/>
              </w:rPr>
            </w:pPr>
          </w:p>
        </w:tc>
        <w:tc>
          <w:tcPr>
            <w:tcW w:w="400" w:type="dxa"/>
            <w:vAlign w:val="bottom"/>
            <w:tcBorders>
              <w:bottom w:val="single" w:sz="8" w:color="auto"/>
            </w:tcBorders>
            <w:gridSpan w:val="2"/>
            <w:shd w:val="clear" w:color="auto" w:fill="E5E5E5"/>
          </w:tcPr>
          <w:p>
            <w:pPr>
              <w:jc w:val="right"/>
              <w:ind w:right="280"/>
              <w:spacing w:after="0"/>
              <w:rPr>
                <w:sz w:val="20"/>
                <w:szCs w:val="20"/>
                <w:color w:val="auto"/>
              </w:rPr>
            </w:pPr>
            <w:r>
              <w:rPr>
                <w:rFonts w:ascii="Calibri" w:cs="Calibri" w:eastAsia="Calibri" w:hAnsi="Calibri"/>
                <w:sz w:val="20"/>
                <w:szCs w:val="20"/>
                <w:color w:val="auto"/>
                <w:w w:val="98"/>
              </w:rPr>
              <w:t>$</w:t>
            </w:r>
          </w:p>
        </w:tc>
        <w:tc>
          <w:tcPr>
            <w:tcW w:w="122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42,172</w:t>
            </w:r>
          </w:p>
        </w:tc>
        <w:tc>
          <w:tcPr>
            <w:tcW w:w="200" w:type="dxa"/>
            <w:vAlign w:val="bottom"/>
            <w:shd w:val="clear" w:color="auto" w:fill="E5E5E5"/>
          </w:tcPr>
          <w:p>
            <w:pPr>
              <w:spacing w:after="0"/>
              <w:rPr>
                <w:sz w:val="23"/>
                <w:szCs w:val="23"/>
                <w:color w:val="auto"/>
              </w:rPr>
            </w:pPr>
          </w:p>
        </w:tc>
        <w:tc>
          <w:tcPr>
            <w:tcW w:w="20" w:type="dxa"/>
            <w:vAlign w:val="bottom"/>
            <w:tcBorders>
              <w:bottom w:val="single" w:sz="8" w:color="auto"/>
            </w:tcBorders>
            <w:shd w:val="clear" w:color="auto" w:fill="E5E5E5"/>
          </w:tcPr>
          <w:p>
            <w:pPr>
              <w:spacing w:after="0"/>
              <w:rPr>
                <w:sz w:val="23"/>
                <w:szCs w:val="23"/>
                <w:color w:val="auto"/>
              </w:rPr>
            </w:pPr>
          </w:p>
        </w:tc>
        <w:tc>
          <w:tcPr>
            <w:tcW w:w="400" w:type="dxa"/>
            <w:vAlign w:val="bottom"/>
            <w:tcBorders>
              <w:bottom w:val="single" w:sz="8" w:color="auto"/>
            </w:tcBorders>
            <w:shd w:val="clear" w:color="auto" w:fill="E5E5E5"/>
          </w:tcPr>
          <w:p>
            <w:pPr>
              <w:jc w:val="right"/>
              <w:ind w:right="200"/>
              <w:spacing w:after="0"/>
              <w:rPr>
                <w:sz w:val="20"/>
                <w:szCs w:val="20"/>
                <w:color w:val="auto"/>
              </w:rPr>
            </w:pPr>
            <w:r>
              <w:rPr>
                <w:rFonts w:ascii="Calibri" w:cs="Calibri" w:eastAsia="Calibri" w:hAnsi="Calibri"/>
                <w:sz w:val="20"/>
                <w:szCs w:val="20"/>
                <w:color w:val="auto"/>
                <w:w w:val="78"/>
              </w:rPr>
              <w:t>$</w:t>
            </w:r>
          </w:p>
        </w:tc>
        <w:tc>
          <w:tcPr>
            <w:tcW w:w="130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26,389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91</w:t>
      </w:r>
    </w:p>
    <w:p>
      <w:pPr>
        <w:sectPr>
          <w:pgSz w:w="12240" w:h="15840" w:orient="portrait"/>
          <w:cols w:equalWidth="0" w:num="1">
            <w:col w:w="11160"/>
          </w:cols>
          <w:pgMar w:left="540" w:top="531" w:right="540" w:bottom="9" w:gutter="0" w:footer="0" w:header="0"/>
          <w:type w:val="continuous"/>
        </w:sectPr>
      </w:pPr>
    </w:p>
    <w:bookmarkStart w:id="93" w:name="page94"/>
    <w:bookmarkEnd w:id="93"/>
    <w:p>
      <w:pPr>
        <w:jc w:val="both"/>
        <w:ind w:firstLine="720"/>
        <w:spacing w:after="0" w:line="262" w:lineRule="auto"/>
        <w:rPr>
          <w:sz w:val="20"/>
          <w:szCs w:val="20"/>
          <w:color w:val="auto"/>
        </w:rPr>
      </w:pPr>
      <w:r>
        <w:rPr>
          <w:rFonts w:ascii="Calibri" w:cs="Calibri" w:eastAsia="Calibri" w:hAnsi="Calibri"/>
          <w:sz w:val="20"/>
          <w:szCs w:val="20"/>
          <w:color w:val="auto"/>
        </w:rPr>
        <w:t>For continuing operations, gross product revenues by significant customer as a percentage of total gross product revenues were as follows:</w:t>
      </w:r>
    </w:p>
    <w:p>
      <w:pPr>
        <w:spacing w:after="0" w:line="145" w:lineRule="exact"/>
        <w:rPr>
          <w:sz w:val="20"/>
          <w:szCs w:val="20"/>
          <w:color w:val="auto"/>
        </w:rPr>
      </w:pPr>
    </w:p>
    <w:p>
      <w:pPr>
        <w:ind w:left="8520"/>
        <w:spacing w:after="0"/>
        <w:rPr>
          <w:sz w:val="20"/>
          <w:szCs w:val="20"/>
          <w:color w:val="auto"/>
        </w:rPr>
      </w:pPr>
      <w:r>
        <w:rPr>
          <w:rFonts w:ascii="Calibri" w:cs="Calibri" w:eastAsia="Calibri" w:hAnsi="Calibri"/>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4836160</wp:posOffset>
                </wp:positionH>
                <wp:positionV relativeFrom="paragraph">
                  <wp:posOffset>12065</wp:posOffset>
                </wp:positionV>
                <wp:extent cx="224536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453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0.8pt,0.95pt" to="557.6pt,0.95pt" o:allowincell="f" strokecolor="#000000" strokeweight="0.4799pt"/>
            </w:pict>
          </mc:Fallback>
        </mc:AlternateConten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20" w:type="dxa"/>
            <w:vAlign w:val="bottom"/>
            <w:tcBorders>
              <w:bottom w:val="single" w:sz="8" w:color="E5E5E5"/>
            </w:tcBorders>
          </w:tcPr>
          <w:p>
            <w:pPr>
              <w:spacing w:after="0"/>
              <w:rPr>
                <w:sz w:val="17"/>
                <w:szCs w:val="17"/>
                <w:color w:val="auto"/>
              </w:rPr>
            </w:pPr>
          </w:p>
        </w:tc>
        <w:tc>
          <w:tcPr>
            <w:tcW w:w="1160" w:type="dxa"/>
            <w:vAlign w:val="bottom"/>
            <w:tcBorders>
              <w:bottom w:val="single" w:sz="8" w:color="auto"/>
            </w:tcBorders>
          </w:tcPr>
          <w:p>
            <w:pPr>
              <w:jc w:val="right"/>
              <w:ind w:right="120"/>
              <w:spacing w:after="0"/>
              <w:rPr>
                <w:sz w:val="20"/>
                <w:szCs w:val="20"/>
                <w:color w:val="auto"/>
              </w:rPr>
            </w:pPr>
            <w:r>
              <w:rPr>
                <w:rFonts w:ascii="Calibri" w:cs="Calibri" w:eastAsia="Calibri" w:hAnsi="Calibri"/>
                <w:sz w:val="16"/>
                <w:szCs w:val="16"/>
                <w:b w:val="1"/>
                <w:bCs w:val="1"/>
                <w:color w:val="auto"/>
              </w:rPr>
              <w:t>2025</w:t>
            </w:r>
          </w:p>
        </w:tc>
        <w:tc>
          <w:tcPr>
            <w:tcW w:w="440" w:type="dxa"/>
            <w:vAlign w:val="bottom"/>
            <w:tcBorders>
              <w:bottom w:val="single" w:sz="8" w:color="auto"/>
            </w:tcBorders>
          </w:tcPr>
          <w:p>
            <w:pPr>
              <w:spacing w:after="0"/>
              <w:rPr>
                <w:sz w:val="17"/>
                <w:szCs w:val="17"/>
                <w:color w:val="auto"/>
              </w:rPr>
            </w:pPr>
          </w:p>
        </w:tc>
        <w:tc>
          <w:tcPr>
            <w:tcW w:w="360" w:type="dxa"/>
            <w:vAlign w:val="bottom"/>
            <w:tcBorders>
              <w:bottom w:val="single" w:sz="8" w:color="E5E5E5"/>
            </w:tcBorders>
          </w:tcPr>
          <w:p>
            <w:pPr>
              <w:spacing w:after="0"/>
              <w:rPr>
                <w:sz w:val="17"/>
                <w:szCs w:val="17"/>
                <w:color w:val="auto"/>
              </w:rPr>
            </w:pPr>
          </w:p>
        </w:tc>
        <w:tc>
          <w:tcPr>
            <w:tcW w:w="1320" w:type="dxa"/>
            <w:vAlign w:val="bottom"/>
            <w:tcBorders>
              <w:bottom w:val="single" w:sz="8" w:color="auto"/>
            </w:tcBorders>
          </w:tcPr>
          <w:p>
            <w:pPr>
              <w:jc w:val="right"/>
              <w:ind w:right="405"/>
              <w:spacing w:after="0"/>
              <w:rPr>
                <w:sz w:val="20"/>
                <w:szCs w:val="20"/>
                <w:color w:val="auto"/>
              </w:rPr>
            </w:pPr>
            <w:r>
              <w:rPr>
                <w:rFonts w:ascii="Calibri" w:cs="Calibri" w:eastAsia="Calibri" w:hAnsi="Calibri"/>
                <w:sz w:val="16"/>
                <w:szCs w:val="16"/>
                <w:b w:val="1"/>
                <w:bCs w:val="1"/>
                <w:color w:val="auto"/>
              </w:rPr>
              <w:t>2024</w:t>
            </w:r>
          </w:p>
        </w:tc>
        <w:tc>
          <w:tcPr>
            <w:tcW w:w="260" w:type="dxa"/>
            <w:vAlign w:val="bottom"/>
            <w:tcBorders>
              <w:bottom w:val="single" w:sz="8" w:color="E5E5E5"/>
            </w:tcBorders>
          </w:tcPr>
          <w:p>
            <w:pPr>
              <w:spacing w:after="0"/>
              <w:rPr>
                <w:sz w:val="17"/>
                <w:szCs w:val="17"/>
                <w:color w:val="auto"/>
              </w:rPr>
            </w:pPr>
          </w:p>
        </w:tc>
      </w:tr>
      <w:tr>
        <w:trPr>
          <w:trHeight w:val="234"/>
        </w:trPr>
        <w:tc>
          <w:tcPr>
            <w:tcW w:w="762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McKesson Corporation</w:t>
            </w:r>
          </w:p>
        </w:tc>
        <w:tc>
          <w:tcPr>
            <w:tcW w:w="1160" w:type="dxa"/>
            <w:vAlign w:val="bottom"/>
            <w:shd w:val="clear" w:color="auto" w:fill="E5E5E5"/>
          </w:tcPr>
          <w:p>
            <w:pPr>
              <w:spacing w:after="0"/>
              <w:rPr>
                <w:sz w:val="20"/>
                <w:szCs w:val="20"/>
                <w:color w:val="auto"/>
              </w:rPr>
            </w:pPr>
          </w:p>
        </w:tc>
        <w:tc>
          <w:tcPr>
            <w:tcW w:w="800" w:type="dxa"/>
            <w:vAlign w:val="bottom"/>
            <w:gridSpan w:val="2"/>
            <w:shd w:val="clear" w:color="auto" w:fill="E5E5E5"/>
          </w:tcPr>
          <w:p>
            <w:pPr>
              <w:jc w:val="right"/>
              <w:ind w:right="200"/>
              <w:spacing w:after="0" w:line="234" w:lineRule="exact"/>
              <w:rPr>
                <w:sz w:val="20"/>
                <w:szCs w:val="20"/>
                <w:color w:val="auto"/>
              </w:rPr>
            </w:pPr>
            <w:r>
              <w:rPr>
                <w:rFonts w:ascii="Calibri" w:cs="Calibri" w:eastAsia="Calibri" w:hAnsi="Calibri"/>
                <w:sz w:val="20"/>
                <w:szCs w:val="20"/>
                <w:color w:val="auto"/>
              </w:rPr>
              <w:t>43 %</w:t>
            </w:r>
          </w:p>
        </w:tc>
        <w:tc>
          <w:tcPr>
            <w:tcW w:w="1580" w:type="dxa"/>
            <w:vAlign w:val="bottom"/>
            <w:gridSpan w:val="2"/>
            <w:shd w:val="clear" w:color="auto" w:fill="E5E5E5"/>
          </w:tcPr>
          <w:p>
            <w:pPr>
              <w:jc w:val="right"/>
              <w:ind w:right="120"/>
              <w:spacing w:after="0" w:line="234" w:lineRule="exact"/>
              <w:rPr>
                <w:sz w:val="20"/>
                <w:szCs w:val="20"/>
                <w:color w:val="auto"/>
              </w:rPr>
            </w:pPr>
            <w:r>
              <w:rPr>
                <w:rFonts w:ascii="Calibri" w:cs="Calibri" w:eastAsia="Calibri" w:hAnsi="Calibri"/>
                <w:sz w:val="20"/>
                <w:szCs w:val="20"/>
                <w:color w:val="auto"/>
              </w:rPr>
              <w:t>43 %</w:t>
            </w:r>
          </w:p>
        </w:tc>
      </w:tr>
      <w:tr>
        <w:trPr>
          <w:trHeight w:val="246"/>
        </w:trPr>
        <w:tc>
          <w:tcPr>
            <w:tcW w:w="8780" w:type="dxa"/>
            <w:vAlign w:val="bottom"/>
            <w:gridSpan w:val="2"/>
          </w:tcPr>
          <w:p>
            <w:pPr>
              <w:spacing w:after="0"/>
              <w:rPr>
                <w:sz w:val="20"/>
                <w:szCs w:val="20"/>
                <w:color w:val="auto"/>
              </w:rPr>
            </w:pPr>
            <w:r>
              <w:rPr>
                <w:rFonts w:ascii="Calibri" w:cs="Calibri" w:eastAsia="Calibri" w:hAnsi="Calibri"/>
                <w:sz w:val="20"/>
                <w:szCs w:val="20"/>
                <w:color w:val="auto"/>
              </w:rPr>
              <w:t>Cencora, Inc.</w:t>
            </w:r>
          </w:p>
        </w:tc>
        <w:tc>
          <w:tcPr>
            <w:tcW w:w="800" w:type="dxa"/>
            <w:vAlign w:val="bottom"/>
            <w:gridSpan w:val="2"/>
          </w:tcPr>
          <w:p>
            <w:pPr>
              <w:jc w:val="right"/>
              <w:ind w:right="200"/>
              <w:spacing w:after="0"/>
              <w:rPr>
                <w:sz w:val="20"/>
                <w:szCs w:val="20"/>
                <w:color w:val="auto"/>
              </w:rPr>
            </w:pPr>
            <w:r>
              <w:rPr>
                <w:rFonts w:ascii="Calibri" w:cs="Calibri" w:eastAsia="Calibri" w:hAnsi="Calibri"/>
                <w:sz w:val="20"/>
                <w:szCs w:val="20"/>
                <w:color w:val="auto"/>
              </w:rPr>
              <w:t>36 %</w:t>
            </w:r>
          </w:p>
        </w:tc>
        <w:tc>
          <w:tcPr>
            <w:tcW w:w="1580" w:type="dxa"/>
            <w:vAlign w:val="bottom"/>
            <w:gridSpan w:val="2"/>
          </w:tcPr>
          <w:p>
            <w:pPr>
              <w:jc w:val="right"/>
              <w:ind w:right="120"/>
              <w:spacing w:after="0"/>
              <w:rPr>
                <w:sz w:val="20"/>
                <w:szCs w:val="20"/>
                <w:color w:val="auto"/>
              </w:rPr>
            </w:pPr>
            <w:r>
              <w:rPr>
                <w:rFonts w:ascii="Calibri" w:cs="Calibri" w:eastAsia="Calibri" w:hAnsi="Calibri"/>
                <w:sz w:val="20"/>
                <w:szCs w:val="20"/>
                <w:color w:val="auto"/>
              </w:rPr>
              <w:t>43 %</w:t>
            </w:r>
          </w:p>
        </w:tc>
      </w:tr>
      <w:tr>
        <w:trPr>
          <w:trHeight w:val="245"/>
        </w:trPr>
        <w:tc>
          <w:tcPr>
            <w:tcW w:w="8780" w:type="dxa"/>
            <w:vAlign w:val="bottom"/>
            <w:gridSpan w:val="2"/>
            <w:shd w:val="clear" w:color="auto" w:fill="E5E5E5"/>
          </w:tcPr>
          <w:p>
            <w:pPr>
              <w:spacing w:after="0"/>
              <w:rPr>
                <w:sz w:val="20"/>
                <w:szCs w:val="20"/>
                <w:color w:val="auto"/>
              </w:rPr>
            </w:pPr>
            <w:r>
              <w:rPr>
                <w:rFonts w:ascii="Calibri" w:cs="Calibri" w:eastAsia="Calibri" w:hAnsi="Calibri"/>
                <w:sz w:val="20"/>
                <w:szCs w:val="20"/>
                <w:color w:val="auto"/>
              </w:rPr>
              <w:t>Cardinal Health, Inc.</w:t>
            </w:r>
          </w:p>
        </w:tc>
        <w:tc>
          <w:tcPr>
            <w:tcW w:w="800" w:type="dxa"/>
            <w:vAlign w:val="bottom"/>
            <w:gridSpan w:val="2"/>
            <w:shd w:val="clear" w:color="auto" w:fill="E5E5E5"/>
          </w:tcPr>
          <w:p>
            <w:pPr>
              <w:jc w:val="right"/>
              <w:ind w:right="200"/>
              <w:spacing w:after="0"/>
              <w:rPr>
                <w:sz w:val="20"/>
                <w:szCs w:val="20"/>
                <w:color w:val="auto"/>
              </w:rPr>
            </w:pPr>
            <w:r>
              <w:rPr>
                <w:rFonts w:ascii="Calibri" w:cs="Calibri" w:eastAsia="Calibri" w:hAnsi="Calibri"/>
                <w:sz w:val="20"/>
                <w:szCs w:val="20"/>
                <w:color w:val="auto"/>
              </w:rPr>
              <w:t>20 %</w:t>
            </w:r>
          </w:p>
        </w:tc>
        <w:tc>
          <w:tcPr>
            <w:tcW w:w="1580" w:type="dxa"/>
            <w:vAlign w:val="bottom"/>
            <w:gridSpan w:val="2"/>
            <w:shd w:val="clear" w:color="auto" w:fill="E5E5E5"/>
          </w:tcPr>
          <w:p>
            <w:pPr>
              <w:jc w:val="right"/>
              <w:ind w:right="120"/>
              <w:spacing w:after="0"/>
              <w:rPr>
                <w:sz w:val="20"/>
                <w:szCs w:val="20"/>
                <w:color w:val="auto"/>
              </w:rPr>
            </w:pPr>
            <w:r>
              <w:rPr>
                <w:rFonts w:ascii="Calibri" w:cs="Calibri" w:eastAsia="Calibri" w:hAnsi="Calibri"/>
                <w:sz w:val="20"/>
                <w:szCs w:val="20"/>
                <w:color w:val="auto"/>
              </w:rPr>
              <w:t>13 %</w:t>
            </w:r>
          </w:p>
        </w:tc>
      </w:tr>
    </w:tbl>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Product Sales Discounts and Allowances</w:t>
      </w:r>
    </w:p>
    <w:p>
      <w:pPr>
        <w:spacing w:after="0" w:line="241"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Chargebacks and discounts for prompt payment are recorded as a reduction in trade receivables, and the rebates, co-pay assistance, returns and other allowances are classified as current liabilities and other liabilities, non-current on the accompanying consolidated balance sheets.</w:t>
      </w:r>
    </w:p>
    <w:p>
      <w:pPr>
        <w:spacing w:after="0" w:line="206"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In connection with the Sale Transactions, the Company did not transfer and has continued to be responsible for liabilities related to sales discounts and allowances incurred for sales to customers that occurred prior to March 1, 2024 for CIMERLI, June 26, 2024 for YUSIMRY and April 11, 2025 for UDENYCA. These obligations, as applicable, have been included in the below table.</w:t>
      </w:r>
    </w:p>
    <w:p>
      <w:pPr>
        <w:spacing w:after="0" w:line="206"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Sales discounts and allowances incurred on behalf of the respective counterparties following the close of the Sale Transactions in accordance with the Company’s Transition Services Agreement (the “CIMERLI TSA”) with Sandoz Inc. (“Sandoz”) for CIMERLI, the Company’s Transition Services Agreement (the “YUSIMRY TSA”) with Hong Kong King-Friend Industrial Company Ltd. (“HKF”) for YUSIMRY and the Company’s Transition Services Agreement with Intas (the “UDENYCA TSA” and, together with the CIMERLI TSA and the YUSIMRY TSA, collectively the “TSA” or the “TSAs”) for UDENYCA are reflected within TSA receivables, net and TSA payables and accrued liabilities in the consolidated balance sheets and have been excluded from the below table (see Note 6. Discontinued Operations).</w:t>
      </w:r>
    </w:p>
    <w:p>
      <w:pPr>
        <w:spacing w:after="0" w:line="216" w:lineRule="exact"/>
        <w:rPr>
          <w:sz w:val="20"/>
          <w:szCs w:val="20"/>
          <w:color w:val="auto"/>
        </w:rPr>
      </w:pPr>
    </w:p>
    <w:p>
      <w:pPr>
        <w:jc w:val="both"/>
        <w:ind w:firstLine="720"/>
        <w:spacing w:after="0" w:line="263" w:lineRule="auto"/>
        <w:rPr>
          <w:sz w:val="20"/>
          <w:szCs w:val="20"/>
          <w:color w:val="auto"/>
        </w:rPr>
      </w:pPr>
      <w:r>
        <w:rPr>
          <w:rFonts w:ascii="Calibri" w:cs="Calibri" w:eastAsia="Calibri" w:hAnsi="Calibri"/>
          <w:sz w:val="20"/>
          <w:szCs w:val="20"/>
          <w:color w:val="auto"/>
        </w:rPr>
        <w:t>The activities and ending reserve balances for each significant category of discounts and allowances that constitute variable consideration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2"/>
          </w:tcPr>
          <w:p>
            <w:pPr>
              <w:jc w:val="center"/>
              <w:ind w:right="500"/>
              <w:spacing w:after="0"/>
              <w:rPr>
                <w:sz w:val="20"/>
                <w:szCs w:val="20"/>
                <w:color w:val="auto"/>
              </w:rPr>
            </w:pPr>
            <w:r>
              <w:rPr>
                <w:rFonts w:ascii="Calibri" w:cs="Calibri" w:eastAsia="Calibri" w:hAnsi="Calibri"/>
                <w:sz w:val="16"/>
                <w:szCs w:val="16"/>
                <w:b w:val="1"/>
                <w:bCs w:val="1"/>
                <w:color w:val="auto"/>
              </w:rPr>
              <w:t>Chargebacks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400"/>
              <w:spacing w:after="0"/>
              <w:rPr>
                <w:sz w:val="20"/>
                <w:szCs w:val="20"/>
                <w:color w:val="auto"/>
              </w:rPr>
            </w:pPr>
            <w:r>
              <w:rPr>
                <w:rFonts w:ascii="Calibri" w:cs="Calibri" w:eastAsia="Calibri" w:hAnsi="Calibri"/>
                <w:sz w:val="16"/>
                <w:szCs w:val="16"/>
                <w:b w:val="1"/>
                <w:bCs w:val="1"/>
                <w:color w:val="auto"/>
                <w:w w:val="99"/>
              </w:rPr>
              <w:t>Other Fees,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tcPr>
          <w:p>
            <w:pPr>
              <w:jc w:val="center"/>
              <w:ind w:right="480"/>
              <w:spacing w:after="0"/>
              <w:rPr>
                <w:sz w:val="20"/>
                <w:szCs w:val="20"/>
                <w:color w:val="auto"/>
              </w:rPr>
            </w:pPr>
            <w:r>
              <w:rPr>
                <w:rFonts w:ascii="Calibri" w:cs="Calibri" w:eastAsia="Calibri" w:hAnsi="Calibri"/>
                <w:sz w:val="16"/>
                <w:szCs w:val="16"/>
                <w:b w:val="1"/>
                <w:bCs w:val="1"/>
                <w:color w:val="auto"/>
              </w:rPr>
              <w:t>and Discounts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center"/>
              <w:ind w:right="420"/>
              <w:spacing w:after="0"/>
              <w:rPr>
                <w:sz w:val="20"/>
                <w:szCs w:val="20"/>
                <w:color w:val="auto"/>
              </w:rPr>
            </w:pPr>
            <w:r>
              <w:rPr>
                <w:rFonts w:ascii="Calibri" w:cs="Calibri" w:eastAsia="Calibri" w:hAnsi="Calibri"/>
                <w:sz w:val="16"/>
                <w:szCs w:val="16"/>
                <w:b w:val="1"/>
                <w:bCs w:val="1"/>
                <w:color w:val="auto"/>
                <w:w w:val="99"/>
              </w:rPr>
              <w:t>Co-pay</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tcPr>
          <w:p>
            <w:pPr>
              <w:jc w:val="center"/>
              <w:ind w:right="500"/>
              <w:spacing w:after="0"/>
              <w:rPr>
                <w:sz w:val="20"/>
                <w:szCs w:val="20"/>
                <w:color w:val="auto"/>
              </w:rPr>
            </w:pPr>
            <w:r>
              <w:rPr>
                <w:rFonts w:ascii="Calibri" w:cs="Calibri" w:eastAsia="Calibri" w:hAnsi="Calibri"/>
                <w:sz w:val="16"/>
                <w:szCs w:val="16"/>
                <w:b w:val="1"/>
                <w:bCs w:val="1"/>
                <w:color w:val="auto"/>
                <w:w w:val="98"/>
              </w:rPr>
              <w:t>for Prompt</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center"/>
              <w:ind w:right="400"/>
              <w:spacing w:after="0"/>
              <w:rPr>
                <w:sz w:val="20"/>
                <w:szCs w:val="20"/>
                <w:color w:val="auto"/>
              </w:rPr>
            </w:pPr>
            <w:r>
              <w:rPr>
                <w:rFonts w:ascii="Calibri" w:cs="Calibri" w:eastAsia="Calibri" w:hAnsi="Calibri"/>
                <w:sz w:val="16"/>
                <w:szCs w:val="16"/>
                <w:b w:val="1"/>
                <w:bCs w:val="1"/>
                <w:color w:val="auto"/>
                <w:w w:val="97"/>
              </w:rPr>
              <w:t>Assistance</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700" w:type="dxa"/>
            <w:vAlign w:val="bottom"/>
            <w:tcBorders>
              <w:bottom w:val="single" w:sz="8" w:color="E5E5E5"/>
            </w:tcBorders>
          </w:tcPr>
          <w:p>
            <w:pPr>
              <w:spacing w:after="0"/>
              <w:rPr>
                <w:sz w:val="20"/>
                <w:szCs w:val="20"/>
                <w:color w:val="auto"/>
              </w:rPr>
            </w:pPr>
            <w:r>
              <w:rPr>
                <w:rFonts w:ascii="Calibri" w:cs="Calibri" w:eastAsia="Calibri" w:hAnsi="Calibri"/>
                <w:sz w:val="16"/>
                <w:szCs w:val="16"/>
                <w:b w:val="1"/>
                <w:bCs w:val="1"/>
                <w:color w:val="auto"/>
              </w:rPr>
              <w:t>(in thousands)</w:t>
            </w: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86"/>
              <w:spacing w:after="0"/>
              <w:rPr>
                <w:sz w:val="20"/>
                <w:szCs w:val="20"/>
                <w:color w:val="auto"/>
              </w:rPr>
            </w:pPr>
            <w:r>
              <w:rPr>
                <w:rFonts w:ascii="Calibri" w:cs="Calibri" w:eastAsia="Calibri" w:hAnsi="Calibri"/>
                <w:sz w:val="16"/>
                <w:szCs w:val="16"/>
                <w:b w:val="1"/>
                <w:bCs w:val="1"/>
                <w:color w:val="auto"/>
                <w:w w:val="97"/>
              </w:rPr>
              <w:t>Payment</w:t>
            </w:r>
          </w:p>
        </w:tc>
        <w:tc>
          <w:tcPr>
            <w:tcW w:w="200" w:type="dxa"/>
            <w:vAlign w:val="bottom"/>
            <w:tcBorders>
              <w:bottom w:val="single" w:sz="8" w:color="E5E5E5"/>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82"/>
              <w:spacing w:after="0"/>
              <w:rPr>
                <w:sz w:val="20"/>
                <w:szCs w:val="20"/>
                <w:color w:val="auto"/>
              </w:rPr>
            </w:pPr>
            <w:r>
              <w:rPr>
                <w:rFonts w:ascii="Calibri" w:cs="Calibri" w:eastAsia="Calibri" w:hAnsi="Calibri"/>
                <w:sz w:val="16"/>
                <w:szCs w:val="16"/>
                <w:b w:val="1"/>
                <w:bCs w:val="1"/>
                <w:color w:val="auto"/>
              </w:rPr>
              <w:t>Rebates</w:t>
            </w:r>
          </w:p>
        </w:tc>
        <w:tc>
          <w:tcPr>
            <w:tcW w:w="220" w:type="dxa"/>
            <w:vAlign w:val="bottom"/>
            <w:tcBorders>
              <w:bottom w:val="single" w:sz="8" w:color="E5E5E5"/>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86"/>
              <w:spacing w:after="0"/>
              <w:rPr>
                <w:sz w:val="20"/>
                <w:szCs w:val="20"/>
                <w:color w:val="auto"/>
              </w:rPr>
            </w:pPr>
            <w:r>
              <w:rPr>
                <w:rFonts w:ascii="Calibri" w:cs="Calibri" w:eastAsia="Calibri" w:hAnsi="Calibri"/>
                <w:sz w:val="16"/>
                <w:szCs w:val="16"/>
                <w:b w:val="1"/>
                <w:bCs w:val="1"/>
                <w:color w:val="auto"/>
                <w:w w:val="99"/>
              </w:rPr>
              <w:t>and Returns</w:t>
            </w:r>
          </w:p>
        </w:tc>
        <w:tc>
          <w:tcPr>
            <w:tcW w:w="220" w:type="dxa"/>
            <w:vAlign w:val="bottom"/>
            <w:tcBorders>
              <w:bottom w:val="single" w:sz="8" w:color="E5E5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02"/>
              <w:spacing w:after="0"/>
              <w:rPr>
                <w:sz w:val="20"/>
                <w:szCs w:val="20"/>
                <w:color w:val="auto"/>
              </w:rPr>
            </w:pPr>
            <w:r>
              <w:rPr>
                <w:rFonts w:ascii="Calibri" w:cs="Calibri" w:eastAsia="Calibri" w:hAnsi="Calibri"/>
                <w:sz w:val="16"/>
                <w:szCs w:val="16"/>
                <w:b w:val="1"/>
                <w:bCs w:val="1"/>
                <w:color w:val="auto"/>
              </w:rPr>
              <w:t>Total</w:t>
            </w:r>
          </w:p>
        </w:tc>
        <w:tc>
          <w:tcPr>
            <w:tcW w:w="0" w:type="dxa"/>
            <w:vAlign w:val="bottom"/>
          </w:tcPr>
          <w:p>
            <w:pPr>
              <w:spacing w:after="0"/>
              <w:rPr>
                <w:sz w:val="1"/>
                <w:szCs w:val="1"/>
                <w:color w:val="auto"/>
              </w:rPr>
            </w:pPr>
          </w:p>
        </w:tc>
      </w:tr>
      <w:tr>
        <w:trPr>
          <w:trHeight w:val="234"/>
        </w:trPr>
        <w:tc>
          <w:tcPr>
            <w:tcW w:w="4700" w:type="dxa"/>
            <w:vAlign w:val="bottom"/>
            <w:tcBorders>
              <w:right w:val="single" w:sz="8" w:color="E5E5E5"/>
            </w:tcBorders>
            <w:shd w:val="clear" w:color="auto" w:fill="E5E5E5"/>
          </w:tcPr>
          <w:p>
            <w:pPr>
              <w:spacing w:after="0" w:line="234" w:lineRule="exact"/>
              <w:rPr>
                <w:sz w:val="20"/>
                <w:szCs w:val="20"/>
                <w:color w:val="auto"/>
              </w:rPr>
            </w:pPr>
            <w:r>
              <w:rPr>
                <w:rFonts w:ascii="Calibri" w:cs="Calibri" w:eastAsia="Calibri" w:hAnsi="Calibri"/>
                <w:sz w:val="20"/>
                <w:szCs w:val="20"/>
                <w:color w:val="auto"/>
              </w:rPr>
              <w:t>Balances at December 31, 2023</w:t>
            </w:r>
          </w:p>
        </w:tc>
        <w:tc>
          <w:tcPr>
            <w:tcW w:w="280" w:type="dxa"/>
            <w:vAlign w:val="bottom"/>
            <w:shd w:val="clear" w:color="auto" w:fill="E5E5E5"/>
          </w:tcPr>
          <w:p>
            <w:pPr>
              <w:jc w:val="right"/>
              <w:ind w:right="80"/>
              <w:spacing w:after="0" w:line="234" w:lineRule="exact"/>
              <w:rPr>
                <w:sz w:val="20"/>
                <w:szCs w:val="20"/>
                <w:color w:val="auto"/>
              </w:rPr>
            </w:pPr>
            <w:r>
              <w:rPr>
                <w:rFonts w:ascii="Calibri" w:cs="Calibri" w:eastAsia="Calibri" w:hAnsi="Calibri"/>
                <w:sz w:val="20"/>
                <w:szCs w:val="20"/>
                <w:color w:val="auto"/>
                <w:w w:val="78"/>
              </w:rPr>
              <w:t>$</w:t>
            </w:r>
          </w:p>
        </w:tc>
        <w:tc>
          <w:tcPr>
            <w:tcW w:w="158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73,953</w:t>
            </w:r>
          </w:p>
        </w:tc>
        <w:tc>
          <w:tcPr>
            <w:tcW w:w="200" w:type="dxa"/>
            <w:vAlign w:val="bottom"/>
            <w:tcBorders>
              <w:right w:val="single" w:sz="8" w:color="E5E5E5"/>
            </w:tcBorders>
            <w:shd w:val="clear" w:color="auto" w:fill="E5E5E5"/>
          </w:tcPr>
          <w:p>
            <w:pPr>
              <w:spacing w:after="0"/>
              <w:rPr>
                <w:sz w:val="20"/>
                <w:szCs w:val="20"/>
                <w:color w:val="auto"/>
              </w:rPr>
            </w:pPr>
          </w:p>
        </w:tc>
        <w:tc>
          <w:tcPr>
            <w:tcW w:w="260" w:type="dxa"/>
            <w:vAlign w:val="bottom"/>
            <w:shd w:val="clear" w:color="auto" w:fill="E5E5E5"/>
          </w:tcPr>
          <w:p>
            <w:pPr>
              <w:jc w:val="right"/>
              <w:ind w:right="60"/>
              <w:spacing w:after="0" w:line="234" w:lineRule="exact"/>
              <w:rPr>
                <w:sz w:val="20"/>
                <w:szCs w:val="20"/>
                <w:color w:val="auto"/>
              </w:rPr>
            </w:pPr>
            <w:r>
              <w:rPr>
                <w:rFonts w:ascii="Calibri" w:cs="Calibri" w:eastAsia="Calibri" w:hAnsi="Calibri"/>
                <w:sz w:val="20"/>
                <w:szCs w:val="20"/>
                <w:color w:val="auto"/>
                <w:w w:val="78"/>
              </w:rPr>
              <w:t>$</w:t>
            </w:r>
          </w:p>
        </w:tc>
        <w:tc>
          <w:tcPr>
            <w:tcW w:w="106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121,137</w:t>
            </w:r>
          </w:p>
        </w:tc>
        <w:tc>
          <w:tcPr>
            <w:tcW w:w="220" w:type="dxa"/>
            <w:vAlign w:val="bottom"/>
            <w:tcBorders>
              <w:right w:val="single" w:sz="8" w:color="E5E5E5"/>
            </w:tcBorders>
            <w:shd w:val="clear" w:color="auto" w:fill="E5E5E5"/>
          </w:tcPr>
          <w:p>
            <w:pPr>
              <w:spacing w:after="0"/>
              <w:rPr>
                <w:sz w:val="20"/>
                <w:szCs w:val="20"/>
                <w:color w:val="auto"/>
              </w:rPr>
            </w:pPr>
          </w:p>
        </w:tc>
        <w:tc>
          <w:tcPr>
            <w:tcW w:w="18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114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49,795</w:t>
            </w:r>
          </w:p>
        </w:tc>
        <w:tc>
          <w:tcPr>
            <w:tcW w:w="220" w:type="dxa"/>
            <w:vAlign w:val="bottom"/>
            <w:tcBorders>
              <w:right w:val="single" w:sz="8" w:color="E5E5E5"/>
            </w:tcBorders>
            <w:shd w:val="clear" w:color="auto" w:fill="E5E5E5"/>
          </w:tcPr>
          <w:p>
            <w:pPr>
              <w:spacing w:after="0"/>
              <w:rPr>
                <w:sz w:val="20"/>
                <w:szCs w:val="20"/>
                <w:color w:val="auto"/>
              </w:rPr>
            </w:pPr>
          </w:p>
        </w:tc>
        <w:tc>
          <w:tcPr>
            <w:tcW w:w="240" w:type="dxa"/>
            <w:vAlign w:val="bottom"/>
            <w:shd w:val="clear" w:color="auto" w:fill="E5E5E5"/>
          </w:tcPr>
          <w:p>
            <w:pPr>
              <w:jc w:val="right"/>
              <w:ind w:right="40"/>
              <w:spacing w:after="0" w:line="234" w:lineRule="exact"/>
              <w:rPr>
                <w:sz w:val="20"/>
                <w:szCs w:val="20"/>
                <w:color w:val="auto"/>
              </w:rPr>
            </w:pPr>
            <w:r>
              <w:rPr>
                <w:rFonts w:ascii="Calibri" w:cs="Calibri" w:eastAsia="Calibri" w:hAnsi="Calibri"/>
                <w:sz w:val="20"/>
                <w:szCs w:val="20"/>
                <w:color w:val="auto"/>
                <w:w w:val="78"/>
              </w:rPr>
              <w:t>$</w:t>
            </w:r>
          </w:p>
        </w:tc>
        <w:tc>
          <w:tcPr>
            <w:tcW w:w="108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244,885</w:t>
            </w:r>
          </w:p>
        </w:tc>
        <w:tc>
          <w:tcPr>
            <w:tcW w:w="0" w:type="dxa"/>
            <w:vAlign w:val="bottom"/>
          </w:tcPr>
          <w:p>
            <w:pPr>
              <w:spacing w:after="0"/>
              <w:rPr>
                <w:sz w:val="1"/>
                <w:szCs w:val="1"/>
                <w:color w:val="auto"/>
              </w:rPr>
            </w:pPr>
          </w:p>
        </w:tc>
      </w:tr>
      <w:tr>
        <w:trPr>
          <w:trHeight w:val="270"/>
        </w:trPr>
        <w:tc>
          <w:tcPr>
            <w:tcW w:w="4700" w:type="dxa"/>
            <w:vAlign w:val="bottom"/>
          </w:tcPr>
          <w:p>
            <w:pPr>
              <w:ind w:left="120"/>
              <w:spacing w:after="0"/>
              <w:rPr>
                <w:sz w:val="20"/>
                <w:szCs w:val="20"/>
                <w:color w:val="auto"/>
              </w:rPr>
            </w:pPr>
            <w:r>
              <w:rPr>
                <w:rFonts w:ascii="Calibri" w:cs="Calibri" w:eastAsia="Calibri" w:hAnsi="Calibri"/>
                <w:sz w:val="20"/>
                <w:szCs w:val="20"/>
                <w:color w:val="auto"/>
              </w:rPr>
              <w:t>Provision related to sales made in:</w:t>
            </w:r>
          </w:p>
        </w:tc>
        <w:tc>
          <w:tcPr>
            <w:tcW w:w="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700" w:type="dxa"/>
            <w:vAlign w:val="bottom"/>
            <w:tcBorders>
              <w:right w:val="single" w:sz="8" w:color="E5E5E5"/>
            </w:tcBorders>
            <w:shd w:val="clear" w:color="auto" w:fill="E5E5E5"/>
          </w:tcPr>
          <w:p>
            <w:pPr>
              <w:ind w:left="300"/>
              <w:spacing w:after="0"/>
              <w:rPr>
                <w:sz w:val="20"/>
                <w:szCs w:val="20"/>
                <w:color w:val="auto"/>
              </w:rPr>
            </w:pPr>
            <w:r>
              <w:rPr>
                <w:rFonts w:ascii="Calibri" w:cs="Calibri" w:eastAsia="Calibri" w:hAnsi="Calibri"/>
                <w:sz w:val="20"/>
                <w:szCs w:val="20"/>
                <w:color w:val="auto"/>
              </w:rPr>
              <w:t>Current year</w:t>
            </w:r>
          </w:p>
        </w:tc>
        <w:tc>
          <w:tcPr>
            <w:tcW w:w="280" w:type="dxa"/>
            <w:vAlign w:val="bottom"/>
            <w:shd w:val="clear" w:color="auto" w:fill="E5E5E5"/>
          </w:tcPr>
          <w:p>
            <w:pPr>
              <w:spacing w:after="0"/>
              <w:rPr>
                <w:sz w:val="21"/>
                <w:szCs w:val="21"/>
                <w:color w:val="auto"/>
              </w:rPr>
            </w:pPr>
          </w:p>
        </w:tc>
        <w:tc>
          <w:tcPr>
            <w:tcW w:w="15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912,079</w:t>
            </w:r>
          </w:p>
        </w:tc>
        <w:tc>
          <w:tcPr>
            <w:tcW w:w="200" w:type="dxa"/>
            <w:vAlign w:val="bottom"/>
            <w:tcBorders>
              <w:right w:val="single" w:sz="8" w:color="E5E5E5"/>
            </w:tcBorders>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0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189,309</w:t>
            </w:r>
          </w:p>
        </w:tc>
        <w:tc>
          <w:tcPr>
            <w:tcW w:w="220" w:type="dxa"/>
            <w:vAlign w:val="bottom"/>
            <w:tcBorders>
              <w:right w:val="single" w:sz="8" w:color="E5E5E5"/>
            </w:tcBorders>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11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145,533</w:t>
            </w:r>
          </w:p>
        </w:tc>
        <w:tc>
          <w:tcPr>
            <w:tcW w:w="220" w:type="dxa"/>
            <w:vAlign w:val="bottom"/>
            <w:tcBorders>
              <w:right w:val="single" w:sz="8" w:color="E5E5E5"/>
            </w:tcBorders>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10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1,246,921</w:t>
            </w:r>
          </w:p>
        </w:tc>
        <w:tc>
          <w:tcPr>
            <w:tcW w:w="0" w:type="dxa"/>
            <w:vAlign w:val="bottom"/>
          </w:tcPr>
          <w:p>
            <w:pPr>
              <w:spacing w:after="0"/>
              <w:rPr>
                <w:sz w:val="1"/>
                <w:szCs w:val="1"/>
                <w:color w:val="auto"/>
              </w:rPr>
            </w:pPr>
          </w:p>
        </w:tc>
      </w:tr>
      <w:tr>
        <w:trPr>
          <w:trHeight w:val="246"/>
        </w:trPr>
        <w:tc>
          <w:tcPr>
            <w:tcW w:w="4700" w:type="dxa"/>
            <w:vAlign w:val="bottom"/>
          </w:tcPr>
          <w:p>
            <w:pPr>
              <w:ind w:left="300"/>
              <w:spacing w:after="0"/>
              <w:rPr>
                <w:sz w:val="20"/>
                <w:szCs w:val="20"/>
                <w:color w:val="auto"/>
              </w:rPr>
            </w:pPr>
            <w:r>
              <w:rPr>
                <w:rFonts w:ascii="Calibri" w:cs="Calibri" w:eastAsia="Calibri" w:hAnsi="Calibri"/>
                <w:sz w:val="20"/>
                <w:szCs w:val="20"/>
                <w:color w:val="auto"/>
              </w:rPr>
              <w:t>Prior years - increase (decrease)</w:t>
            </w:r>
          </w:p>
        </w:tc>
        <w:tc>
          <w:tcPr>
            <w:tcW w:w="280" w:type="dxa"/>
            <w:vAlign w:val="bottom"/>
          </w:tcPr>
          <w:p>
            <w:pPr>
              <w:spacing w:after="0"/>
              <w:rPr>
                <w:sz w:val="21"/>
                <w:szCs w:val="21"/>
                <w:color w:val="auto"/>
              </w:rPr>
            </w:pPr>
          </w:p>
        </w:tc>
        <w:tc>
          <w:tcPr>
            <w:tcW w:w="1780" w:type="dxa"/>
            <w:vAlign w:val="bottom"/>
            <w:gridSpan w:val="2"/>
          </w:tcPr>
          <w:p>
            <w:pPr>
              <w:jc w:val="right"/>
              <w:ind w:right="200"/>
              <w:spacing w:after="0"/>
              <w:rPr>
                <w:sz w:val="20"/>
                <w:szCs w:val="20"/>
                <w:color w:val="auto"/>
              </w:rPr>
            </w:pPr>
            <w:r>
              <w:rPr>
                <w:rFonts w:ascii="Calibri" w:cs="Calibri" w:eastAsia="Calibri" w:hAnsi="Calibri"/>
                <w:sz w:val="20"/>
                <w:szCs w:val="20"/>
                <w:color w:val="auto"/>
              </w:rPr>
              <w:t>(990)</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color w:val="auto"/>
              </w:rPr>
              <w:t>7,391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Calibri" w:cs="Calibri" w:eastAsia="Calibri" w:hAnsi="Calibri"/>
                <w:sz w:val="20"/>
                <w:szCs w:val="20"/>
                <w:color w:val="auto"/>
              </w:rPr>
              <w:t>(2,571)</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color w:val="auto"/>
              </w:rPr>
              <w:t>3,830</w:t>
            </w:r>
          </w:p>
        </w:tc>
        <w:tc>
          <w:tcPr>
            <w:tcW w:w="0" w:type="dxa"/>
            <w:vAlign w:val="bottom"/>
          </w:tcPr>
          <w:p>
            <w:pPr>
              <w:spacing w:after="0"/>
              <w:rPr>
                <w:sz w:val="1"/>
                <w:szCs w:val="1"/>
                <w:color w:val="auto"/>
              </w:rPr>
            </w:pPr>
          </w:p>
        </w:tc>
      </w:tr>
      <w:tr>
        <w:trPr>
          <w:trHeight w:val="245"/>
        </w:trPr>
        <w:tc>
          <w:tcPr>
            <w:tcW w:w="4700" w:type="dxa"/>
            <w:vAlign w:val="bottom"/>
            <w:tcBorders>
              <w:right w:val="single" w:sz="8" w:color="E5E5E5"/>
            </w:tcBorders>
            <w:shd w:val="clear" w:color="auto" w:fill="E5E5E5"/>
          </w:tcPr>
          <w:p>
            <w:pPr>
              <w:ind w:left="120"/>
              <w:spacing w:after="0"/>
              <w:rPr>
                <w:sz w:val="20"/>
                <w:szCs w:val="20"/>
                <w:color w:val="auto"/>
              </w:rPr>
            </w:pPr>
            <w:r>
              <w:rPr>
                <w:rFonts w:ascii="Calibri" w:cs="Calibri" w:eastAsia="Calibri" w:hAnsi="Calibri"/>
                <w:sz w:val="20"/>
                <w:szCs w:val="20"/>
                <w:color w:val="auto"/>
              </w:rPr>
              <w:t>Payments and customer credits issued</w:t>
            </w:r>
          </w:p>
        </w:tc>
        <w:tc>
          <w:tcPr>
            <w:tcW w:w="280" w:type="dxa"/>
            <w:vAlign w:val="bottom"/>
            <w:shd w:val="clear" w:color="auto" w:fill="E5E5E5"/>
          </w:tcPr>
          <w:p>
            <w:pPr>
              <w:spacing w:after="0"/>
              <w:rPr>
                <w:sz w:val="21"/>
                <w:szCs w:val="21"/>
                <w:color w:val="auto"/>
              </w:rPr>
            </w:pPr>
          </w:p>
        </w:tc>
        <w:tc>
          <w:tcPr>
            <w:tcW w:w="1780" w:type="dxa"/>
            <w:vAlign w:val="bottom"/>
            <w:tcBorders>
              <w:right w:val="single" w:sz="8" w:color="E5E5E5"/>
            </w:tcBorders>
            <w:gridSpan w:val="2"/>
            <w:shd w:val="clear" w:color="auto" w:fill="E5E5E5"/>
          </w:tcPr>
          <w:p>
            <w:pPr>
              <w:jc w:val="right"/>
              <w:ind w:right="200"/>
              <w:spacing w:after="0"/>
              <w:rPr>
                <w:sz w:val="20"/>
                <w:szCs w:val="20"/>
                <w:color w:val="auto"/>
              </w:rPr>
            </w:pPr>
            <w:r>
              <w:rPr>
                <w:rFonts w:ascii="Calibri" w:cs="Calibri" w:eastAsia="Calibri" w:hAnsi="Calibri"/>
                <w:sz w:val="20"/>
                <w:szCs w:val="20"/>
                <w:color w:val="auto"/>
              </w:rPr>
              <w:t>(874,264)</w:t>
            </w:r>
          </w:p>
        </w:tc>
        <w:tc>
          <w:tcPr>
            <w:tcW w:w="260" w:type="dxa"/>
            <w:vAlign w:val="bottom"/>
            <w:shd w:val="clear" w:color="auto" w:fill="E5E5E5"/>
          </w:tcPr>
          <w:p>
            <w:pPr>
              <w:spacing w:after="0"/>
              <w:rPr>
                <w:sz w:val="21"/>
                <w:szCs w:val="21"/>
                <w:color w:val="auto"/>
              </w:rPr>
            </w:pPr>
          </w:p>
        </w:tc>
        <w:tc>
          <w:tcPr>
            <w:tcW w:w="10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(194,099)</w:t>
            </w:r>
          </w:p>
        </w:tc>
        <w:tc>
          <w:tcPr>
            <w:tcW w:w="220" w:type="dxa"/>
            <w:vAlign w:val="bottom"/>
            <w:tcBorders>
              <w:right w:val="single" w:sz="8" w:color="E5E5E5"/>
            </w:tcBorders>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1360" w:type="dxa"/>
            <w:vAlign w:val="bottom"/>
            <w:tcBorders>
              <w:right w:val="single" w:sz="8" w:color="E5E5E5"/>
            </w:tcBorders>
            <w:gridSpan w:val="2"/>
            <w:shd w:val="clear" w:color="auto" w:fill="E5E5E5"/>
          </w:tcPr>
          <w:p>
            <w:pPr>
              <w:jc w:val="right"/>
              <w:ind w:right="220"/>
              <w:spacing w:after="0"/>
              <w:rPr>
                <w:sz w:val="20"/>
                <w:szCs w:val="20"/>
                <w:color w:val="auto"/>
              </w:rPr>
            </w:pPr>
            <w:r>
              <w:rPr>
                <w:rFonts w:ascii="Calibri" w:cs="Calibri" w:eastAsia="Calibri" w:hAnsi="Calibri"/>
                <w:sz w:val="20"/>
                <w:szCs w:val="20"/>
                <w:color w:val="auto"/>
              </w:rPr>
              <w:t>(151,628)</w:t>
            </w:r>
          </w:p>
        </w:tc>
        <w:tc>
          <w:tcPr>
            <w:tcW w:w="240" w:type="dxa"/>
            <w:vAlign w:val="bottom"/>
            <w:shd w:val="clear" w:color="auto" w:fill="E5E5E5"/>
          </w:tcPr>
          <w:p>
            <w:pPr>
              <w:spacing w:after="0"/>
              <w:rPr>
                <w:sz w:val="21"/>
                <w:szCs w:val="21"/>
                <w:color w:val="auto"/>
              </w:rPr>
            </w:pPr>
          </w:p>
        </w:tc>
        <w:tc>
          <w:tcPr>
            <w:tcW w:w="10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(1,219,991)</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E5E5E5"/>
            </w:tcBorders>
          </w:tcPr>
          <w:p>
            <w:pPr>
              <w:spacing w:after="0" w:line="235" w:lineRule="exact"/>
              <w:rPr>
                <w:sz w:val="20"/>
                <w:szCs w:val="20"/>
                <w:color w:val="auto"/>
              </w:rPr>
            </w:pPr>
            <w:r>
              <w:rPr>
                <w:rFonts w:ascii="Calibri" w:cs="Calibri" w:eastAsia="Calibri" w:hAnsi="Calibri"/>
                <w:sz w:val="20"/>
                <w:szCs w:val="20"/>
                <w:color w:val="auto"/>
              </w:rPr>
              <w:t>Balances at December 31, 2024</w:t>
            </w:r>
          </w:p>
        </w:tc>
        <w:tc>
          <w:tcPr>
            <w:tcW w:w="28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spacing w:after="0" w:line="235" w:lineRule="exact"/>
              <w:rPr>
                <w:sz w:val="20"/>
                <w:szCs w:val="20"/>
                <w:color w:val="auto"/>
              </w:rPr>
            </w:pPr>
            <w:r>
              <w:rPr>
                <w:rFonts w:ascii="Calibri" w:cs="Calibri" w:eastAsia="Calibri" w:hAnsi="Calibri"/>
                <w:sz w:val="20"/>
                <w:szCs w:val="20"/>
                <w:color w:val="auto"/>
              </w:rPr>
              <w:t>110,778</w:t>
            </w:r>
          </w:p>
        </w:tc>
        <w:tc>
          <w:tcPr>
            <w:tcW w:w="200" w:type="dxa"/>
            <w:vAlign w:val="bottom"/>
            <w:tcBorders>
              <w:bottom w:val="single" w:sz="8" w:color="E5E5E5"/>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line="235" w:lineRule="exact"/>
              <w:rPr>
                <w:sz w:val="20"/>
                <w:szCs w:val="20"/>
                <w:color w:val="auto"/>
              </w:rPr>
            </w:pPr>
            <w:r>
              <w:rPr>
                <w:rFonts w:ascii="Calibri" w:cs="Calibri" w:eastAsia="Calibri" w:hAnsi="Calibri"/>
                <w:sz w:val="20"/>
                <w:szCs w:val="20"/>
                <w:color w:val="auto"/>
              </w:rPr>
              <w:t>123,738</w:t>
            </w:r>
          </w:p>
        </w:tc>
        <w:tc>
          <w:tcPr>
            <w:tcW w:w="220" w:type="dxa"/>
            <w:vAlign w:val="bottom"/>
            <w:tcBorders>
              <w:bottom w:val="single" w:sz="8" w:color="E5E5E5"/>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line="235" w:lineRule="exact"/>
              <w:rPr>
                <w:sz w:val="20"/>
                <w:szCs w:val="20"/>
                <w:color w:val="auto"/>
              </w:rPr>
            </w:pPr>
            <w:r>
              <w:rPr>
                <w:rFonts w:ascii="Calibri" w:cs="Calibri" w:eastAsia="Calibri" w:hAnsi="Calibri"/>
                <w:sz w:val="20"/>
                <w:szCs w:val="20"/>
                <w:color w:val="auto"/>
              </w:rPr>
              <w:t>41,129</w:t>
            </w:r>
          </w:p>
        </w:tc>
        <w:tc>
          <w:tcPr>
            <w:tcW w:w="220" w:type="dxa"/>
            <w:vAlign w:val="bottom"/>
            <w:tcBorders>
              <w:bottom w:val="single" w:sz="8" w:color="E5E5E5"/>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line="235" w:lineRule="exact"/>
              <w:rPr>
                <w:sz w:val="20"/>
                <w:szCs w:val="20"/>
                <w:color w:val="auto"/>
              </w:rPr>
            </w:pPr>
            <w:r>
              <w:rPr>
                <w:rFonts w:ascii="Calibri" w:cs="Calibri" w:eastAsia="Calibri" w:hAnsi="Calibri"/>
                <w:sz w:val="20"/>
                <w:szCs w:val="20"/>
                <w:color w:val="auto"/>
              </w:rPr>
              <w:t>275,645</w:t>
            </w:r>
          </w:p>
        </w:tc>
        <w:tc>
          <w:tcPr>
            <w:tcW w:w="0" w:type="dxa"/>
            <w:vAlign w:val="bottom"/>
          </w:tcPr>
          <w:p>
            <w:pPr>
              <w:spacing w:after="0"/>
              <w:rPr>
                <w:sz w:val="1"/>
                <w:szCs w:val="1"/>
                <w:color w:val="auto"/>
              </w:rPr>
            </w:pPr>
          </w:p>
        </w:tc>
      </w:tr>
      <w:tr>
        <w:trPr>
          <w:trHeight w:val="234"/>
        </w:trPr>
        <w:tc>
          <w:tcPr>
            <w:tcW w:w="4700" w:type="dxa"/>
            <w:vAlign w:val="bottom"/>
            <w:tcBorders>
              <w:right w:val="single" w:sz="8" w:color="E5E5E5"/>
            </w:tcBorders>
            <w:shd w:val="clear" w:color="auto" w:fill="E5E5E5"/>
          </w:tcPr>
          <w:p>
            <w:pPr>
              <w:ind w:left="120"/>
              <w:spacing w:after="0" w:line="234" w:lineRule="exact"/>
              <w:rPr>
                <w:sz w:val="20"/>
                <w:szCs w:val="20"/>
                <w:color w:val="auto"/>
              </w:rPr>
            </w:pPr>
            <w:r>
              <w:rPr>
                <w:rFonts w:ascii="Calibri" w:cs="Calibri" w:eastAsia="Calibri" w:hAnsi="Calibri"/>
                <w:sz w:val="20"/>
                <w:szCs w:val="20"/>
                <w:color w:val="auto"/>
              </w:rPr>
              <w:t>Provision related to sales made in:</w:t>
            </w:r>
          </w:p>
        </w:tc>
        <w:tc>
          <w:tcPr>
            <w:tcW w:w="280" w:type="dxa"/>
            <w:vAlign w:val="bottom"/>
            <w:shd w:val="clear" w:color="auto" w:fill="E5E5E5"/>
          </w:tcPr>
          <w:p>
            <w:pPr>
              <w:spacing w:after="0"/>
              <w:rPr>
                <w:sz w:val="20"/>
                <w:szCs w:val="20"/>
                <w:color w:val="auto"/>
              </w:rPr>
            </w:pPr>
          </w:p>
        </w:tc>
        <w:tc>
          <w:tcPr>
            <w:tcW w:w="1580" w:type="dxa"/>
            <w:vAlign w:val="bottom"/>
            <w:shd w:val="clear" w:color="auto" w:fill="E5E5E5"/>
          </w:tcPr>
          <w:p>
            <w:pPr>
              <w:spacing w:after="0"/>
              <w:rPr>
                <w:sz w:val="20"/>
                <w:szCs w:val="20"/>
                <w:color w:val="auto"/>
              </w:rPr>
            </w:pPr>
          </w:p>
        </w:tc>
        <w:tc>
          <w:tcPr>
            <w:tcW w:w="200" w:type="dxa"/>
            <w:vAlign w:val="bottom"/>
            <w:tcBorders>
              <w:right w:val="single" w:sz="8" w:color="E5E5E5"/>
            </w:tcBorders>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1060" w:type="dxa"/>
            <w:vAlign w:val="bottom"/>
            <w:shd w:val="clear" w:color="auto" w:fill="E5E5E5"/>
          </w:tcPr>
          <w:p>
            <w:pPr>
              <w:spacing w:after="0"/>
              <w:rPr>
                <w:sz w:val="20"/>
                <w:szCs w:val="20"/>
                <w:color w:val="auto"/>
              </w:rPr>
            </w:pPr>
          </w:p>
        </w:tc>
        <w:tc>
          <w:tcPr>
            <w:tcW w:w="220" w:type="dxa"/>
            <w:vAlign w:val="bottom"/>
            <w:tcBorders>
              <w:right w:val="single" w:sz="8" w:color="E5E5E5"/>
            </w:tcBorders>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1140" w:type="dxa"/>
            <w:vAlign w:val="bottom"/>
            <w:shd w:val="clear" w:color="auto" w:fill="E5E5E5"/>
          </w:tcPr>
          <w:p>
            <w:pPr>
              <w:spacing w:after="0"/>
              <w:rPr>
                <w:sz w:val="20"/>
                <w:szCs w:val="20"/>
                <w:color w:val="auto"/>
              </w:rPr>
            </w:pPr>
          </w:p>
        </w:tc>
        <w:tc>
          <w:tcPr>
            <w:tcW w:w="220" w:type="dxa"/>
            <w:vAlign w:val="bottom"/>
            <w:tcBorders>
              <w:right w:val="single" w:sz="8" w:color="E5E5E5"/>
            </w:tcBorders>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108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00" w:type="dxa"/>
            <w:vAlign w:val="bottom"/>
          </w:tcPr>
          <w:p>
            <w:pPr>
              <w:ind w:left="300"/>
              <w:spacing w:after="0"/>
              <w:rPr>
                <w:sz w:val="20"/>
                <w:szCs w:val="20"/>
                <w:color w:val="auto"/>
              </w:rPr>
            </w:pPr>
            <w:r>
              <w:rPr>
                <w:rFonts w:ascii="Calibri" w:cs="Calibri" w:eastAsia="Calibri" w:hAnsi="Calibri"/>
                <w:sz w:val="20"/>
                <w:szCs w:val="20"/>
                <w:color w:val="auto"/>
              </w:rPr>
              <w:t>Current year</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Calibri" w:cs="Calibri" w:eastAsia="Calibri" w:hAnsi="Calibri"/>
                <w:sz w:val="20"/>
                <w:szCs w:val="20"/>
                <w:color w:val="auto"/>
              </w:rPr>
              <w:t>196,003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color w:val="auto"/>
              </w:rPr>
              <w:t>44,112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color w:val="auto"/>
              </w:rPr>
              <w:t>32,423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color w:val="auto"/>
              </w:rPr>
              <w:t>272,538</w:t>
            </w:r>
          </w:p>
        </w:tc>
        <w:tc>
          <w:tcPr>
            <w:tcW w:w="0" w:type="dxa"/>
            <w:vAlign w:val="bottom"/>
          </w:tcPr>
          <w:p>
            <w:pPr>
              <w:spacing w:after="0"/>
              <w:rPr>
                <w:sz w:val="1"/>
                <w:szCs w:val="1"/>
                <w:color w:val="auto"/>
              </w:rPr>
            </w:pPr>
          </w:p>
        </w:tc>
      </w:tr>
      <w:tr>
        <w:trPr>
          <w:trHeight w:val="246"/>
        </w:trPr>
        <w:tc>
          <w:tcPr>
            <w:tcW w:w="4700" w:type="dxa"/>
            <w:vAlign w:val="bottom"/>
            <w:tcBorders>
              <w:right w:val="single" w:sz="8" w:color="E5E5E5"/>
            </w:tcBorders>
            <w:shd w:val="clear" w:color="auto" w:fill="E5E5E5"/>
          </w:tcPr>
          <w:p>
            <w:pPr>
              <w:ind w:left="300"/>
              <w:spacing w:after="0"/>
              <w:rPr>
                <w:sz w:val="20"/>
                <w:szCs w:val="20"/>
                <w:color w:val="auto"/>
              </w:rPr>
            </w:pPr>
            <w:r>
              <w:rPr>
                <w:rFonts w:ascii="Calibri" w:cs="Calibri" w:eastAsia="Calibri" w:hAnsi="Calibri"/>
                <w:sz w:val="20"/>
                <w:szCs w:val="20"/>
                <w:color w:val="auto"/>
              </w:rPr>
              <w:t>Prior years - increase (decrease)</w:t>
            </w:r>
          </w:p>
        </w:tc>
        <w:tc>
          <w:tcPr>
            <w:tcW w:w="280" w:type="dxa"/>
            <w:vAlign w:val="bottom"/>
            <w:shd w:val="clear" w:color="auto" w:fill="E5E5E5"/>
          </w:tcPr>
          <w:p>
            <w:pPr>
              <w:spacing w:after="0"/>
              <w:rPr>
                <w:sz w:val="21"/>
                <w:szCs w:val="21"/>
                <w:color w:val="auto"/>
              </w:rPr>
            </w:pPr>
          </w:p>
        </w:tc>
        <w:tc>
          <w:tcPr>
            <w:tcW w:w="1780" w:type="dxa"/>
            <w:vAlign w:val="bottom"/>
            <w:tcBorders>
              <w:right w:val="single" w:sz="8" w:color="E5E5E5"/>
            </w:tcBorders>
            <w:gridSpan w:val="2"/>
            <w:shd w:val="clear" w:color="auto" w:fill="E5E5E5"/>
          </w:tcPr>
          <w:p>
            <w:pPr>
              <w:jc w:val="right"/>
              <w:ind w:right="200"/>
              <w:spacing w:after="0"/>
              <w:rPr>
                <w:sz w:val="20"/>
                <w:szCs w:val="20"/>
                <w:color w:val="auto"/>
              </w:rPr>
            </w:pPr>
            <w:r>
              <w:rPr>
                <w:rFonts w:ascii="Calibri" w:cs="Calibri" w:eastAsia="Calibri" w:hAnsi="Calibri"/>
                <w:sz w:val="20"/>
                <w:szCs w:val="20"/>
                <w:color w:val="auto"/>
              </w:rPr>
              <w:t>(3,292)</w:t>
            </w:r>
          </w:p>
        </w:tc>
        <w:tc>
          <w:tcPr>
            <w:tcW w:w="260" w:type="dxa"/>
            <w:vAlign w:val="bottom"/>
            <w:shd w:val="clear" w:color="auto" w:fill="E5E5E5"/>
          </w:tcPr>
          <w:p>
            <w:pPr>
              <w:spacing w:after="0"/>
              <w:rPr>
                <w:sz w:val="21"/>
                <w:szCs w:val="21"/>
                <w:color w:val="auto"/>
              </w:rPr>
            </w:pPr>
          </w:p>
        </w:tc>
        <w:tc>
          <w:tcPr>
            <w:tcW w:w="10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(15,806)</w:t>
            </w:r>
          </w:p>
        </w:tc>
        <w:tc>
          <w:tcPr>
            <w:tcW w:w="220" w:type="dxa"/>
            <w:vAlign w:val="bottom"/>
            <w:tcBorders>
              <w:right w:val="single" w:sz="8" w:color="E5E5E5"/>
            </w:tcBorders>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1360" w:type="dxa"/>
            <w:vAlign w:val="bottom"/>
            <w:tcBorders>
              <w:right w:val="single" w:sz="8" w:color="E5E5E5"/>
            </w:tcBorders>
            <w:gridSpan w:val="2"/>
            <w:shd w:val="clear" w:color="auto" w:fill="E5E5E5"/>
          </w:tcPr>
          <w:p>
            <w:pPr>
              <w:jc w:val="right"/>
              <w:ind w:right="220"/>
              <w:spacing w:after="0"/>
              <w:rPr>
                <w:sz w:val="20"/>
                <w:szCs w:val="20"/>
                <w:color w:val="auto"/>
              </w:rPr>
            </w:pPr>
            <w:r>
              <w:rPr>
                <w:rFonts w:ascii="Calibri" w:cs="Calibri" w:eastAsia="Calibri" w:hAnsi="Calibri"/>
                <w:sz w:val="20"/>
                <w:szCs w:val="20"/>
                <w:color w:val="auto"/>
              </w:rPr>
              <w:t>(2,436)</w:t>
            </w:r>
          </w:p>
        </w:tc>
        <w:tc>
          <w:tcPr>
            <w:tcW w:w="240" w:type="dxa"/>
            <w:vAlign w:val="bottom"/>
            <w:shd w:val="clear" w:color="auto" w:fill="E5E5E5"/>
          </w:tcPr>
          <w:p>
            <w:pPr>
              <w:spacing w:after="0"/>
              <w:rPr>
                <w:sz w:val="21"/>
                <w:szCs w:val="21"/>
                <w:color w:val="auto"/>
              </w:rPr>
            </w:pPr>
          </w:p>
        </w:tc>
        <w:tc>
          <w:tcPr>
            <w:tcW w:w="10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(21,534)</w:t>
            </w:r>
          </w:p>
        </w:tc>
        <w:tc>
          <w:tcPr>
            <w:tcW w:w="0" w:type="dxa"/>
            <w:vAlign w:val="bottom"/>
          </w:tcPr>
          <w:p>
            <w:pPr>
              <w:spacing w:after="0"/>
              <w:rPr>
                <w:sz w:val="1"/>
                <w:szCs w:val="1"/>
                <w:color w:val="auto"/>
              </w:rPr>
            </w:pPr>
          </w:p>
        </w:tc>
      </w:tr>
      <w:tr>
        <w:trPr>
          <w:trHeight w:val="245"/>
        </w:trPr>
        <w:tc>
          <w:tcPr>
            <w:tcW w:w="4700" w:type="dxa"/>
            <w:vAlign w:val="bottom"/>
          </w:tcPr>
          <w:p>
            <w:pPr>
              <w:ind w:left="120"/>
              <w:spacing w:after="0"/>
              <w:rPr>
                <w:sz w:val="20"/>
                <w:szCs w:val="20"/>
                <w:color w:val="auto"/>
              </w:rPr>
            </w:pPr>
            <w:r>
              <w:rPr>
                <w:rFonts w:ascii="Calibri" w:cs="Calibri" w:eastAsia="Calibri" w:hAnsi="Calibri"/>
                <w:sz w:val="20"/>
                <w:szCs w:val="20"/>
                <w:color w:val="auto"/>
              </w:rPr>
              <w:t>Payments and customer credits issued</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Calibri" w:cs="Calibri" w:eastAsia="Calibri" w:hAnsi="Calibri"/>
                <w:sz w:val="20"/>
                <w:szCs w:val="20"/>
                <w:color w:val="auto"/>
              </w:rPr>
              <w:t>(301,043)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Calibri" w:cs="Calibri" w:eastAsia="Calibri" w:hAnsi="Calibri"/>
                <w:sz w:val="20"/>
                <w:szCs w:val="20"/>
                <w:color w:val="auto"/>
              </w:rPr>
              <w:t>(131,721)</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Calibri" w:cs="Calibri" w:eastAsia="Calibri" w:hAnsi="Calibri"/>
                <w:sz w:val="20"/>
                <w:szCs w:val="20"/>
                <w:color w:val="auto"/>
              </w:rPr>
              <w:t>(61,042)</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color w:val="auto"/>
              </w:rPr>
              <w:t>(493,806)</w:t>
            </w:r>
          </w:p>
        </w:tc>
        <w:tc>
          <w:tcPr>
            <w:tcW w:w="0" w:type="dxa"/>
            <w:vAlign w:val="bottom"/>
          </w:tcPr>
          <w:p>
            <w:pPr>
              <w:spacing w:after="0"/>
              <w:rPr>
                <w:sz w:val="1"/>
                <w:szCs w:val="1"/>
                <w:color w:val="auto"/>
              </w:rPr>
            </w:pPr>
          </w:p>
        </w:tc>
      </w:tr>
      <w:tr>
        <w:trPr>
          <w:trHeight w:val="20"/>
        </w:trPr>
        <w:tc>
          <w:tcPr>
            <w:tcW w:w="4700" w:type="dxa"/>
            <w:vAlign w:val="bottom"/>
            <w:tcBorders>
              <w:right w:val="single" w:sz="8" w:color="E5E5E5"/>
            </w:tcBorders>
            <w:vMerge w:val="restart"/>
            <w:shd w:val="clear" w:color="auto" w:fill="E5E5E5"/>
          </w:tcPr>
          <w:p>
            <w:pPr>
              <w:spacing w:after="0"/>
              <w:rPr>
                <w:sz w:val="20"/>
                <w:szCs w:val="20"/>
                <w:color w:val="auto"/>
              </w:rPr>
            </w:pPr>
            <w:r>
              <w:rPr>
                <w:rFonts w:ascii="Calibri" w:cs="Calibri" w:eastAsia="Calibri" w:hAnsi="Calibri"/>
                <w:sz w:val="20"/>
                <w:szCs w:val="20"/>
                <w:color w:val="auto"/>
              </w:rPr>
              <w:t>Balances at December 31, 2025</w:t>
            </w:r>
          </w:p>
        </w:tc>
        <w:tc>
          <w:tcPr>
            <w:tcW w:w="2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tcBorders>
              <w:right w:val="single" w:sz="8" w:color="E5E5E5"/>
            </w:tcBorders>
            <w:shd w:val="clear" w:color="auto" w:fill="E5E5E5"/>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Borders>
              <w:right w:val="single" w:sz="8" w:color="E5E5E5"/>
            </w:tcBorders>
            <w:shd w:val="clear" w:color="auto" w:fill="E5E5E5"/>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Borders>
              <w:right w:val="single" w:sz="8" w:color="E5E5E5"/>
            </w:tcBorders>
            <w:shd w:val="clear" w:color="auto" w:fill="E5E5E5"/>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700" w:type="dxa"/>
            <w:vAlign w:val="bottom"/>
            <w:tcBorders>
              <w:right w:val="single" w:sz="8" w:color="E5E5E5"/>
            </w:tcBorders>
            <w:vMerge w:val="continue"/>
            <w:shd w:val="clear" w:color="auto" w:fill="E5E5E5"/>
          </w:tcPr>
          <w:p>
            <w:pPr>
              <w:spacing w:after="0"/>
              <w:rPr>
                <w:sz w:val="21"/>
                <w:szCs w:val="21"/>
                <w:color w:val="auto"/>
              </w:rPr>
            </w:pPr>
          </w:p>
        </w:tc>
        <w:tc>
          <w:tcPr>
            <w:tcW w:w="280" w:type="dxa"/>
            <w:vAlign w:val="bottom"/>
            <w:tcBorders>
              <w:bottom w:val="single" w:sz="8" w:color="auto"/>
            </w:tcBorders>
            <w:shd w:val="clear" w:color="auto" w:fill="E5E5E5"/>
          </w:tcPr>
          <w:p>
            <w:pPr>
              <w:jc w:val="right"/>
              <w:ind w:right="80"/>
              <w:spacing w:after="0" w:line="236" w:lineRule="exact"/>
              <w:rPr>
                <w:sz w:val="20"/>
                <w:szCs w:val="20"/>
                <w:color w:val="auto"/>
              </w:rPr>
            </w:pPr>
            <w:r>
              <w:rPr>
                <w:rFonts w:ascii="Calibri" w:cs="Calibri" w:eastAsia="Calibri" w:hAnsi="Calibri"/>
                <w:sz w:val="20"/>
                <w:szCs w:val="20"/>
                <w:color w:val="auto"/>
                <w:w w:val="78"/>
              </w:rPr>
              <w:t>$</w:t>
            </w:r>
          </w:p>
        </w:tc>
        <w:tc>
          <w:tcPr>
            <w:tcW w:w="1580" w:type="dxa"/>
            <w:vAlign w:val="bottom"/>
            <w:tcBorders>
              <w:bottom w:val="single" w:sz="8" w:color="auto"/>
            </w:tcBorders>
            <w:shd w:val="clear" w:color="auto" w:fill="E5E5E5"/>
          </w:tcPr>
          <w:p>
            <w:pPr>
              <w:jc w:val="right"/>
              <w:spacing w:after="0" w:line="236" w:lineRule="exact"/>
              <w:rPr>
                <w:sz w:val="20"/>
                <w:szCs w:val="20"/>
                <w:color w:val="auto"/>
              </w:rPr>
            </w:pPr>
            <w:r>
              <w:rPr>
                <w:rFonts w:ascii="Calibri" w:cs="Calibri" w:eastAsia="Calibri" w:hAnsi="Calibri"/>
                <w:sz w:val="20"/>
                <w:szCs w:val="20"/>
                <w:color w:val="auto"/>
              </w:rPr>
              <w:t>2,446</w:t>
            </w:r>
          </w:p>
        </w:tc>
        <w:tc>
          <w:tcPr>
            <w:tcW w:w="200" w:type="dxa"/>
            <w:vAlign w:val="bottom"/>
            <w:tcBorders>
              <w:right w:val="single" w:sz="8" w:color="E5E5E5"/>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jc w:val="right"/>
              <w:ind w:right="60"/>
              <w:spacing w:after="0" w:line="236" w:lineRule="exact"/>
              <w:rPr>
                <w:sz w:val="20"/>
                <w:szCs w:val="20"/>
                <w:color w:val="auto"/>
              </w:rPr>
            </w:pPr>
            <w:r>
              <w:rPr>
                <w:rFonts w:ascii="Calibri" w:cs="Calibri" w:eastAsia="Calibri" w:hAnsi="Calibri"/>
                <w:sz w:val="20"/>
                <w:szCs w:val="20"/>
                <w:color w:val="auto"/>
                <w:w w:val="78"/>
              </w:rPr>
              <w:t>$</w:t>
            </w:r>
          </w:p>
        </w:tc>
        <w:tc>
          <w:tcPr>
            <w:tcW w:w="1060" w:type="dxa"/>
            <w:vAlign w:val="bottom"/>
            <w:tcBorders>
              <w:bottom w:val="single" w:sz="8" w:color="auto"/>
            </w:tcBorders>
            <w:shd w:val="clear" w:color="auto" w:fill="E5E5E5"/>
          </w:tcPr>
          <w:p>
            <w:pPr>
              <w:jc w:val="right"/>
              <w:spacing w:after="0" w:line="236" w:lineRule="exact"/>
              <w:rPr>
                <w:sz w:val="20"/>
                <w:szCs w:val="20"/>
                <w:color w:val="auto"/>
              </w:rPr>
            </w:pPr>
            <w:r>
              <w:rPr>
                <w:rFonts w:ascii="Calibri" w:cs="Calibri" w:eastAsia="Calibri" w:hAnsi="Calibri"/>
                <w:sz w:val="20"/>
                <w:szCs w:val="20"/>
                <w:color w:val="auto"/>
              </w:rPr>
              <w:t>20,323</w:t>
            </w:r>
          </w:p>
        </w:tc>
        <w:tc>
          <w:tcPr>
            <w:tcW w:w="220" w:type="dxa"/>
            <w:vAlign w:val="bottom"/>
            <w:tcBorders>
              <w:right w:val="single" w:sz="8" w:color="E5E5E5"/>
            </w:tcBorders>
            <w:shd w:val="clear" w:color="auto" w:fill="E5E5E5"/>
          </w:tcPr>
          <w:p>
            <w:pPr>
              <w:spacing w:after="0"/>
              <w:rPr>
                <w:sz w:val="21"/>
                <w:szCs w:val="21"/>
                <w:color w:val="auto"/>
              </w:rPr>
            </w:pPr>
          </w:p>
        </w:tc>
        <w:tc>
          <w:tcPr>
            <w:tcW w:w="180" w:type="dxa"/>
            <w:vAlign w:val="bottom"/>
            <w:tcBorders>
              <w:bottom w:val="single" w:sz="8" w:color="auto"/>
            </w:tcBorders>
            <w:shd w:val="clear" w:color="auto" w:fill="E5E5E5"/>
          </w:tcPr>
          <w:p>
            <w:pPr>
              <w:jc w:val="right"/>
              <w:spacing w:after="0" w:line="236" w:lineRule="exact"/>
              <w:rPr>
                <w:sz w:val="20"/>
                <w:szCs w:val="20"/>
                <w:color w:val="auto"/>
              </w:rPr>
            </w:pPr>
            <w:r>
              <w:rPr>
                <w:rFonts w:ascii="Calibri" w:cs="Calibri" w:eastAsia="Calibri" w:hAnsi="Calibri"/>
                <w:sz w:val="20"/>
                <w:szCs w:val="20"/>
                <w:color w:val="auto"/>
                <w:w w:val="78"/>
              </w:rPr>
              <w:t>$</w:t>
            </w:r>
          </w:p>
        </w:tc>
        <w:tc>
          <w:tcPr>
            <w:tcW w:w="1140" w:type="dxa"/>
            <w:vAlign w:val="bottom"/>
            <w:tcBorders>
              <w:bottom w:val="single" w:sz="8" w:color="auto"/>
            </w:tcBorders>
            <w:shd w:val="clear" w:color="auto" w:fill="E5E5E5"/>
          </w:tcPr>
          <w:p>
            <w:pPr>
              <w:jc w:val="right"/>
              <w:spacing w:after="0" w:line="236" w:lineRule="exact"/>
              <w:rPr>
                <w:sz w:val="20"/>
                <w:szCs w:val="20"/>
                <w:color w:val="auto"/>
              </w:rPr>
            </w:pPr>
            <w:r>
              <w:rPr>
                <w:rFonts w:ascii="Calibri" w:cs="Calibri" w:eastAsia="Calibri" w:hAnsi="Calibri"/>
                <w:sz w:val="20"/>
                <w:szCs w:val="20"/>
                <w:color w:val="auto"/>
              </w:rPr>
              <w:t>10,074</w:t>
            </w:r>
          </w:p>
        </w:tc>
        <w:tc>
          <w:tcPr>
            <w:tcW w:w="220" w:type="dxa"/>
            <w:vAlign w:val="bottom"/>
            <w:tcBorders>
              <w:right w:val="single" w:sz="8" w:color="E5E5E5"/>
            </w:tcBorders>
            <w:shd w:val="clear" w:color="auto" w:fill="E5E5E5"/>
          </w:tcPr>
          <w:p>
            <w:pPr>
              <w:spacing w:after="0"/>
              <w:rPr>
                <w:sz w:val="21"/>
                <w:szCs w:val="21"/>
                <w:color w:val="auto"/>
              </w:rPr>
            </w:pPr>
          </w:p>
        </w:tc>
        <w:tc>
          <w:tcPr>
            <w:tcW w:w="240" w:type="dxa"/>
            <w:vAlign w:val="bottom"/>
            <w:tcBorders>
              <w:bottom w:val="single" w:sz="8" w:color="auto"/>
            </w:tcBorders>
            <w:shd w:val="clear" w:color="auto" w:fill="E5E5E5"/>
          </w:tcPr>
          <w:p>
            <w:pPr>
              <w:jc w:val="right"/>
              <w:ind w:right="40"/>
              <w:spacing w:after="0" w:line="236" w:lineRule="exact"/>
              <w:rPr>
                <w:sz w:val="20"/>
                <w:szCs w:val="20"/>
                <w:color w:val="auto"/>
              </w:rPr>
            </w:pPr>
            <w:r>
              <w:rPr>
                <w:rFonts w:ascii="Calibri" w:cs="Calibri" w:eastAsia="Calibri" w:hAnsi="Calibri"/>
                <w:sz w:val="20"/>
                <w:szCs w:val="20"/>
                <w:color w:val="auto"/>
                <w:w w:val="78"/>
              </w:rPr>
              <w:t>$</w:t>
            </w:r>
          </w:p>
        </w:tc>
        <w:tc>
          <w:tcPr>
            <w:tcW w:w="1080" w:type="dxa"/>
            <w:vAlign w:val="bottom"/>
            <w:tcBorders>
              <w:bottom w:val="single" w:sz="8" w:color="auto"/>
            </w:tcBorders>
            <w:shd w:val="clear" w:color="auto" w:fill="E5E5E5"/>
          </w:tcPr>
          <w:p>
            <w:pPr>
              <w:jc w:val="right"/>
              <w:spacing w:after="0" w:line="236" w:lineRule="exact"/>
              <w:rPr>
                <w:sz w:val="20"/>
                <w:szCs w:val="20"/>
                <w:color w:val="auto"/>
              </w:rPr>
            </w:pPr>
            <w:r>
              <w:rPr>
                <w:rFonts w:ascii="Calibri" w:cs="Calibri" w:eastAsia="Calibri" w:hAnsi="Calibri"/>
                <w:sz w:val="20"/>
                <w:szCs w:val="20"/>
                <w:color w:val="auto"/>
              </w:rPr>
              <w:t>32,843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For the year ended December 31, 2025, substantially all of the total favorable provision related to sales made in the prior years was reflected in net income from discontinued operations (see Note 6. Discontinued Operations).</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92</w:t>
      </w:r>
    </w:p>
    <w:p>
      <w:pPr>
        <w:sectPr>
          <w:pgSz w:w="12240" w:h="15840" w:orient="portrait"/>
          <w:cols w:equalWidth="0" w:num="1">
            <w:col w:w="11160"/>
          </w:cols>
          <w:pgMar w:left="540" w:top="532" w:right="540" w:bottom="9" w:gutter="0" w:footer="0" w:header="0"/>
          <w:type w:val="continuous"/>
        </w:sectPr>
      </w:pPr>
    </w:p>
    <w:bookmarkStart w:id="94" w:name="page95"/>
    <w:bookmarkEnd w:id="94"/>
    <w:p>
      <w:pPr>
        <w:ind w:left="720" w:hanging="713"/>
        <w:spacing w:after="0"/>
        <w:tabs>
          <w:tab w:leader="none" w:pos="720" w:val="left"/>
        </w:tabs>
        <w:numPr>
          <w:ilvl w:val="0"/>
          <w:numId w:val="5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Fair Value Measurements</w:t>
      </w:r>
    </w:p>
    <w:p>
      <w:pPr>
        <w:spacing w:after="0" w:line="240" w:lineRule="exact"/>
        <w:rPr>
          <w:sz w:val="20"/>
          <w:szCs w:val="20"/>
          <w:color w:val="auto"/>
        </w:rPr>
      </w:pPr>
    </w:p>
    <w:p>
      <w:pPr>
        <w:ind w:firstLine="720"/>
        <w:spacing w:after="0" w:line="263" w:lineRule="auto"/>
        <w:rPr>
          <w:sz w:val="20"/>
          <w:szCs w:val="20"/>
          <w:color w:val="auto"/>
        </w:rPr>
      </w:pPr>
      <w:r>
        <w:rPr>
          <w:rFonts w:ascii="Calibri" w:cs="Calibri" w:eastAsia="Calibri" w:hAnsi="Calibri"/>
          <w:sz w:val="20"/>
          <w:szCs w:val="20"/>
          <w:color w:val="auto"/>
        </w:rPr>
        <w:t>The fair value of financial instruments are classified into one of the following categories based upon the lowest level of input that is significant to the fair value measurement:</w:t>
      </w:r>
    </w:p>
    <w:p>
      <w:pPr>
        <w:spacing w:after="0" w:line="205" w:lineRule="exact"/>
        <w:rPr>
          <w:sz w:val="20"/>
          <w:szCs w:val="20"/>
          <w:color w:val="auto"/>
        </w:rPr>
      </w:pPr>
    </w:p>
    <w:p>
      <w:pPr>
        <w:ind w:left="1440" w:hanging="353"/>
        <w:spacing w:after="0"/>
        <w:tabs>
          <w:tab w:leader="none" w:pos="1440" w:val="left"/>
        </w:tabs>
        <w:numPr>
          <w:ilvl w:val="0"/>
          <w:numId w:val="58"/>
        </w:numPr>
        <w:rPr>
          <w:rFonts w:ascii="Symbol" w:cs="Symbol" w:eastAsia="Symbol" w:hAnsi="Symbol"/>
          <w:sz w:val="20"/>
          <w:szCs w:val="20"/>
          <w:color w:val="auto"/>
        </w:rPr>
      </w:pPr>
      <w:r>
        <w:rPr>
          <w:rFonts w:ascii="Calibri" w:cs="Calibri" w:eastAsia="Calibri" w:hAnsi="Calibri"/>
          <w:sz w:val="20"/>
          <w:szCs w:val="20"/>
          <w:color w:val="auto"/>
        </w:rPr>
        <w:t>Level 1 — Quoted prices in active markets for identical assets or liabilities.</w:t>
      </w:r>
    </w:p>
    <w:p>
      <w:pPr>
        <w:spacing w:after="0" w:line="239" w:lineRule="exact"/>
        <w:rPr>
          <w:rFonts w:ascii="Symbol" w:cs="Symbol" w:eastAsia="Symbol" w:hAnsi="Symbol"/>
          <w:sz w:val="20"/>
          <w:szCs w:val="20"/>
          <w:color w:val="auto"/>
        </w:rPr>
      </w:pPr>
    </w:p>
    <w:p>
      <w:pPr>
        <w:jc w:val="both"/>
        <w:ind w:left="1440" w:hanging="353"/>
        <w:spacing w:after="0" w:line="245" w:lineRule="auto"/>
        <w:tabs>
          <w:tab w:leader="none" w:pos="1440" w:val="left"/>
        </w:tabs>
        <w:numPr>
          <w:ilvl w:val="0"/>
          <w:numId w:val="58"/>
        </w:numPr>
        <w:rPr>
          <w:rFonts w:ascii="Symbol" w:cs="Symbol" w:eastAsia="Symbol" w:hAnsi="Symbol"/>
          <w:sz w:val="20"/>
          <w:szCs w:val="20"/>
          <w:color w:val="auto"/>
        </w:rPr>
      </w:pPr>
      <w:r>
        <w:rPr>
          <w:rFonts w:ascii="Calibri" w:cs="Calibri" w:eastAsia="Calibri" w:hAnsi="Calibri"/>
          <w:sz w:val="20"/>
          <w:szCs w:val="20"/>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24" w:lineRule="exact"/>
        <w:rPr>
          <w:rFonts w:ascii="Symbol" w:cs="Symbol" w:eastAsia="Symbol" w:hAnsi="Symbol"/>
          <w:sz w:val="20"/>
          <w:szCs w:val="20"/>
          <w:color w:val="auto"/>
        </w:rPr>
      </w:pPr>
    </w:p>
    <w:p>
      <w:pPr>
        <w:ind w:left="1440" w:right="20" w:hanging="353"/>
        <w:spacing w:after="0" w:line="251" w:lineRule="auto"/>
        <w:tabs>
          <w:tab w:leader="none" w:pos="1440" w:val="left"/>
        </w:tabs>
        <w:numPr>
          <w:ilvl w:val="0"/>
          <w:numId w:val="58"/>
        </w:numPr>
        <w:rPr>
          <w:rFonts w:ascii="Symbol" w:cs="Symbol" w:eastAsia="Symbol" w:hAnsi="Symbol"/>
          <w:sz w:val="20"/>
          <w:szCs w:val="20"/>
          <w:color w:val="auto"/>
        </w:rPr>
      </w:pPr>
      <w:r>
        <w:rPr>
          <w:rFonts w:ascii="Calibri" w:cs="Calibri" w:eastAsia="Calibri" w:hAnsi="Calibri"/>
          <w:sz w:val="20"/>
          <w:szCs w:val="20"/>
          <w:color w:val="auto"/>
        </w:rPr>
        <w:t>Level 3 — Unobservable inputs that are supported by little or no market activity and that are significant to the fair value of the assets or liabilities.</w:t>
      </w:r>
    </w:p>
    <w:p>
      <w:pPr>
        <w:spacing w:after="0" w:line="208"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The fair values of cash equivalents approximate their carrying values due to the short-term nature of such financial instruments.</w:t>
      </w:r>
    </w:p>
    <w:p>
      <w:pPr>
        <w:spacing w:after="0" w:line="238"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Unrealized gains and losses on available-for-sale debt securities are reported as a component of other comprehensive income (loss), with the exception of unrealized losses believed to be related to credit losses, if any, which are recognized in earnings in the period the impairment occurs. Impairment assessments are made at the individual security level each reporting period. When the fair value of an available-for-sale debt investment is less than its cost at the balance sheet date, a determination is made as to whether the impairment is related to a credit loss and, if it is, the portion of the impairment relating to credit loss is recorded as an allowance through net income. Realized gains and losses, if any, on available-for-sale securities are included in other income (expense), net, in the consolidated statements of operations based on the specific identification method.</w:t>
      </w:r>
    </w:p>
    <w:p>
      <w:pPr>
        <w:spacing w:after="0" w:line="219"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In connection with the Surface Acquisition on September 8, 2023, the Company recorded contingent consideration liabilities related to CVRs associated with certain acquired out-license assets. The fair value of the CVR liabilities were determined using a Monte Carlo simulation-based model discounted to present value and represents a Level 3 measurement within the fair value hierarchy. Assumptions used in this calculation include estimated revenue, discount rate and various probability factors. With the termination of historical out-licensed partnership programs in 2025 and 2024, the corresponding CVR liabilities for GSK4381562 and NZV930 were remeasured to their final fair values of zero in 2025 and 2024, respectively (see Note 5. Balance Sheet Components).</w:t>
      </w:r>
    </w:p>
    <w:p>
      <w:pPr>
        <w:spacing w:after="0" w:line="216"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The Revenue Participation Right Purchase and Sale Agreement (the “Revenue Purchase and Sale Agreement”), dated as of May 8, 2024 among the Company and Coduet Royalty Holdings, LLC, as administrative agent and each buyer named in an annex thereto (collectively, the “Purchaser Group”) (see Note 8. Financial Liabilities) contained an embedded derivative that met the criteria to be bifurcated and accounted for separately from the Revenue Purchase and Sale Agreement (the "Royalty Fee Derivative Liability"). The Company recorded the initial estimated fair value of the Royalty Fee Derivative Liability of $9.2 million in accrued and other current liabilities on the consolidated balance sheets. To estimate the fair value, the Company uses Monte Carlo simulation models that require the use of Level 3 unobservable inputs, primarily the amount and timing of our expected future revenue, the estimated volatility of these revenues, the discount rate corresponding to the risk of revenue, and the probability of certain events.</w:t>
      </w:r>
    </w:p>
    <w:p>
      <w:pPr>
        <w:spacing w:after="0" w:line="215" w:lineRule="exact"/>
        <w:rPr>
          <w:sz w:val="20"/>
          <w:szCs w:val="20"/>
          <w:color w:val="auto"/>
        </w:rPr>
      </w:pPr>
    </w:p>
    <w:p>
      <w:pPr>
        <w:jc w:val="both"/>
        <w:ind w:firstLine="720"/>
        <w:spacing w:after="0" w:line="260" w:lineRule="auto"/>
        <w:rPr>
          <w:sz w:val="20"/>
          <w:szCs w:val="20"/>
          <w:color w:val="auto"/>
        </w:rPr>
      </w:pPr>
      <w:r>
        <w:rPr>
          <w:rFonts w:ascii="Calibri" w:cs="Calibri" w:eastAsia="Calibri" w:hAnsi="Calibri"/>
          <w:sz w:val="19"/>
          <w:szCs w:val="19"/>
          <w:color w:val="auto"/>
        </w:rPr>
        <w:t>The Company estimated the total fair value of the Royalty Fee Derivative Liability at December 31, 2025 and 2024, to be $1.5 million and $13.6 million, respectively. During the years ended December 31, 2025 and 2024, the Company recorded charges of $12.6 million and $4.4 million, respectively, for the changes in estimated fair value, of which $11.8 million and $4.2 million, respectively, related to UDENYCA and was classified within discontinued operations, and $0.8 million and $0.2 million, respectively, related to LOQTORZI and was recorded in other income (expense), net on the consolidated statements of operations. In connection with the UDENYCA Sale, the UDENYCA portion of the Royalty Fee Derivative Liability was derecognized during the three months ended June 30, 2025.</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93</w:t>
      </w:r>
    </w:p>
    <w:p>
      <w:pPr>
        <w:sectPr>
          <w:pgSz w:w="12240" w:h="15840" w:orient="portrait"/>
          <w:cols w:equalWidth="0" w:num="1">
            <w:col w:w="11160"/>
          </w:cols>
          <w:pgMar w:left="540" w:top="531" w:right="540" w:bottom="9" w:gutter="0" w:footer="0" w:header="0"/>
          <w:type w:val="continuous"/>
        </w:sectPr>
      </w:pPr>
    </w:p>
    <w:bookmarkStart w:id="95" w:name="page96"/>
    <w:bookmarkEnd w:id="95"/>
    <w:p>
      <w:pPr>
        <w:ind w:firstLine="720"/>
        <w:spacing w:after="0" w:line="262" w:lineRule="auto"/>
        <w:rPr>
          <w:sz w:val="20"/>
          <w:szCs w:val="20"/>
          <w:color w:val="auto"/>
        </w:rPr>
      </w:pPr>
      <w:r>
        <w:rPr>
          <w:rFonts w:ascii="Calibri" w:cs="Calibri" w:eastAsia="Calibri" w:hAnsi="Calibri"/>
          <w:sz w:val="20"/>
          <w:szCs w:val="20"/>
          <w:color w:val="auto"/>
        </w:rPr>
        <w:t>Financial liabilities related to long-term debt obligations are summarized in Note 8. Financial Liabilities. Other financial assets and liabilities from continuing operations measured at fair value on a recurring basis are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5"/>
          </w:tcPr>
          <w:p>
            <w:pPr>
              <w:jc w:val="center"/>
              <w:ind w:right="183"/>
              <w:spacing w:after="0"/>
              <w:rPr>
                <w:sz w:val="20"/>
                <w:szCs w:val="20"/>
                <w:color w:val="auto"/>
              </w:rPr>
            </w:pPr>
            <w:r>
              <w:rPr>
                <w:rFonts w:ascii="Calibri" w:cs="Calibri" w:eastAsia="Calibri" w:hAnsi="Calibri"/>
                <w:sz w:val="16"/>
                <w:szCs w:val="16"/>
                <w:b w:val="1"/>
                <w:bCs w:val="1"/>
                <w:color w:val="auto"/>
                <w:w w:val="99"/>
              </w:rPr>
              <w:t>Fair Value Measurements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3"/>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center"/>
              <w:ind w:right="163"/>
              <w:spacing w:after="0"/>
              <w:rPr>
                <w:sz w:val="20"/>
                <w:szCs w:val="20"/>
                <w:color w:val="auto"/>
              </w:rPr>
            </w:pPr>
            <w:r>
              <w:rPr>
                <w:rFonts w:ascii="Calibri" w:cs="Calibri" w:eastAsia="Calibri" w:hAnsi="Calibri"/>
                <w:sz w:val="16"/>
                <w:szCs w:val="16"/>
                <w:b w:val="1"/>
                <w:bCs w:val="1"/>
                <w:color w:val="auto"/>
                <w:w w:val="99"/>
              </w:rPr>
              <w:t>December 31, 2025</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34"/>
        </w:trPr>
        <w:tc>
          <w:tcPr>
            <w:tcW w:w="4960" w:type="dxa"/>
            <w:vAlign w:val="bottom"/>
            <w:tcBorders>
              <w:bottom w:val="single" w:sz="8" w:color="E5E5E5"/>
            </w:tcBorders>
          </w:tcPr>
          <w:p>
            <w:pPr>
              <w:spacing w:after="0"/>
              <w:rPr>
                <w:sz w:val="20"/>
                <w:szCs w:val="20"/>
                <w:color w:val="auto"/>
              </w:rPr>
            </w:pPr>
            <w:r>
              <w:rPr>
                <w:rFonts w:ascii="Calibri" w:cs="Calibri" w:eastAsia="Calibri" w:hAnsi="Calibri"/>
                <w:sz w:val="16"/>
                <w:szCs w:val="16"/>
                <w:b w:val="1"/>
                <w:bCs w:val="1"/>
                <w:color w:val="auto"/>
              </w:rPr>
              <w:t>(in thousands)</w:t>
            </w:r>
          </w:p>
        </w:tc>
        <w:tc>
          <w:tcPr>
            <w:tcW w:w="24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23"/>
              <w:spacing w:after="0"/>
              <w:rPr>
                <w:sz w:val="20"/>
                <w:szCs w:val="20"/>
                <w:color w:val="auto"/>
              </w:rPr>
            </w:pPr>
            <w:r>
              <w:rPr>
                <w:rFonts w:ascii="Calibri" w:cs="Calibri" w:eastAsia="Calibri" w:hAnsi="Calibri"/>
                <w:sz w:val="16"/>
                <w:szCs w:val="16"/>
                <w:b w:val="1"/>
                <w:bCs w:val="1"/>
                <w:color w:val="auto"/>
              </w:rPr>
              <w:t>Level 1</w:t>
            </w:r>
          </w:p>
        </w:tc>
        <w:tc>
          <w:tcPr>
            <w:tcW w:w="24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27"/>
              <w:spacing w:after="0"/>
              <w:rPr>
                <w:sz w:val="20"/>
                <w:szCs w:val="20"/>
                <w:color w:val="auto"/>
              </w:rPr>
            </w:pPr>
            <w:r>
              <w:rPr>
                <w:rFonts w:ascii="Calibri" w:cs="Calibri" w:eastAsia="Calibri" w:hAnsi="Calibri"/>
                <w:sz w:val="16"/>
                <w:szCs w:val="16"/>
                <w:b w:val="1"/>
                <w:bCs w:val="1"/>
                <w:color w:val="auto"/>
              </w:rPr>
              <w:t>Level 2</w:t>
            </w:r>
          </w:p>
        </w:tc>
        <w:tc>
          <w:tcPr>
            <w:tcW w:w="22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23"/>
              <w:spacing w:after="0"/>
              <w:rPr>
                <w:sz w:val="20"/>
                <w:szCs w:val="20"/>
                <w:color w:val="auto"/>
              </w:rPr>
            </w:pPr>
            <w:r>
              <w:rPr>
                <w:rFonts w:ascii="Calibri" w:cs="Calibri" w:eastAsia="Calibri" w:hAnsi="Calibri"/>
                <w:sz w:val="16"/>
                <w:szCs w:val="16"/>
                <w:b w:val="1"/>
                <w:bCs w:val="1"/>
                <w:color w:val="auto"/>
              </w:rPr>
              <w:t>Level 3</w:t>
            </w:r>
          </w:p>
        </w:tc>
        <w:tc>
          <w:tcPr>
            <w:tcW w:w="24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3"/>
              <w:spacing w:after="0"/>
              <w:rPr>
                <w:sz w:val="20"/>
                <w:szCs w:val="20"/>
                <w:color w:val="auto"/>
              </w:rPr>
            </w:pPr>
            <w:r>
              <w:rPr>
                <w:rFonts w:ascii="Calibri" w:cs="Calibri" w:eastAsia="Calibri" w:hAnsi="Calibri"/>
                <w:sz w:val="16"/>
                <w:szCs w:val="16"/>
                <w:b w:val="1"/>
                <w:bCs w:val="1"/>
                <w:color w:val="auto"/>
              </w:rPr>
              <w:t>Total</w:t>
            </w:r>
          </w:p>
        </w:tc>
      </w:tr>
      <w:tr>
        <w:trPr>
          <w:trHeight w:val="234"/>
        </w:trPr>
        <w:tc>
          <w:tcPr>
            <w:tcW w:w="496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Financial Assets:</w:t>
            </w:r>
          </w:p>
        </w:tc>
        <w:tc>
          <w:tcPr>
            <w:tcW w:w="2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104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104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104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1020" w:type="dxa"/>
            <w:vAlign w:val="bottom"/>
            <w:shd w:val="clear" w:color="auto" w:fill="E5E5E5"/>
          </w:tcPr>
          <w:p>
            <w:pPr>
              <w:spacing w:after="0"/>
              <w:rPr>
                <w:sz w:val="20"/>
                <w:szCs w:val="20"/>
                <w:color w:val="auto"/>
              </w:rPr>
            </w:pPr>
          </w:p>
        </w:tc>
      </w:tr>
      <w:tr>
        <w:trPr>
          <w:trHeight w:val="244"/>
        </w:trPr>
        <w:tc>
          <w:tcPr>
            <w:tcW w:w="4960" w:type="dxa"/>
            <w:vAlign w:val="bottom"/>
          </w:tcPr>
          <w:p>
            <w:pPr>
              <w:ind w:left="120"/>
              <w:spacing w:after="0" w:line="243" w:lineRule="exact"/>
              <w:rPr>
                <w:sz w:val="20"/>
                <w:szCs w:val="20"/>
                <w:color w:val="auto"/>
              </w:rPr>
            </w:pPr>
            <w:r>
              <w:rPr>
                <w:rFonts w:ascii="Calibri" w:cs="Calibri" w:eastAsia="Calibri" w:hAnsi="Calibri"/>
                <w:sz w:val="20"/>
                <w:szCs w:val="20"/>
                <w:color w:val="auto"/>
              </w:rPr>
              <w:t>Cash equivalents</w:t>
            </w:r>
            <w:r>
              <w:rPr>
                <w:rFonts w:ascii="Calibri" w:cs="Calibri" w:eastAsia="Calibri" w:hAnsi="Calibri"/>
                <w:sz w:val="25"/>
                <w:szCs w:val="25"/>
                <w:color w:val="auto"/>
                <w:vertAlign w:val="superscript"/>
              </w:rPr>
              <w:t>(1)</w:t>
            </w:r>
          </w:p>
        </w:tc>
        <w:tc>
          <w:tcPr>
            <w:tcW w:w="500" w:type="dxa"/>
            <w:vAlign w:val="bottom"/>
            <w:gridSpan w:val="3"/>
          </w:tcPr>
          <w:p>
            <w:pPr>
              <w:jc w:val="right"/>
              <w:ind w:right="80"/>
              <w:spacing w:after="0"/>
              <w:rPr>
                <w:sz w:val="20"/>
                <w:szCs w:val="20"/>
                <w:color w:val="auto"/>
              </w:rPr>
            </w:pPr>
            <w:r>
              <w:rPr>
                <w:rFonts w:ascii="Calibri" w:cs="Calibri" w:eastAsia="Calibri" w:hAnsi="Calibri"/>
                <w:sz w:val="20"/>
                <w:szCs w:val="20"/>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color w:val="auto"/>
              </w:rPr>
              <w:t>78,278</w:t>
            </w:r>
          </w:p>
        </w:tc>
        <w:tc>
          <w:tcPr>
            <w:tcW w:w="520" w:type="dxa"/>
            <w:vAlign w:val="bottom"/>
            <w:gridSpan w:val="3"/>
          </w:tcPr>
          <w:p>
            <w:pPr>
              <w:jc w:val="right"/>
              <w:ind w:right="60"/>
              <w:spacing w:after="0"/>
              <w:rPr>
                <w:sz w:val="20"/>
                <w:szCs w:val="20"/>
                <w:color w:val="auto"/>
              </w:rPr>
            </w:pPr>
            <w:r>
              <w:rPr>
                <w:rFonts w:ascii="Calibri" w:cs="Calibri" w:eastAsia="Calibri" w:hAnsi="Calibri"/>
                <w:sz w:val="20"/>
                <w:szCs w:val="20"/>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color w:val="auto"/>
              </w:rPr>
              <w:t>1,708</w:t>
            </w:r>
          </w:p>
        </w:tc>
        <w:tc>
          <w:tcPr>
            <w:tcW w:w="500" w:type="dxa"/>
            <w:vAlign w:val="bottom"/>
            <w:gridSpan w:val="3"/>
          </w:tcPr>
          <w:p>
            <w:pPr>
              <w:jc w:val="right"/>
              <w:ind w:right="60"/>
              <w:spacing w:after="0"/>
              <w:rPr>
                <w:sz w:val="20"/>
                <w:szCs w:val="20"/>
                <w:color w:val="auto"/>
              </w:rPr>
            </w:pPr>
            <w:r>
              <w:rPr>
                <w:rFonts w:ascii="Calibri" w:cs="Calibri" w:eastAsia="Calibri" w:hAnsi="Calibri"/>
                <w:sz w:val="20"/>
                <w:szCs w:val="20"/>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540" w:type="dxa"/>
            <w:vAlign w:val="bottom"/>
            <w:gridSpan w:val="3"/>
          </w:tcPr>
          <w:p>
            <w:pPr>
              <w:jc w:val="right"/>
              <w:ind w:right="80"/>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color w:val="auto"/>
              </w:rPr>
              <w:t>79,986</w:t>
            </w:r>
          </w:p>
        </w:tc>
      </w:tr>
      <w:tr>
        <w:trPr>
          <w:trHeight w:val="245"/>
        </w:trPr>
        <w:tc>
          <w:tcPr>
            <w:tcW w:w="496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Marketable debt securities:</w:t>
            </w:r>
          </w:p>
        </w:tc>
        <w:tc>
          <w:tcPr>
            <w:tcW w:w="2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104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04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04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1020" w:type="dxa"/>
            <w:vAlign w:val="bottom"/>
            <w:shd w:val="clear" w:color="auto" w:fill="E5E5E5"/>
          </w:tcPr>
          <w:p>
            <w:pPr>
              <w:spacing w:after="0"/>
              <w:rPr>
                <w:sz w:val="21"/>
                <w:szCs w:val="21"/>
                <w:color w:val="auto"/>
              </w:rPr>
            </w:pPr>
          </w:p>
        </w:tc>
      </w:tr>
      <w:tr>
        <w:trPr>
          <w:trHeight w:val="244"/>
        </w:trPr>
        <w:tc>
          <w:tcPr>
            <w:tcW w:w="4960" w:type="dxa"/>
            <w:vAlign w:val="bottom"/>
          </w:tcPr>
          <w:p>
            <w:pPr>
              <w:ind w:left="360"/>
              <w:spacing w:after="0"/>
              <w:rPr>
                <w:sz w:val="20"/>
                <w:szCs w:val="20"/>
                <w:color w:val="auto"/>
              </w:rPr>
            </w:pPr>
            <w:r>
              <w:rPr>
                <w:rFonts w:ascii="Calibri" w:cs="Calibri" w:eastAsia="Calibri" w:hAnsi="Calibri"/>
                <w:sz w:val="20"/>
                <w:szCs w:val="20"/>
                <w:color w:val="auto"/>
              </w:rPr>
              <w:t>U.S. government agency securities</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3,803</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color w:val="auto"/>
              </w:rPr>
              <w:t>3,803</w:t>
            </w:r>
          </w:p>
        </w:tc>
      </w:tr>
      <w:tr>
        <w:trPr>
          <w:trHeight w:val="245"/>
        </w:trPr>
        <w:tc>
          <w:tcPr>
            <w:tcW w:w="4960" w:type="dxa"/>
            <w:vAlign w:val="bottom"/>
            <w:shd w:val="clear" w:color="auto" w:fill="E5E5E5"/>
          </w:tcPr>
          <w:p>
            <w:pPr>
              <w:ind w:left="360"/>
              <w:spacing w:after="0"/>
              <w:rPr>
                <w:sz w:val="20"/>
                <w:szCs w:val="20"/>
                <w:color w:val="auto"/>
              </w:rPr>
            </w:pPr>
            <w:r>
              <w:rPr>
                <w:rFonts w:ascii="Calibri" w:cs="Calibri" w:eastAsia="Calibri" w:hAnsi="Calibri"/>
                <w:sz w:val="20"/>
                <w:szCs w:val="20"/>
                <w:color w:val="auto"/>
              </w:rPr>
              <w:t>U.S. treasury securities</w:t>
            </w:r>
          </w:p>
        </w:tc>
        <w:tc>
          <w:tcPr>
            <w:tcW w:w="2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10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42,303</w:t>
            </w:r>
          </w:p>
        </w:tc>
        <w:tc>
          <w:tcPr>
            <w:tcW w:w="2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0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22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10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2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102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42,303</w:t>
            </w:r>
          </w:p>
        </w:tc>
      </w:tr>
      <w:tr>
        <w:trPr>
          <w:trHeight w:val="244"/>
        </w:trPr>
        <w:tc>
          <w:tcPr>
            <w:tcW w:w="4960" w:type="dxa"/>
            <w:vAlign w:val="bottom"/>
            <w:tcBorders>
              <w:bottom w:val="single" w:sz="8" w:color="E5E5E5"/>
            </w:tcBorders>
          </w:tcPr>
          <w:p>
            <w:pPr>
              <w:ind w:left="360"/>
              <w:spacing w:after="0"/>
              <w:rPr>
                <w:sz w:val="20"/>
                <w:szCs w:val="20"/>
                <w:color w:val="auto"/>
              </w:rPr>
            </w:pPr>
            <w:r>
              <w:rPr>
                <w:rFonts w:ascii="Calibri" w:cs="Calibri" w:eastAsia="Calibri" w:hAnsi="Calibri"/>
                <w:sz w:val="20"/>
                <w:szCs w:val="20"/>
                <w:color w:val="auto"/>
              </w:rPr>
              <w:t>Commercial paper and corporate notes</w:t>
            </w:r>
          </w:p>
        </w:tc>
        <w:tc>
          <w:tcPr>
            <w:tcW w:w="24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w:t>
            </w:r>
          </w:p>
        </w:tc>
        <w:tc>
          <w:tcPr>
            <w:tcW w:w="24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37,140</w:t>
            </w:r>
          </w:p>
        </w:tc>
        <w:tc>
          <w:tcPr>
            <w:tcW w:w="22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w:t>
            </w:r>
          </w:p>
        </w:tc>
        <w:tc>
          <w:tcPr>
            <w:tcW w:w="24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37,140</w:t>
            </w:r>
          </w:p>
        </w:tc>
      </w:tr>
      <w:tr>
        <w:trPr>
          <w:trHeight w:val="243"/>
        </w:trPr>
        <w:tc>
          <w:tcPr>
            <w:tcW w:w="4960" w:type="dxa"/>
            <w:vAlign w:val="bottom"/>
            <w:shd w:val="clear" w:color="auto" w:fill="E5E5E5"/>
          </w:tcPr>
          <w:p>
            <w:pPr>
              <w:ind w:left="120"/>
              <w:spacing w:after="0" w:line="234" w:lineRule="exact"/>
              <w:rPr>
                <w:sz w:val="20"/>
                <w:szCs w:val="20"/>
                <w:color w:val="auto"/>
              </w:rPr>
            </w:pPr>
            <w:r>
              <w:rPr>
                <w:rFonts w:ascii="Calibri" w:cs="Calibri" w:eastAsia="Calibri" w:hAnsi="Calibri"/>
                <w:sz w:val="20"/>
                <w:szCs w:val="20"/>
                <w:color w:val="auto"/>
              </w:rPr>
              <w:t>Total</w:t>
            </w:r>
          </w:p>
        </w:tc>
        <w:tc>
          <w:tcPr>
            <w:tcW w:w="500" w:type="dxa"/>
            <w:vAlign w:val="bottom"/>
            <w:gridSpan w:val="3"/>
            <w:shd w:val="clear" w:color="auto" w:fill="E5E5E5"/>
          </w:tcPr>
          <w:p>
            <w:pPr>
              <w:jc w:val="right"/>
              <w:ind w:right="80"/>
              <w:spacing w:after="0" w:line="234" w:lineRule="exact"/>
              <w:rPr>
                <w:sz w:val="20"/>
                <w:szCs w:val="20"/>
                <w:color w:val="auto"/>
              </w:rPr>
            </w:pPr>
            <w:r>
              <w:rPr>
                <w:rFonts w:ascii="Calibri" w:cs="Calibri" w:eastAsia="Calibri" w:hAnsi="Calibri"/>
                <w:sz w:val="20"/>
                <w:szCs w:val="20"/>
                <w:color w:val="auto"/>
              </w:rPr>
              <w:t>$</w:t>
            </w:r>
          </w:p>
        </w:tc>
        <w:tc>
          <w:tcPr>
            <w:tcW w:w="104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124,384</w:t>
            </w:r>
          </w:p>
        </w:tc>
        <w:tc>
          <w:tcPr>
            <w:tcW w:w="520" w:type="dxa"/>
            <w:vAlign w:val="bottom"/>
            <w:gridSpan w:val="3"/>
            <w:shd w:val="clear" w:color="auto" w:fill="E5E5E5"/>
          </w:tcPr>
          <w:p>
            <w:pPr>
              <w:jc w:val="right"/>
              <w:ind w:right="60"/>
              <w:spacing w:after="0" w:line="234" w:lineRule="exact"/>
              <w:rPr>
                <w:sz w:val="20"/>
                <w:szCs w:val="20"/>
                <w:color w:val="auto"/>
              </w:rPr>
            </w:pPr>
            <w:r>
              <w:rPr>
                <w:rFonts w:ascii="Calibri" w:cs="Calibri" w:eastAsia="Calibri" w:hAnsi="Calibri"/>
                <w:sz w:val="20"/>
                <w:szCs w:val="20"/>
                <w:color w:val="auto"/>
              </w:rPr>
              <w:t>$</w:t>
            </w:r>
          </w:p>
        </w:tc>
        <w:tc>
          <w:tcPr>
            <w:tcW w:w="104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38,848</w:t>
            </w:r>
          </w:p>
        </w:tc>
        <w:tc>
          <w:tcPr>
            <w:tcW w:w="500" w:type="dxa"/>
            <w:vAlign w:val="bottom"/>
            <w:gridSpan w:val="3"/>
            <w:shd w:val="clear" w:color="auto" w:fill="E5E5E5"/>
          </w:tcPr>
          <w:p>
            <w:pPr>
              <w:jc w:val="right"/>
              <w:ind w:right="60"/>
              <w:spacing w:after="0" w:line="234" w:lineRule="exact"/>
              <w:rPr>
                <w:sz w:val="20"/>
                <w:szCs w:val="20"/>
                <w:color w:val="auto"/>
              </w:rPr>
            </w:pPr>
            <w:r>
              <w:rPr>
                <w:rFonts w:ascii="Calibri" w:cs="Calibri" w:eastAsia="Calibri" w:hAnsi="Calibri"/>
                <w:sz w:val="20"/>
                <w:szCs w:val="20"/>
                <w:color w:val="auto"/>
              </w:rPr>
              <w:t>$</w:t>
            </w:r>
          </w:p>
        </w:tc>
        <w:tc>
          <w:tcPr>
            <w:tcW w:w="104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w:t>
            </w:r>
          </w:p>
        </w:tc>
        <w:tc>
          <w:tcPr>
            <w:tcW w:w="540" w:type="dxa"/>
            <w:vAlign w:val="bottom"/>
            <w:gridSpan w:val="3"/>
            <w:shd w:val="clear" w:color="auto" w:fill="E5E5E5"/>
          </w:tcPr>
          <w:p>
            <w:pPr>
              <w:jc w:val="right"/>
              <w:ind w:right="80"/>
              <w:spacing w:after="0" w:line="234" w:lineRule="exact"/>
              <w:rPr>
                <w:sz w:val="20"/>
                <w:szCs w:val="20"/>
                <w:color w:val="auto"/>
              </w:rPr>
            </w:pPr>
            <w:r>
              <w:rPr>
                <w:rFonts w:ascii="Calibri" w:cs="Calibri" w:eastAsia="Calibri" w:hAnsi="Calibri"/>
                <w:sz w:val="20"/>
                <w:szCs w:val="20"/>
                <w:color w:val="auto"/>
              </w:rPr>
              <w:t>$</w:t>
            </w:r>
          </w:p>
        </w:tc>
        <w:tc>
          <w:tcPr>
            <w:tcW w:w="102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163,232</w:t>
            </w:r>
          </w:p>
        </w:tc>
      </w:tr>
      <w:tr>
        <w:trPr>
          <w:trHeight w:val="245"/>
        </w:trPr>
        <w:tc>
          <w:tcPr>
            <w:tcW w:w="4960" w:type="dxa"/>
            <w:vAlign w:val="bottom"/>
          </w:tcPr>
          <w:p>
            <w:pPr>
              <w:spacing w:after="0"/>
              <w:rPr>
                <w:sz w:val="20"/>
                <w:szCs w:val="20"/>
                <w:color w:val="auto"/>
              </w:rPr>
            </w:pPr>
            <w:r>
              <w:rPr>
                <w:rFonts w:ascii="Calibri" w:cs="Calibri" w:eastAsia="Calibri" w:hAnsi="Calibri"/>
                <w:sz w:val="20"/>
                <w:szCs w:val="20"/>
                <w:color w:val="auto"/>
              </w:rPr>
              <w:t>Financial Liabilities:</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55"/>
        </w:trPr>
        <w:tc>
          <w:tcPr>
            <w:tcW w:w="496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Royalty Fee Derivative Liability</w:t>
            </w:r>
          </w:p>
        </w:tc>
        <w:tc>
          <w:tcPr>
            <w:tcW w:w="240" w:type="dxa"/>
            <w:vAlign w:val="bottom"/>
            <w:shd w:val="clear" w:color="auto" w:fill="E5E5E5"/>
          </w:tcPr>
          <w:p>
            <w:pPr>
              <w:spacing w:after="0"/>
              <w:rPr>
                <w:sz w:val="22"/>
                <w:szCs w:val="22"/>
                <w:color w:val="auto"/>
              </w:rPr>
            </w:pPr>
          </w:p>
        </w:tc>
        <w:tc>
          <w:tcPr>
            <w:tcW w:w="260" w:type="dxa"/>
            <w:vAlign w:val="bottom"/>
            <w:tcBorders>
              <w:bottom w:val="single" w:sz="8" w:color="auto"/>
            </w:tcBorders>
            <w:gridSpan w:val="2"/>
            <w:shd w:val="clear" w:color="auto" w:fill="E5E5E5"/>
          </w:tcPr>
          <w:p>
            <w:pPr>
              <w:jc w:val="right"/>
              <w:ind w:right="80"/>
              <w:spacing w:after="0"/>
              <w:rPr>
                <w:sz w:val="20"/>
                <w:szCs w:val="20"/>
                <w:color w:val="auto"/>
              </w:rPr>
            </w:pPr>
            <w:r>
              <w:rPr>
                <w:rFonts w:ascii="Calibri" w:cs="Calibri" w:eastAsia="Calibri" w:hAnsi="Calibri"/>
                <w:sz w:val="20"/>
                <w:szCs w:val="20"/>
                <w:color w:val="auto"/>
                <w:w w:val="78"/>
              </w:rPr>
              <w:t>$</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240" w:type="dxa"/>
            <w:vAlign w:val="bottom"/>
            <w:shd w:val="clear" w:color="auto" w:fill="E5E5E5"/>
          </w:tcPr>
          <w:p>
            <w:pPr>
              <w:spacing w:after="0"/>
              <w:rPr>
                <w:sz w:val="22"/>
                <w:szCs w:val="22"/>
                <w:color w:val="auto"/>
              </w:rPr>
            </w:pPr>
          </w:p>
        </w:tc>
        <w:tc>
          <w:tcPr>
            <w:tcW w:w="280" w:type="dxa"/>
            <w:vAlign w:val="bottom"/>
            <w:tcBorders>
              <w:bottom w:val="single" w:sz="8" w:color="auto"/>
            </w:tcBorders>
            <w:gridSpan w:val="2"/>
            <w:shd w:val="clear" w:color="auto" w:fill="E5E5E5"/>
          </w:tcPr>
          <w:p>
            <w:pPr>
              <w:jc w:val="right"/>
              <w:ind w:right="60"/>
              <w:spacing w:after="0"/>
              <w:rPr>
                <w:sz w:val="20"/>
                <w:szCs w:val="20"/>
                <w:color w:val="auto"/>
              </w:rPr>
            </w:pPr>
            <w:r>
              <w:rPr>
                <w:rFonts w:ascii="Calibri" w:cs="Calibri" w:eastAsia="Calibri" w:hAnsi="Calibri"/>
                <w:sz w:val="20"/>
                <w:szCs w:val="20"/>
                <w:color w:val="auto"/>
                <w:w w:val="98"/>
              </w:rPr>
              <w:t>$</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220" w:type="dxa"/>
            <w:vAlign w:val="bottom"/>
            <w:shd w:val="clear" w:color="auto" w:fill="E5E5E5"/>
          </w:tcPr>
          <w:p>
            <w:pPr>
              <w:spacing w:after="0"/>
              <w:rPr>
                <w:sz w:val="22"/>
                <w:szCs w:val="22"/>
                <w:color w:val="auto"/>
              </w:rPr>
            </w:pPr>
          </w:p>
        </w:tc>
        <w:tc>
          <w:tcPr>
            <w:tcW w:w="280" w:type="dxa"/>
            <w:vAlign w:val="bottom"/>
            <w:tcBorders>
              <w:bottom w:val="single" w:sz="8" w:color="auto"/>
            </w:tcBorders>
            <w:gridSpan w:val="2"/>
            <w:shd w:val="clear" w:color="auto" w:fill="E5E5E5"/>
          </w:tcPr>
          <w:p>
            <w:pPr>
              <w:jc w:val="right"/>
              <w:ind w:right="60"/>
              <w:spacing w:after="0"/>
              <w:rPr>
                <w:sz w:val="20"/>
                <w:szCs w:val="20"/>
                <w:color w:val="auto"/>
              </w:rPr>
            </w:pPr>
            <w:r>
              <w:rPr>
                <w:rFonts w:ascii="Calibri" w:cs="Calibri" w:eastAsia="Calibri" w:hAnsi="Calibri"/>
                <w:sz w:val="20"/>
                <w:szCs w:val="20"/>
                <w:color w:val="auto"/>
                <w:w w:val="98"/>
              </w:rPr>
              <w:t>$</w:t>
            </w:r>
          </w:p>
        </w:tc>
        <w:tc>
          <w:tcPr>
            <w:tcW w:w="104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1,490</w:t>
            </w:r>
          </w:p>
        </w:tc>
        <w:tc>
          <w:tcPr>
            <w:tcW w:w="240" w:type="dxa"/>
            <w:vAlign w:val="bottom"/>
            <w:shd w:val="clear" w:color="auto" w:fill="E5E5E5"/>
          </w:tcPr>
          <w:p>
            <w:pPr>
              <w:spacing w:after="0"/>
              <w:rPr>
                <w:sz w:val="22"/>
                <w:szCs w:val="22"/>
                <w:color w:val="auto"/>
              </w:rPr>
            </w:pPr>
          </w:p>
        </w:tc>
        <w:tc>
          <w:tcPr>
            <w:tcW w:w="300" w:type="dxa"/>
            <w:vAlign w:val="bottom"/>
            <w:tcBorders>
              <w:bottom w:val="single" w:sz="8" w:color="auto"/>
            </w:tcBorders>
            <w:gridSpan w:val="2"/>
            <w:shd w:val="clear" w:color="auto" w:fill="E5E5E5"/>
          </w:tcPr>
          <w:p>
            <w:pPr>
              <w:jc w:val="right"/>
              <w:ind w:right="80"/>
              <w:spacing w:after="0"/>
              <w:rPr>
                <w:sz w:val="20"/>
                <w:szCs w:val="20"/>
                <w:color w:val="auto"/>
              </w:rPr>
            </w:pPr>
            <w:r>
              <w:rPr>
                <w:rFonts w:ascii="Calibri" w:cs="Calibri" w:eastAsia="Calibri" w:hAnsi="Calibri"/>
                <w:sz w:val="20"/>
                <w:szCs w:val="20"/>
                <w:color w:val="auto"/>
                <w:w w:val="98"/>
              </w:rPr>
              <w:t>$</w:t>
            </w:r>
          </w:p>
        </w:tc>
        <w:tc>
          <w:tcPr>
            <w:tcW w:w="102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1,490</w:t>
            </w:r>
          </w:p>
        </w:tc>
      </w:tr>
      <w:tr>
        <w:trPr>
          <w:trHeight w:val="518"/>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5"/>
          </w:tcPr>
          <w:p>
            <w:pPr>
              <w:jc w:val="center"/>
              <w:ind w:right="183"/>
              <w:spacing w:after="0"/>
              <w:rPr>
                <w:sz w:val="20"/>
                <w:szCs w:val="20"/>
                <w:color w:val="auto"/>
              </w:rPr>
            </w:pPr>
            <w:r>
              <w:rPr>
                <w:rFonts w:ascii="Calibri" w:cs="Calibri" w:eastAsia="Calibri" w:hAnsi="Calibri"/>
                <w:sz w:val="16"/>
                <w:szCs w:val="16"/>
                <w:b w:val="1"/>
                <w:bCs w:val="1"/>
                <w:color w:val="auto"/>
                <w:w w:val="99"/>
              </w:rPr>
              <w:t>Fair Value Measurements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center"/>
              <w:ind w:right="163"/>
              <w:spacing w:after="0"/>
              <w:rPr>
                <w:sz w:val="20"/>
                <w:szCs w:val="20"/>
                <w:color w:val="auto"/>
              </w:rPr>
            </w:pPr>
            <w:r>
              <w:rPr>
                <w:rFonts w:ascii="Calibri" w:cs="Calibri" w:eastAsia="Calibri" w:hAnsi="Calibri"/>
                <w:sz w:val="16"/>
                <w:szCs w:val="16"/>
                <w:b w:val="1"/>
                <w:bCs w:val="1"/>
                <w:color w:val="auto"/>
                <w:w w:val="99"/>
              </w:rPr>
              <w:t>December 31, 2024</w:t>
            </w: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34"/>
        </w:trPr>
        <w:tc>
          <w:tcPr>
            <w:tcW w:w="4960" w:type="dxa"/>
            <w:vAlign w:val="bottom"/>
            <w:tcBorders>
              <w:bottom w:val="single" w:sz="8" w:color="E5E5E5"/>
            </w:tcBorders>
          </w:tcPr>
          <w:p>
            <w:pPr>
              <w:spacing w:after="0"/>
              <w:rPr>
                <w:sz w:val="20"/>
                <w:szCs w:val="20"/>
                <w:color w:val="auto"/>
              </w:rPr>
            </w:pPr>
            <w:r>
              <w:rPr>
                <w:rFonts w:ascii="Calibri" w:cs="Calibri" w:eastAsia="Calibri" w:hAnsi="Calibri"/>
                <w:sz w:val="16"/>
                <w:szCs w:val="16"/>
                <w:b w:val="1"/>
                <w:bCs w:val="1"/>
                <w:color w:val="auto"/>
              </w:rPr>
              <w:t>(in thousands)</w:t>
            </w:r>
          </w:p>
        </w:tc>
        <w:tc>
          <w:tcPr>
            <w:tcW w:w="24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23"/>
              <w:spacing w:after="0"/>
              <w:rPr>
                <w:sz w:val="20"/>
                <w:szCs w:val="20"/>
                <w:color w:val="auto"/>
              </w:rPr>
            </w:pPr>
            <w:r>
              <w:rPr>
                <w:rFonts w:ascii="Calibri" w:cs="Calibri" w:eastAsia="Calibri" w:hAnsi="Calibri"/>
                <w:sz w:val="16"/>
                <w:szCs w:val="16"/>
                <w:b w:val="1"/>
                <w:bCs w:val="1"/>
                <w:color w:val="auto"/>
              </w:rPr>
              <w:t>Level 1</w:t>
            </w:r>
          </w:p>
        </w:tc>
        <w:tc>
          <w:tcPr>
            <w:tcW w:w="24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27"/>
              <w:spacing w:after="0"/>
              <w:rPr>
                <w:sz w:val="20"/>
                <w:szCs w:val="20"/>
                <w:color w:val="auto"/>
              </w:rPr>
            </w:pPr>
            <w:r>
              <w:rPr>
                <w:rFonts w:ascii="Calibri" w:cs="Calibri" w:eastAsia="Calibri" w:hAnsi="Calibri"/>
                <w:sz w:val="16"/>
                <w:szCs w:val="16"/>
                <w:b w:val="1"/>
                <w:bCs w:val="1"/>
                <w:color w:val="auto"/>
              </w:rPr>
              <w:t>Level 2</w:t>
            </w:r>
          </w:p>
        </w:tc>
        <w:tc>
          <w:tcPr>
            <w:tcW w:w="22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23"/>
              <w:spacing w:after="0"/>
              <w:rPr>
                <w:sz w:val="20"/>
                <w:szCs w:val="20"/>
                <w:color w:val="auto"/>
              </w:rPr>
            </w:pPr>
            <w:r>
              <w:rPr>
                <w:rFonts w:ascii="Calibri" w:cs="Calibri" w:eastAsia="Calibri" w:hAnsi="Calibri"/>
                <w:sz w:val="16"/>
                <w:szCs w:val="16"/>
                <w:b w:val="1"/>
                <w:bCs w:val="1"/>
                <w:color w:val="auto"/>
              </w:rPr>
              <w:t>Level 3</w:t>
            </w:r>
          </w:p>
        </w:tc>
        <w:tc>
          <w:tcPr>
            <w:tcW w:w="24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03"/>
              <w:spacing w:after="0"/>
              <w:rPr>
                <w:sz w:val="20"/>
                <w:szCs w:val="20"/>
                <w:color w:val="auto"/>
              </w:rPr>
            </w:pPr>
            <w:r>
              <w:rPr>
                <w:rFonts w:ascii="Calibri" w:cs="Calibri" w:eastAsia="Calibri" w:hAnsi="Calibri"/>
                <w:sz w:val="16"/>
                <w:szCs w:val="16"/>
                <w:b w:val="1"/>
                <w:bCs w:val="1"/>
                <w:color w:val="auto"/>
              </w:rPr>
              <w:t>Total</w:t>
            </w:r>
          </w:p>
        </w:tc>
      </w:tr>
      <w:tr>
        <w:trPr>
          <w:trHeight w:val="233"/>
        </w:trPr>
        <w:tc>
          <w:tcPr>
            <w:tcW w:w="4960" w:type="dxa"/>
            <w:vAlign w:val="bottom"/>
            <w:shd w:val="clear" w:color="auto" w:fill="E5E5E5"/>
          </w:tcPr>
          <w:p>
            <w:pPr>
              <w:spacing w:after="0" w:line="233" w:lineRule="exact"/>
              <w:rPr>
                <w:sz w:val="20"/>
                <w:szCs w:val="20"/>
                <w:color w:val="auto"/>
              </w:rPr>
            </w:pPr>
            <w:r>
              <w:rPr>
                <w:rFonts w:ascii="Calibri" w:cs="Calibri" w:eastAsia="Calibri" w:hAnsi="Calibri"/>
                <w:sz w:val="20"/>
                <w:szCs w:val="20"/>
                <w:color w:val="auto"/>
              </w:rPr>
              <w:t>Financial Assets:</w:t>
            </w:r>
          </w:p>
        </w:tc>
        <w:tc>
          <w:tcPr>
            <w:tcW w:w="2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104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104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104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1020" w:type="dxa"/>
            <w:vAlign w:val="bottom"/>
            <w:shd w:val="clear" w:color="auto" w:fill="E5E5E5"/>
          </w:tcPr>
          <w:p>
            <w:pPr>
              <w:spacing w:after="0"/>
              <w:rPr>
                <w:sz w:val="20"/>
                <w:szCs w:val="20"/>
                <w:color w:val="auto"/>
              </w:rPr>
            </w:pPr>
          </w:p>
        </w:tc>
      </w:tr>
      <w:tr>
        <w:trPr>
          <w:trHeight w:val="255"/>
        </w:trPr>
        <w:tc>
          <w:tcPr>
            <w:tcW w:w="4960" w:type="dxa"/>
            <w:vAlign w:val="bottom"/>
          </w:tcPr>
          <w:p>
            <w:pPr>
              <w:ind w:left="120"/>
              <w:spacing w:after="0" w:line="245" w:lineRule="exact"/>
              <w:rPr>
                <w:sz w:val="20"/>
                <w:szCs w:val="20"/>
                <w:color w:val="auto"/>
              </w:rPr>
            </w:pPr>
            <w:r>
              <w:rPr>
                <w:rFonts w:ascii="Calibri" w:cs="Calibri" w:eastAsia="Calibri" w:hAnsi="Calibri"/>
                <w:sz w:val="20"/>
                <w:szCs w:val="20"/>
                <w:color w:val="auto"/>
              </w:rPr>
              <w:t>Cash equivalents</w:t>
            </w:r>
            <w:r>
              <w:rPr>
                <w:rFonts w:ascii="Calibri" w:cs="Calibri" w:eastAsia="Calibri" w:hAnsi="Calibri"/>
                <w:sz w:val="25"/>
                <w:szCs w:val="25"/>
                <w:color w:val="auto"/>
                <w:vertAlign w:val="superscript"/>
              </w:rPr>
              <w:t>(1)</w:t>
            </w:r>
          </w:p>
        </w:tc>
        <w:tc>
          <w:tcPr>
            <w:tcW w:w="500" w:type="dxa"/>
            <w:vAlign w:val="bottom"/>
            <w:gridSpan w:val="3"/>
          </w:tcPr>
          <w:p>
            <w:pPr>
              <w:jc w:val="right"/>
              <w:ind w:right="80"/>
              <w:spacing w:after="0"/>
              <w:rPr>
                <w:sz w:val="20"/>
                <w:szCs w:val="20"/>
                <w:color w:val="auto"/>
              </w:rPr>
            </w:pPr>
            <w:r>
              <w:rPr>
                <w:rFonts w:ascii="Calibri" w:cs="Calibri" w:eastAsia="Calibri" w:hAnsi="Calibri"/>
                <w:sz w:val="20"/>
                <w:szCs w:val="20"/>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color w:val="auto"/>
              </w:rPr>
              <w:t>125,549</w:t>
            </w:r>
          </w:p>
        </w:tc>
        <w:tc>
          <w:tcPr>
            <w:tcW w:w="520" w:type="dxa"/>
            <w:vAlign w:val="bottom"/>
            <w:gridSpan w:val="3"/>
          </w:tcPr>
          <w:p>
            <w:pPr>
              <w:jc w:val="right"/>
              <w:ind w:right="60"/>
              <w:spacing w:after="0"/>
              <w:rPr>
                <w:sz w:val="20"/>
                <w:szCs w:val="20"/>
                <w:color w:val="auto"/>
              </w:rPr>
            </w:pPr>
            <w:r>
              <w:rPr>
                <w:rFonts w:ascii="Calibri" w:cs="Calibri" w:eastAsia="Calibri" w:hAnsi="Calibri"/>
                <w:sz w:val="20"/>
                <w:szCs w:val="20"/>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500" w:type="dxa"/>
            <w:vAlign w:val="bottom"/>
            <w:gridSpan w:val="3"/>
          </w:tcPr>
          <w:p>
            <w:pPr>
              <w:jc w:val="right"/>
              <w:ind w:right="60"/>
              <w:spacing w:after="0"/>
              <w:rPr>
                <w:sz w:val="20"/>
                <w:szCs w:val="20"/>
                <w:color w:val="auto"/>
              </w:rPr>
            </w:pPr>
            <w:r>
              <w:rPr>
                <w:rFonts w:ascii="Calibri" w:cs="Calibri" w:eastAsia="Calibri" w:hAnsi="Calibri"/>
                <w:sz w:val="20"/>
                <w:szCs w:val="20"/>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540" w:type="dxa"/>
            <w:vAlign w:val="bottom"/>
            <w:gridSpan w:val="3"/>
          </w:tcPr>
          <w:p>
            <w:pPr>
              <w:jc w:val="right"/>
              <w:ind w:right="80"/>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color w:val="auto"/>
              </w:rPr>
              <w:t>125,549</w:t>
            </w:r>
          </w:p>
        </w:tc>
      </w:tr>
      <w:tr>
        <w:trPr>
          <w:trHeight w:val="244"/>
        </w:trPr>
        <w:tc>
          <w:tcPr>
            <w:tcW w:w="4960" w:type="dxa"/>
            <w:vAlign w:val="bottom"/>
            <w:tcBorders>
              <w:top w:val="single" w:sz="8" w:color="E5E5E5"/>
            </w:tcBorders>
            <w:shd w:val="clear" w:color="auto" w:fill="E5E5E5"/>
          </w:tcPr>
          <w:p>
            <w:pPr>
              <w:spacing w:after="0"/>
              <w:rPr>
                <w:sz w:val="20"/>
                <w:szCs w:val="20"/>
                <w:color w:val="auto"/>
              </w:rPr>
            </w:pPr>
            <w:r>
              <w:rPr>
                <w:rFonts w:ascii="Calibri" w:cs="Calibri" w:eastAsia="Calibri" w:hAnsi="Calibri"/>
                <w:sz w:val="20"/>
                <w:szCs w:val="20"/>
                <w:color w:val="auto"/>
              </w:rPr>
              <w:t>Financial Liabilities:</w:t>
            </w:r>
          </w:p>
        </w:tc>
        <w:tc>
          <w:tcPr>
            <w:tcW w:w="240" w:type="dxa"/>
            <w:vAlign w:val="bottom"/>
            <w:tcBorders>
              <w:top w:val="single" w:sz="8" w:color="E5E5E5"/>
            </w:tcBorders>
            <w:shd w:val="clear" w:color="auto" w:fill="E5E5E5"/>
          </w:tcPr>
          <w:p>
            <w:pPr>
              <w:spacing w:after="0"/>
              <w:rPr>
                <w:sz w:val="21"/>
                <w:szCs w:val="21"/>
                <w:color w:val="auto"/>
              </w:rPr>
            </w:pPr>
          </w:p>
        </w:tc>
        <w:tc>
          <w:tcPr>
            <w:tcW w:w="20" w:type="dxa"/>
            <w:vAlign w:val="bottom"/>
            <w:tcBorders>
              <w:top w:val="single" w:sz="8" w:color="E5E5E5"/>
            </w:tcBorders>
            <w:shd w:val="clear" w:color="auto" w:fill="E5E5E5"/>
          </w:tcPr>
          <w:p>
            <w:pPr>
              <w:spacing w:after="0"/>
              <w:rPr>
                <w:sz w:val="21"/>
                <w:szCs w:val="21"/>
                <w:color w:val="auto"/>
              </w:rPr>
            </w:pPr>
          </w:p>
        </w:tc>
        <w:tc>
          <w:tcPr>
            <w:tcW w:w="240" w:type="dxa"/>
            <w:vAlign w:val="bottom"/>
            <w:tcBorders>
              <w:top w:val="single" w:sz="8" w:color="auto"/>
            </w:tcBorders>
            <w:shd w:val="clear" w:color="auto" w:fill="E5E5E5"/>
          </w:tcPr>
          <w:p>
            <w:pPr>
              <w:spacing w:after="0"/>
              <w:rPr>
                <w:sz w:val="21"/>
                <w:szCs w:val="21"/>
                <w:color w:val="auto"/>
              </w:rPr>
            </w:pPr>
          </w:p>
        </w:tc>
        <w:tc>
          <w:tcPr>
            <w:tcW w:w="1040" w:type="dxa"/>
            <w:vAlign w:val="bottom"/>
            <w:tcBorders>
              <w:top w:val="single" w:sz="8" w:color="auto"/>
            </w:tcBorders>
            <w:shd w:val="clear" w:color="auto" w:fill="E5E5E5"/>
          </w:tcPr>
          <w:p>
            <w:pPr>
              <w:spacing w:after="0"/>
              <w:rPr>
                <w:sz w:val="21"/>
                <w:szCs w:val="21"/>
                <w:color w:val="auto"/>
              </w:rPr>
            </w:pPr>
          </w:p>
        </w:tc>
        <w:tc>
          <w:tcPr>
            <w:tcW w:w="240" w:type="dxa"/>
            <w:vAlign w:val="bottom"/>
            <w:tcBorders>
              <w:top w:val="single" w:sz="8" w:color="E5E5E5"/>
            </w:tcBorders>
            <w:shd w:val="clear" w:color="auto" w:fill="E5E5E5"/>
          </w:tcPr>
          <w:p>
            <w:pPr>
              <w:spacing w:after="0"/>
              <w:rPr>
                <w:sz w:val="21"/>
                <w:szCs w:val="21"/>
                <w:color w:val="auto"/>
              </w:rPr>
            </w:pPr>
          </w:p>
        </w:tc>
        <w:tc>
          <w:tcPr>
            <w:tcW w:w="20" w:type="dxa"/>
            <w:vAlign w:val="bottom"/>
            <w:tcBorders>
              <w:top w:val="single" w:sz="8" w:color="E5E5E5"/>
            </w:tcBorders>
            <w:shd w:val="clear" w:color="auto" w:fill="E5E5E5"/>
          </w:tcPr>
          <w:p>
            <w:pPr>
              <w:spacing w:after="0"/>
              <w:rPr>
                <w:sz w:val="21"/>
                <w:szCs w:val="21"/>
                <w:color w:val="auto"/>
              </w:rPr>
            </w:pPr>
          </w:p>
        </w:tc>
        <w:tc>
          <w:tcPr>
            <w:tcW w:w="260" w:type="dxa"/>
            <w:vAlign w:val="bottom"/>
            <w:tcBorders>
              <w:top w:val="single" w:sz="8" w:color="auto"/>
            </w:tcBorders>
            <w:shd w:val="clear" w:color="auto" w:fill="E5E5E5"/>
          </w:tcPr>
          <w:p>
            <w:pPr>
              <w:spacing w:after="0"/>
              <w:rPr>
                <w:sz w:val="21"/>
                <w:szCs w:val="21"/>
                <w:color w:val="auto"/>
              </w:rPr>
            </w:pPr>
          </w:p>
        </w:tc>
        <w:tc>
          <w:tcPr>
            <w:tcW w:w="1040" w:type="dxa"/>
            <w:vAlign w:val="bottom"/>
            <w:tcBorders>
              <w:top w:val="single" w:sz="8" w:color="auto"/>
            </w:tcBorders>
            <w:shd w:val="clear" w:color="auto" w:fill="E5E5E5"/>
          </w:tcPr>
          <w:p>
            <w:pPr>
              <w:spacing w:after="0"/>
              <w:rPr>
                <w:sz w:val="21"/>
                <w:szCs w:val="21"/>
                <w:color w:val="auto"/>
              </w:rPr>
            </w:pPr>
          </w:p>
        </w:tc>
        <w:tc>
          <w:tcPr>
            <w:tcW w:w="220" w:type="dxa"/>
            <w:vAlign w:val="bottom"/>
            <w:tcBorders>
              <w:top w:val="single" w:sz="8" w:color="E5E5E5"/>
            </w:tcBorders>
            <w:shd w:val="clear" w:color="auto" w:fill="E5E5E5"/>
          </w:tcPr>
          <w:p>
            <w:pPr>
              <w:spacing w:after="0"/>
              <w:rPr>
                <w:sz w:val="21"/>
                <w:szCs w:val="21"/>
                <w:color w:val="auto"/>
              </w:rPr>
            </w:pPr>
          </w:p>
        </w:tc>
        <w:tc>
          <w:tcPr>
            <w:tcW w:w="20" w:type="dxa"/>
            <w:vAlign w:val="bottom"/>
            <w:tcBorders>
              <w:top w:val="single" w:sz="8" w:color="E5E5E5"/>
            </w:tcBorders>
            <w:shd w:val="clear" w:color="auto" w:fill="E5E5E5"/>
          </w:tcPr>
          <w:p>
            <w:pPr>
              <w:spacing w:after="0"/>
              <w:rPr>
                <w:sz w:val="21"/>
                <w:szCs w:val="21"/>
                <w:color w:val="auto"/>
              </w:rPr>
            </w:pPr>
          </w:p>
        </w:tc>
        <w:tc>
          <w:tcPr>
            <w:tcW w:w="260" w:type="dxa"/>
            <w:vAlign w:val="bottom"/>
            <w:tcBorders>
              <w:top w:val="single" w:sz="8" w:color="auto"/>
            </w:tcBorders>
            <w:shd w:val="clear" w:color="auto" w:fill="E5E5E5"/>
          </w:tcPr>
          <w:p>
            <w:pPr>
              <w:spacing w:after="0"/>
              <w:rPr>
                <w:sz w:val="21"/>
                <w:szCs w:val="21"/>
                <w:color w:val="auto"/>
              </w:rPr>
            </w:pPr>
          </w:p>
        </w:tc>
        <w:tc>
          <w:tcPr>
            <w:tcW w:w="1040" w:type="dxa"/>
            <w:vAlign w:val="bottom"/>
            <w:tcBorders>
              <w:top w:val="single" w:sz="8" w:color="auto"/>
            </w:tcBorders>
            <w:shd w:val="clear" w:color="auto" w:fill="E5E5E5"/>
          </w:tcPr>
          <w:p>
            <w:pPr>
              <w:spacing w:after="0"/>
              <w:rPr>
                <w:sz w:val="21"/>
                <w:szCs w:val="21"/>
                <w:color w:val="auto"/>
              </w:rPr>
            </w:pPr>
          </w:p>
        </w:tc>
        <w:tc>
          <w:tcPr>
            <w:tcW w:w="240" w:type="dxa"/>
            <w:vAlign w:val="bottom"/>
            <w:tcBorders>
              <w:top w:val="single" w:sz="8" w:color="E5E5E5"/>
            </w:tcBorders>
            <w:shd w:val="clear" w:color="auto" w:fill="E5E5E5"/>
          </w:tcPr>
          <w:p>
            <w:pPr>
              <w:spacing w:after="0"/>
              <w:rPr>
                <w:sz w:val="21"/>
                <w:szCs w:val="21"/>
                <w:color w:val="auto"/>
              </w:rPr>
            </w:pPr>
          </w:p>
        </w:tc>
        <w:tc>
          <w:tcPr>
            <w:tcW w:w="20" w:type="dxa"/>
            <w:vAlign w:val="bottom"/>
            <w:tcBorders>
              <w:top w:val="single" w:sz="8" w:color="E5E5E5"/>
            </w:tcBorders>
            <w:shd w:val="clear" w:color="auto" w:fill="E5E5E5"/>
          </w:tcPr>
          <w:p>
            <w:pPr>
              <w:spacing w:after="0"/>
              <w:rPr>
                <w:sz w:val="21"/>
                <w:szCs w:val="21"/>
                <w:color w:val="auto"/>
              </w:rPr>
            </w:pPr>
          </w:p>
        </w:tc>
        <w:tc>
          <w:tcPr>
            <w:tcW w:w="280" w:type="dxa"/>
            <w:vAlign w:val="bottom"/>
            <w:tcBorders>
              <w:top w:val="single" w:sz="8" w:color="auto"/>
            </w:tcBorders>
            <w:shd w:val="clear" w:color="auto" w:fill="E5E5E5"/>
          </w:tcPr>
          <w:p>
            <w:pPr>
              <w:spacing w:after="0"/>
              <w:rPr>
                <w:sz w:val="21"/>
                <w:szCs w:val="21"/>
                <w:color w:val="auto"/>
              </w:rPr>
            </w:pPr>
          </w:p>
        </w:tc>
        <w:tc>
          <w:tcPr>
            <w:tcW w:w="1020" w:type="dxa"/>
            <w:vAlign w:val="bottom"/>
            <w:tcBorders>
              <w:top w:val="single" w:sz="8" w:color="auto"/>
            </w:tcBorders>
            <w:shd w:val="clear" w:color="auto" w:fill="E5E5E5"/>
          </w:tcPr>
          <w:p>
            <w:pPr>
              <w:spacing w:after="0"/>
              <w:rPr>
                <w:sz w:val="21"/>
                <w:szCs w:val="21"/>
                <w:color w:val="auto"/>
              </w:rPr>
            </w:pPr>
          </w:p>
        </w:tc>
      </w:tr>
      <w:tr>
        <w:trPr>
          <w:trHeight w:val="245"/>
        </w:trPr>
        <w:tc>
          <w:tcPr>
            <w:tcW w:w="4960" w:type="dxa"/>
            <w:vAlign w:val="bottom"/>
          </w:tcPr>
          <w:p>
            <w:pPr>
              <w:ind w:left="120"/>
              <w:spacing w:after="0"/>
              <w:rPr>
                <w:sz w:val="20"/>
                <w:szCs w:val="20"/>
                <w:color w:val="auto"/>
              </w:rPr>
            </w:pPr>
            <w:r>
              <w:rPr>
                <w:rFonts w:ascii="Calibri" w:cs="Calibri" w:eastAsia="Calibri" w:hAnsi="Calibri"/>
                <w:sz w:val="20"/>
                <w:szCs w:val="20"/>
                <w:color w:val="auto"/>
              </w:rPr>
              <w:t>Royalty Fee Derivative Liability</w:t>
            </w:r>
          </w:p>
        </w:tc>
        <w:tc>
          <w:tcPr>
            <w:tcW w:w="500" w:type="dxa"/>
            <w:vAlign w:val="bottom"/>
            <w:gridSpan w:val="3"/>
          </w:tcPr>
          <w:p>
            <w:pPr>
              <w:jc w:val="right"/>
              <w:ind w:right="80"/>
              <w:spacing w:after="0"/>
              <w:rPr>
                <w:sz w:val="20"/>
                <w:szCs w:val="20"/>
                <w:color w:val="auto"/>
              </w:rPr>
            </w:pPr>
            <w:r>
              <w:rPr>
                <w:rFonts w:ascii="Calibri" w:cs="Calibri" w:eastAsia="Calibri" w:hAnsi="Calibri"/>
                <w:sz w:val="20"/>
                <w:szCs w:val="20"/>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520" w:type="dxa"/>
            <w:vAlign w:val="bottom"/>
            <w:gridSpan w:val="3"/>
          </w:tcPr>
          <w:p>
            <w:pPr>
              <w:jc w:val="right"/>
              <w:ind w:right="60"/>
              <w:spacing w:after="0"/>
              <w:rPr>
                <w:sz w:val="20"/>
                <w:szCs w:val="20"/>
                <w:color w:val="auto"/>
              </w:rPr>
            </w:pPr>
            <w:r>
              <w:rPr>
                <w:rFonts w:ascii="Calibri" w:cs="Calibri" w:eastAsia="Calibri" w:hAnsi="Calibri"/>
                <w:sz w:val="20"/>
                <w:szCs w:val="20"/>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500" w:type="dxa"/>
            <w:vAlign w:val="bottom"/>
            <w:gridSpan w:val="3"/>
          </w:tcPr>
          <w:p>
            <w:pPr>
              <w:jc w:val="right"/>
              <w:ind w:right="60"/>
              <w:spacing w:after="0"/>
              <w:rPr>
                <w:sz w:val="20"/>
                <w:szCs w:val="20"/>
                <w:color w:val="auto"/>
              </w:rPr>
            </w:pPr>
            <w:r>
              <w:rPr>
                <w:rFonts w:ascii="Calibri" w:cs="Calibri" w:eastAsia="Calibri" w:hAnsi="Calibri"/>
                <w:sz w:val="20"/>
                <w:szCs w:val="20"/>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color w:val="auto"/>
              </w:rPr>
              <w:t>13,620</w:t>
            </w:r>
          </w:p>
        </w:tc>
        <w:tc>
          <w:tcPr>
            <w:tcW w:w="540" w:type="dxa"/>
            <w:vAlign w:val="bottom"/>
            <w:gridSpan w:val="3"/>
          </w:tcPr>
          <w:p>
            <w:pPr>
              <w:jc w:val="right"/>
              <w:ind w:right="80"/>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color w:val="auto"/>
              </w:rPr>
              <w:t>13,620</w:t>
            </w:r>
          </w:p>
        </w:tc>
      </w:tr>
      <w:tr>
        <w:trPr>
          <w:trHeight w:val="244"/>
        </w:trPr>
        <w:tc>
          <w:tcPr>
            <w:tcW w:w="496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Contingent consideration</w:t>
            </w:r>
          </w:p>
        </w:tc>
        <w:tc>
          <w:tcPr>
            <w:tcW w:w="2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40" w:type="dxa"/>
            <w:vAlign w:val="bottom"/>
            <w:tcBorders>
              <w:bottom w:val="single" w:sz="8" w:color="auto"/>
            </w:tcBorders>
            <w:shd w:val="clear" w:color="auto" w:fill="E5E5E5"/>
          </w:tcPr>
          <w:p>
            <w:pPr>
              <w:spacing w:after="0"/>
              <w:rPr>
                <w:sz w:val="21"/>
                <w:szCs w:val="21"/>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2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22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632</w:t>
            </w:r>
          </w:p>
        </w:tc>
        <w:tc>
          <w:tcPr>
            <w:tcW w:w="2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80" w:type="dxa"/>
            <w:vAlign w:val="bottom"/>
            <w:tcBorders>
              <w:bottom w:val="single" w:sz="8" w:color="auto"/>
            </w:tcBorders>
            <w:shd w:val="clear" w:color="auto" w:fill="E5E5E5"/>
          </w:tcPr>
          <w:p>
            <w:pPr>
              <w:spacing w:after="0"/>
              <w:rPr>
                <w:sz w:val="21"/>
                <w:szCs w:val="21"/>
                <w:color w:val="auto"/>
              </w:rPr>
            </w:pPr>
          </w:p>
        </w:tc>
        <w:tc>
          <w:tcPr>
            <w:tcW w:w="102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632</w:t>
            </w:r>
          </w:p>
        </w:tc>
      </w:tr>
      <w:tr>
        <w:trPr>
          <w:trHeight w:val="244"/>
        </w:trPr>
        <w:tc>
          <w:tcPr>
            <w:tcW w:w="4960" w:type="dxa"/>
            <w:vAlign w:val="bottom"/>
          </w:tcPr>
          <w:p>
            <w:pPr>
              <w:ind w:left="120"/>
              <w:spacing w:after="0" w:line="235" w:lineRule="exact"/>
              <w:rPr>
                <w:sz w:val="20"/>
                <w:szCs w:val="20"/>
                <w:color w:val="auto"/>
              </w:rPr>
            </w:pPr>
            <w:r>
              <w:rPr>
                <w:rFonts w:ascii="Calibri" w:cs="Calibri" w:eastAsia="Calibri" w:hAnsi="Calibri"/>
                <w:sz w:val="20"/>
                <w:szCs w:val="20"/>
                <w:color w:val="auto"/>
              </w:rPr>
              <w:t>Total</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80"/>
              <w:spacing w:after="0"/>
              <w:rPr>
                <w:sz w:val="20"/>
                <w:szCs w:val="20"/>
                <w:color w:val="auto"/>
              </w:rPr>
            </w:pPr>
            <w:r>
              <w:rPr>
                <w:rFonts w:ascii="Calibri" w:cs="Calibri" w:eastAsia="Calibri" w:hAnsi="Calibri"/>
                <w:sz w:val="16"/>
                <w:szCs w:val="16"/>
                <w:color w:val="auto"/>
                <w:w w:val="73"/>
              </w:rPr>
              <w:t>$</w:t>
            </w:r>
          </w:p>
        </w:tc>
        <w:tc>
          <w:tcPr>
            <w:tcW w:w="1040" w:type="dxa"/>
            <w:vAlign w:val="bottom"/>
            <w:tcBorders>
              <w:bottom w:val="single" w:sz="8" w:color="auto"/>
            </w:tcBorders>
          </w:tcPr>
          <w:p>
            <w:pPr>
              <w:jc w:val="right"/>
              <w:spacing w:after="0" w:line="235" w:lineRule="exact"/>
              <w:rPr>
                <w:sz w:val="20"/>
                <w:szCs w:val="20"/>
                <w:color w:val="auto"/>
              </w:rPr>
            </w:pPr>
            <w:r>
              <w:rPr>
                <w:rFonts w:ascii="Calibri" w:cs="Calibri" w:eastAsia="Calibri" w:hAnsi="Calibri"/>
                <w:sz w:val="20"/>
                <w:szCs w:val="20"/>
                <w:color w:val="auto"/>
              </w:rPr>
              <w:t>—</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60"/>
              <w:spacing w:after="0" w:line="235" w:lineRule="exact"/>
              <w:rPr>
                <w:sz w:val="20"/>
                <w:szCs w:val="20"/>
                <w:color w:val="auto"/>
              </w:rPr>
            </w:pPr>
            <w:r>
              <w:rPr>
                <w:rFonts w:ascii="Calibri" w:cs="Calibri" w:eastAsia="Calibri" w:hAnsi="Calibri"/>
                <w:sz w:val="20"/>
                <w:szCs w:val="20"/>
                <w:color w:val="auto"/>
                <w:w w:val="78"/>
              </w:rPr>
              <w:t>$</w:t>
            </w:r>
          </w:p>
        </w:tc>
        <w:tc>
          <w:tcPr>
            <w:tcW w:w="1040" w:type="dxa"/>
            <w:vAlign w:val="bottom"/>
            <w:tcBorders>
              <w:bottom w:val="single" w:sz="8" w:color="auto"/>
            </w:tcBorders>
          </w:tcPr>
          <w:p>
            <w:pPr>
              <w:jc w:val="right"/>
              <w:spacing w:after="0" w:line="235" w:lineRule="exact"/>
              <w:rPr>
                <w:sz w:val="20"/>
                <w:szCs w:val="20"/>
                <w:color w:val="auto"/>
              </w:rPr>
            </w:pPr>
            <w:r>
              <w:rPr>
                <w:rFonts w:ascii="Calibri" w:cs="Calibri" w:eastAsia="Calibri" w:hAnsi="Calibri"/>
                <w:sz w:val="20"/>
                <w:szCs w:val="20"/>
                <w:color w:val="auto"/>
              </w:rPr>
              <w:t>—</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60"/>
              <w:spacing w:after="0" w:line="235" w:lineRule="exact"/>
              <w:rPr>
                <w:sz w:val="20"/>
                <w:szCs w:val="20"/>
                <w:color w:val="auto"/>
              </w:rPr>
            </w:pPr>
            <w:r>
              <w:rPr>
                <w:rFonts w:ascii="Calibri" w:cs="Calibri" w:eastAsia="Calibri" w:hAnsi="Calibri"/>
                <w:sz w:val="20"/>
                <w:szCs w:val="20"/>
                <w:color w:val="auto"/>
                <w:w w:val="78"/>
              </w:rPr>
              <w:t>$</w:t>
            </w:r>
          </w:p>
        </w:tc>
        <w:tc>
          <w:tcPr>
            <w:tcW w:w="1040" w:type="dxa"/>
            <w:vAlign w:val="bottom"/>
            <w:tcBorders>
              <w:bottom w:val="single" w:sz="8" w:color="auto"/>
            </w:tcBorders>
          </w:tcPr>
          <w:p>
            <w:pPr>
              <w:jc w:val="right"/>
              <w:spacing w:after="0" w:line="235" w:lineRule="exact"/>
              <w:rPr>
                <w:sz w:val="20"/>
                <w:szCs w:val="20"/>
                <w:color w:val="auto"/>
              </w:rPr>
            </w:pPr>
            <w:r>
              <w:rPr>
                <w:rFonts w:ascii="Calibri" w:cs="Calibri" w:eastAsia="Calibri" w:hAnsi="Calibri"/>
                <w:sz w:val="20"/>
                <w:szCs w:val="20"/>
                <w:color w:val="auto"/>
              </w:rPr>
              <w:t>14,252</w:t>
            </w: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80"/>
              <w:spacing w:after="0" w:line="235" w:lineRule="exact"/>
              <w:rPr>
                <w:sz w:val="20"/>
                <w:szCs w:val="20"/>
                <w:color w:val="auto"/>
              </w:rPr>
            </w:pPr>
            <w:r>
              <w:rPr>
                <w:rFonts w:ascii="Calibri" w:cs="Calibri" w:eastAsia="Calibri" w:hAnsi="Calibri"/>
                <w:sz w:val="20"/>
                <w:szCs w:val="20"/>
                <w:color w:val="auto"/>
                <w:w w:val="78"/>
              </w:rPr>
              <w:t>$</w:t>
            </w:r>
          </w:p>
        </w:tc>
        <w:tc>
          <w:tcPr>
            <w:tcW w:w="1020" w:type="dxa"/>
            <w:vAlign w:val="bottom"/>
            <w:tcBorders>
              <w:bottom w:val="single" w:sz="8" w:color="auto"/>
            </w:tcBorders>
          </w:tcPr>
          <w:p>
            <w:pPr>
              <w:jc w:val="right"/>
              <w:spacing w:after="0" w:line="235" w:lineRule="exact"/>
              <w:rPr>
                <w:sz w:val="20"/>
                <w:szCs w:val="20"/>
                <w:color w:val="auto"/>
              </w:rPr>
            </w:pPr>
            <w:r>
              <w:rPr>
                <w:rFonts w:ascii="Calibri" w:cs="Calibri" w:eastAsia="Calibri" w:hAnsi="Calibri"/>
                <w:sz w:val="20"/>
                <w:szCs w:val="20"/>
                <w:color w:val="auto"/>
              </w:rPr>
              <w:t>14,252</w:t>
            </w:r>
          </w:p>
        </w:tc>
      </w:tr>
    </w:tbl>
    <w:p>
      <w:pPr>
        <w:spacing w:after="0" w:line="135" w:lineRule="exact"/>
        <w:rPr>
          <w:sz w:val="20"/>
          <w:szCs w:val="20"/>
          <w:color w:val="auto"/>
        </w:rPr>
      </w:pPr>
    </w:p>
    <w:p>
      <w:pPr>
        <w:ind w:left="360" w:hanging="353"/>
        <w:spacing w:after="0" w:line="260" w:lineRule="auto"/>
        <w:tabs>
          <w:tab w:leader="none" w:pos="360"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Cash equivalents may include the following: money market funds, U.S treasury securities, commercial paper or corporate notes with original maturities of 90 days or less.</w:t>
      </w:r>
    </w:p>
    <w:p>
      <w:pPr>
        <w:spacing w:after="0" w:line="141"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The cost, unrealized gains or losses, and fair value by investment type are summarized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140"/>
              <w:spacing w:after="0"/>
              <w:rPr>
                <w:sz w:val="20"/>
                <w:szCs w:val="20"/>
                <w:color w:val="auto"/>
              </w:rPr>
            </w:pPr>
            <w:r>
              <w:rPr>
                <w:rFonts w:ascii="Calibri" w:cs="Calibri" w:eastAsia="Calibri" w:hAnsi="Calibri"/>
                <w:sz w:val="16"/>
                <w:szCs w:val="16"/>
                <w:b w:val="1"/>
                <w:bCs w:val="1"/>
                <w:color w:val="auto"/>
              </w:rPr>
              <w:t>December 31, 2025</w:t>
            </w:r>
          </w:p>
        </w:tc>
        <w:tc>
          <w:tcPr>
            <w:tcW w:w="4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34"/>
        </w:trPr>
        <w:tc>
          <w:tcPr>
            <w:tcW w:w="4880" w:type="dxa"/>
            <w:vAlign w:val="bottom"/>
            <w:tcBorders>
              <w:bottom w:val="single" w:sz="8" w:color="E5E5E5"/>
            </w:tcBorders>
          </w:tcPr>
          <w:p>
            <w:pPr>
              <w:spacing w:after="0"/>
              <w:rPr>
                <w:sz w:val="20"/>
                <w:szCs w:val="20"/>
                <w:color w:val="auto"/>
              </w:rPr>
            </w:pPr>
            <w:r>
              <w:rPr>
                <w:rFonts w:ascii="Calibri" w:cs="Calibri" w:eastAsia="Calibri" w:hAnsi="Calibri"/>
                <w:sz w:val="16"/>
                <w:szCs w:val="16"/>
                <w:b w:val="1"/>
                <w:bCs w:val="1"/>
                <w:color w:val="auto"/>
              </w:rPr>
              <w:t>(in thousands)</w:t>
            </w:r>
          </w:p>
        </w:tc>
        <w:tc>
          <w:tcPr>
            <w:tcW w:w="240" w:type="dxa"/>
            <w:vAlign w:val="bottom"/>
            <w:tcBorders>
              <w:bottom w:val="single" w:sz="8" w:color="E5E5E5"/>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5"/>
              <w:spacing w:after="0"/>
              <w:rPr>
                <w:sz w:val="20"/>
                <w:szCs w:val="20"/>
                <w:color w:val="auto"/>
              </w:rPr>
            </w:pPr>
            <w:r>
              <w:rPr>
                <w:rFonts w:ascii="Calibri" w:cs="Calibri" w:eastAsia="Calibri" w:hAnsi="Calibri"/>
                <w:sz w:val="16"/>
                <w:szCs w:val="16"/>
                <w:b w:val="1"/>
                <w:bCs w:val="1"/>
                <w:color w:val="auto"/>
              </w:rPr>
              <w:t>Cost</w:t>
            </w:r>
          </w:p>
        </w:tc>
        <w:tc>
          <w:tcPr>
            <w:tcW w:w="24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6"/>
                <w:szCs w:val="16"/>
                <w:b w:val="1"/>
                <w:bCs w:val="1"/>
                <w:color w:val="auto"/>
                <w:w w:val="98"/>
              </w:rPr>
              <w:t>Unrealized Gain</w:t>
            </w:r>
          </w:p>
        </w:tc>
        <w:tc>
          <w:tcPr>
            <w:tcW w:w="24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1280" w:type="dxa"/>
            <w:vAlign w:val="bottom"/>
            <w:tcBorders>
              <w:bottom w:val="single" w:sz="8" w:color="auto"/>
            </w:tcBorders>
            <w:gridSpan w:val="2"/>
          </w:tcPr>
          <w:p>
            <w:pPr>
              <w:ind w:left="60"/>
              <w:spacing w:after="0"/>
              <w:rPr>
                <w:sz w:val="20"/>
                <w:szCs w:val="20"/>
                <w:color w:val="auto"/>
              </w:rPr>
            </w:pPr>
            <w:r>
              <w:rPr>
                <w:rFonts w:ascii="Calibri" w:cs="Calibri" w:eastAsia="Calibri" w:hAnsi="Calibri"/>
                <w:sz w:val="16"/>
                <w:szCs w:val="16"/>
                <w:b w:val="1"/>
                <w:bCs w:val="1"/>
                <w:color w:val="auto"/>
              </w:rPr>
              <w:t>Unrealized (Loss)</w:t>
            </w:r>
          </w:p>
        </w:tc>
        <w:tc>
          <w:tcPr>
            <w:tcW w:w="22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5"/>
              <w:spacing w:after="0"/>
              <w:rPr>
                <w:sz w:val="20"/>
                <w:szCs w:val="20"/>
                <w:color w:val="auto"/>
              </w:rPr>
            </w:pPr>
            <w:r>
              <w:rPr>
                <w:rFonts w:ascii="Calibri" w:cs="Calibri" w:eastAsia="Calibri" w:hAnsi="Calibri"/>
                <w:sz w:val="16"/>
                <w:szCs w:val="16"/>
                <w:b w:val="1"/>
                <w:bCs w:val="1"/>
                <w:color w:val="auto"/>
              </w:rPr>
              <w:t>Fair Value</w:t>
            </w:r>
          </w:p>
        </w:tc>
        <w:tc>
          <w:tcPr>
            <w:tcW w:w="20" w:type="dxa"/>
            <w:vAlign w:val="bottom"/>
          </w:tcPr>
          <w:p>
            <w:pPr>
              <w:spacing w:after="0"/>
              <w:rPr>
                <w:sz w:val="20"/>
                <w:szCs w:val="20"/>
                <w:color w:val="auto"/>
              </w:rPr>
            </w:pPr>
          </w:p>
        </w:tc>
      </w:tr>
      <w:tr>
        <w:trPr>
          <w:trHeight w:val="233"/>
        </w:trPr>
        <w:tc>
          <w:tcPr>
            <w:tcW w:w="4880" w:type="dxa"/>
            <w:vAlign w:val="bottom"/>
            <w:shd w:val="clear" w:color="auto" w:fill="E5E5E5"/>
          </w:tcPr>
          <w:p>
            <w:pPr>
              <w:spacing w:after="0" w:line="233" w:lineRule="exact"/>
              <w:rPr>
                <w:sz w:val="20"/>
                <w:szCs w:val="20"/>
                <w:color w:val="auto"/>
              </w:rPr>
            </w:pPr>
            <w:r>
              <w:rPr>
                <w:rFonts w:ascii="Calibri" w:cs="Calibri" w:eastAsia="Calibri" w:hAnsi="Calibri"/>
                <w:sz w:val="20"/>
                <w:szCs w:val="20"/>
                <w:color w:val="auto"/>
              </w:rPr>
              <w:t>Money market funds</w:t>
            </w:r>
          </w:p>
        </w:tc>
        <w:tc>
          <w:tcPr>
            <w:tcW w:w="540" w:type="dxa"/>
            <w:vAlign w:val="bottom"/>
            <w:gridSpan w:val="2"/>
            <w:shd w:val="clear" w:color="auto" w:fill="E5E5E5"/>
          </w:tcPr>
          <w:p>
            <w:pPr>
              <w:jc w:val="right"/>
              <w:ind w:right="80"/>
              <w:spacing w:after="0" w:line="233" w:lineRule="exact"/>
              <w:rPr>
                <w:sz w:val="20"/>
                <w:szCs w:val="20"/>
                <w:color w:val="auto"/>
              </w:rPr>
            </w:pPr>
            <w:r>
              <w:rPr>
                <w:rFonts w:ascii="Calibri" w:cs="Calibri" w:eastAsia="Calibri" w:hAnsi="Calibri"/>
                <w:sz w:val="20"/>
                <w:szCs w:val="20"/>
                <w:color w:val="auto"/>
              </w:rPr>
              <w:t>$</w:t>
            </w:r>
          </w:p>
        </w:tc>
        <w:tc>
          <w:tcPr>
            <w:tcW w:w="98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78,278</w:t>
            </w:r>
          </w:p>
        </w:tc>
        <w:tc>
          <w:tcPr>
            <w:tcW w:w="360" w:type="dxa"/>
            <w:vAlign w:val="bottom"/>
            <w:gridSpan w:val="3"/>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w:t>
            </w:r>
          </w:p>
        </w:tc>
        <w:tc>
          <w:tcPr>
            <w:tcW w:w="116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w:t>
            </w:r>
          </w:p>
        </w:tc>
        <w:tc>
          <w:tcPr>
            <w:tcW w:w="1080" w:type="dxa"/>
            <w:vAlign w:val="bottom"/>
            <w:gridSpan w:val="3"/>
            <w:shd w:val="clear" w:color="auto" w:fill="E5E5E5"/>
          </w:tcPr>
          <w:p>
            <w:pPr>
              <w:jc w:val="right"/>
              <w:ind w:right="640"/>
              <w:spacing w:after="0" w:line="233" w:lineRule="exact"/>
              <w:rPr>
                <w:sz w:val="20"/>
                <w:szCs w:val="20"/>
                <w:color w:val="auto"/>
              </w:rPr>
            </w:pPr>
            <w:r>
              <w:rPr>
                <w:rFonts w:ascii="Calibri" w:cs="Calibri" w:eastAsia="Calibri" w:hAnsi="Calibri"/>
                <w:sz w:val="20"/>
                <w:szCs w:val="20"/>
                <w:color w:val="auto"/>
              </w:rPr>
              <w:t>$</w:t>
            </w:r>
          </w:p>
        </w:tc>
        <w:tc>
          <w:tcPr>
            <w:tcW w:w="460" w:type="dxa"/>
            <w:vAlign w:val="bottom"/>
            <w:shd w:val="clear" w:color="auto" w:fill="E5E5E5"/>
          </w:tcPr>
          <w:p>
            <w:pPr>
              <w:ind w:left="200"/>
              <w:spacing w:after="0" w:line="233" w:lineRule="exact"/>
              <w:rPr>
                <w:sz w:val="20"/>
                <w:szCs w:val="20"/>
                <w:color w:val="auto"/>
              </w:rPr>
            </w:pPr>
            <w:r>
              <w:rPr>
                <w:rFonts w:ascii="Calibri" w:cs="Calibri" w:eastAsia="Calibri" w:hAnsi="Calibri"/>
                <w:sz w:val="20"/>
                <w:szCs w:val="20"/>
                <w:color w:val="auto"/>
              </w:rPr>
              <w:t>—</w:t>
            </w:r>
          </w:p>
        </w:tc>
        <w:tc>
          <w:tcPr>
            <w:tcW w:w="480" w:type="dxa"/>
            <w:vAlign w:val="bottom"/>
            <w:gridSpan w:val="3"/>
            <w:shd w:val="clear" w:color="auto" w:fill="E5E5E5"/>
          </w:tcPr>
          <w:p>
            <w:pPr>
              <w:jc w:val="right"/>
              <w:ind w:right="140"/>
              <w:spacing w:after="0" w:line="233" w:lineRule="exact"/>
              <w:rPr>
                <w:sz w:val="20"/>
                <w:szCs w:val="20"/>
                <w:color w:val="auto"/>
              </w:rPr>
            </w:pPr>
            <w:r>
              <w:rPr>
                <w:rFonts w:ascii="Calibri" w:cs="Calibri" w:eastAsia="Calibri" w:hAnsi="Calibri"/>
                <w:sz w:val="20"/>
                <w:szCs w:val="20"/>
                <w:color w:val="auto"/>
              </w:rPr>
              <w:t>$</w:t>
            </w:r>
          </w:p>
        </w:tc>
        <w:tc>
          <w:tcPr>
            <w:tcW w:w="122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78,278</w:t>
            </w:r>
          </w:p>
        </w:tc>
        <w:tc>
          <w:tcPr>
            <w:tcW w:w="20" w:type="dxa"/>
            <w:vAlign w:val="bottom"/>
          </w:tcPr>
          <w:p>
            <w:pPr>
              <w:spacing w:after="0"/>
              <w:rPr>
                <w:sz w:val="20"/>
                <w:szCs w:val="20"/>
                <w:color w:val="auto"/>
              </w:rPr>
            </w:pPr>
          </w:p>
        </w:tc>
      </w:tr>
      <w:tr>
        <w:trPr>
          <w:trHeight w:val="245"/>
        </w:trPr>
        <w:tc>
          <w:tcPr>
            <w:tcW w:w="4880" w:type="dxa"/>
            <w:vAlign w:val="bottom"/>
          </w:tcPr>
          <w:p>
            <w:pPr>
              <w:spacing w:after="0"/>
              <w:rPr>
                <w:sz w:val="20"/>
                <w:szCs w:val="20"/>
                <w:color w:val="auto"/>
              </w:rPr>
            </w:pPr>
            <w:r>
              <w:rPr>
                <w:rFonts w:ascii="Calibri" w:cs="Calibri" w:eastAsia="Calibri" w:hAnsi="Calibri"/>
                <w:sz w:val="20"/>
                <w:szCs w:val="20"/>
                <w:color w:val="auto"/>
              </w:rPr>
              <w:t>U.S. government agency securities</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color w:val="auto"/>
              </w:rPr>
              <w:t>3,800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Calibri" w:cs="Calibri" w:eastAsia="Calibri" w:hAnsi="Calibri"/>
                <w:sz w:val="20"/>
                <w:szCs w:val="20"/>
                <w:color w:val="auto"/>
              </w:rPr>
              <w:t>3</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ind w:left="220"/>
              <w:spacing w:after="0"/>
              <w:rPr>
                <w:sz w:val="20"/>
                <w:szCs w:val="20"/>
                <w:color w:val="auto"/>
              </w:rPr>
            </w:pPr>
            <w:r>
              <w:rPr>
                <w:rFonts w:ascii="Calibri" w:cs="Calibri" w:eastAsia="Calibri" w:hAnsi="Calibri"/>
                <w:sz w:val="20"/>
                <w:szCs w:val="20"/>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Calibri" w:cs="Calibri" w:eastAsia="Calibri" w:hAnsi="Calibri"/>
                <w:sz w:val="20"/>
                <w:szCs w:val="20"/>
                <w:color w:val="auto"/>
              </w:rPr>
              <w:t>3,803</w:t>
            </w:r>
          </w:p>
        </w:tc>
        <w:tc>
          <w:tcPr>
            <w:tcW w:w="20" w:type="dxa"/>
            <w:vAlign w:val="bottom"/>
          </w:tcPr>
          <w:p>
            <w:pPr>
              <w:spacing w:after="0"/>
              <w:rPr>
                <w:sz w:val="21"/>
                <w:szCs w:val="21"/>
                <w:color w:val="auto"/>
              </w:rPr>
            </w:pPr>
          </w:p>
        </w:tc>
      </w:tr>
      <w:tr>
        <w:trPr>
          <w:trHeight w:val="244"/>
        </w:trPr>
        <w:tc>
          <w:tcPr>
            <w:tcW w:w="4880" w:type="dxa"/>
            <w:vAlign w:val="bottom"/>
            <w:shd w:val="clear" w:color="auto" w:fill="E5E5E5"/>
          </w:tcPr>
          <w:p>
            <w:pPr>
              <w:spacing w:after="0"/>
              <w:rPr>
                <w:sz w:val="20"/>
                <w:szCs w:val="20"/>
                <w:color w:val="auto"/>
              </w:rPr>
            </w:pPr>
            <w:r>
              <w:rPr>
                <w:rFonts w:ascii="Calibri" w:cs="Calibri" w:eastAsia="Calibri" w:hAnsi="Calibri"/>
                <w:sz w:val="20"/>
                <w:szCs w:val="20"/>
                <w:color w:val="auto"/>
              </w:rPr>
              <w:t>U.S. treasury securities</w:t>
            </w:r>
          </w:p>
        </w:tc>
        <w:tc>
          <w:tcPr>
            <w:tcW w:w="24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9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42,257</w:t>
            </w:r>
          </w:p>
        </w:tc>
        <w:tc>
          <w:tcPr>
            <w:tcW w:w="2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00" w:type="dxa"/>
            <w:vAlign w:val="bottom"/>
            <w:shd w:val="clear" w:color="auto" w:fill="E5E5E5"/>
          </w:tcPr>
          <w:p>
            <w:pPr>
              <w:spacing w:after="0"/>
              <w:rPr>
                <w:sz w:val="21"/>
                <w:szCs w:val="21"/>
                <w:color w:val="auto"/>
              </w:rPr>
            </w:pPr>
          </w:p>
        </w:tc>
        <w:tc>
          <w:tcPr>
            <w:tcW w:w="11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46</w:t>
            </w:r>
          </w:p>
        </w:tc>
        <w:tc>
          <w:tcPr>
            <w:tcW w:w="2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820" w:type="dxa"/>
            <w:vAlign w:val="bottom"/>
            <w:shd w:val="clear" w:color="auto" w:fill="E5E5E5"/>
          </w:tcPr>
          <w:p>
            <w:pPr>
              <w:spacing w:after="0"/>
              <w:rPr>
                <w:sz w:val="21"/>
                <w:szCs w:val="21"/>
                <w:color w:val="auto"/>
              </w:rPr>
            </w:pPr>
          </w:p>
        </w:tc>
        <w:tc>
          <w:tcPr>
            <w:tcW w:w="460" w:type="dxa"/>
            <w:vAlign w:val="bottom"/>
            <w:shd w:val="clear" w:color="auto" w:fill="E5E5E5"/>
          </w:tcPr>
          <w:p>
            <w:pPr>
              <w:ind w:left="200"/>
              <w:spacing w:after="0"/>
              <w:rPr>
                <w:sz w:val="20"/>
                <w:szCs w:val="20"/>
                <w:color w:val="auto"/>
              </w:rPr>
            </w:pPr>
            <w:r>
              <w:rPr>
                <w:rFonts w:ascii="Calibri" w:cs="Calibri" w:eastAsia="Calibri" w:hAnsi="Calibri"/>
                <w:sz w:val="20"/>
                <w:szCs w:val="20"/>
                <w:color w:val="auto"/>
              </w:rPr>
              <w:t>—</w:t>
            </w:r>
          </w:p>
        </w:tc>
        <w:tc>
          <w:tcPr>
            <w:tcW w:w="22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122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42,303</w:t>
            </w:r>
          </w:p>
        </w:tc>
        <w:tc>
          <w:tcPr>
            <w:tcW w:w="20" w:type="dxa"/>
            <w:vAlign w:val="bottom"/>
          </w:tcPr>
          <w:p>
            <w:pPr>
              <w:spacing w:after="0"/>
              <w:rPr>
                <w:sz w:val="21"/>
                <w:szCs w:val="21"/>
                <w:color w:val="auto"/>
              </w:rPr>
            </w:pPr>
          </w:p>
        </w:tc>
      </w:tr>
      <w:tr>
        <w:trPr>
          <w:trHeight w:val="245"/>
        </w:trPr>
        <w:tc>
          <w:tcPr>
            <w:tcW w:w="4880" w:type="dxa"/>
            <w:vAlign w:val="bottom"/>
            <w:tcBorders>
              <w:bottom w:val="single" w:sz="8" w:color="E5E5E5"/>
            </w:tcBorders>
          </w:tcPr>
          <w:p>
            <w:pPr>
              <w:spacing w:after="0"/>
              <w:rPr>
                <w:sz w:val="20"/>
                <w:szCs w:val="20"/>
                <w:color w:val="auto"/>
              </w:rPr>
            </w:pPr>
            <w:r>
              <w:rPr>
                <w:rFonts w:ascii="Calibri" w:cs="Calibri" w:eastAsia="Calibri" w:hAnsi="Calibri"/>
                <w:sz w:val="20"/>
                <w:szCs w:val="20"/>
                <w:color w:val="auto"/>
              </w:rPr>
              <w:t>Commercial paper and corporate notes</w:t>
            </w:r>
          </w:p>
        </w:tc>
        <w:tc>
          <w:tcPr>
            <w:tcW w:w="240" w:type="dxa"/>
            <w:vAlign w:val="bottom"/>
            <w:tcBorders>
              <w:bottom w:val="single" w:sz="8" w:color="E5E5E5"/>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38,817</w:t>
            </w:r>
          </w:p>
        </w:tc>
        <w:tc>
          <w:tcPr>
            <w:tcW w:w="24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31</w:t>
            </w:r>
          </w:p>
        </w:tc>
        <w:tc>
          <w:tcPr>
            <w:tcW w:w="24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ind w:left="220"/>
              <w:spacing w:after="0"/>
              <w:rPr>
                <w:sz w:val="20"/>
                <w:szCs w:val="20"/>
                <w:color w:val="auto"/>
              </w:rPr>
            </w:pPr>
            <w:r>
              <w:rPr>
                <w:rFonts w:ascii="Calibri" w:cs="Calibri" w:eastAsia="Calibri" w:hAnsi="Calibri"/>
                <w:sz w:val="20"/>
                <w:szCs w:val="20"/>
                <w:color w:val="auto"/>
              </w:rPr>
              <w:t>—</w:t>
            </w:r>
          </w:p>
        </w:tc>
        <w:tc>
          <w:tcPr>
            <w:tcW w:w="22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38,848</w:t>
            </w:r>
          </w:p>
        </w:tc>
        <w:tc>
          <w:tcPr>
            <w:tcW w:w="20" w:type="dxa"/>
            <w:vAlign w:val="bottom"/>
          </w:tcPr>
          <w:p>
            <w:pPr>
              <w:spacing w:after="0"/>
              <w:rPr>
                <w:sz w:val="21"/>
                <w:szCs w:val="21"/>
                <w:color w:val="auto"/>
              </w:rPr>
            </w:pPr>
          </w:p>
        </w:tc>
      </w:tr>
      <w:tr>
        <w:trPr>
          <w:trHeight w:val="244"/>
        </w:trPr>
        <w:tc>
          <w:tcPr>
            <w:tcW w:w="488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Total</w:t>
            </w:r>
          </w:p>
        </w:tc>
        <w:tc>
          <w:tcPr>
            <w:tcW w:w="240" w:type="dxa"/>
            <w:vAlign w:val="bottom"/>
            <w:shd w:val="clear" w:color="auto" w:fill="E5E5E5"/>
          </w:tcPr>
          <w:p>
            <w:pPr>
              <w:spacing w:after="0"/>
              <w:rPr>
                <w:sz w:val="21"/>
                <w:szCs w:val="21"/>
                <w:color w:val="auto"/>
              </w:rPr>
            </w:pPr>
          </w:p>
        </w:tc>
        <w:tc>
          <w:tcPr>
            <w:tcW w:w="300" w:type="dxa"/>
            <w:vAlign w:val="bottom"/>
            <w:tcBorders>
              <w:bottom w:val="single" w:sz="8" w:color="auto"/>
            </w:tcBorders>
            <w:shd w:val="clear" w:color="auto" w:fill="E5E5E5"/>
          </w:tcPr>
          <w:p>
            <w:pPr>
              <w:jc w:val="right"/>
              <w:ind w:right="80"/>
              <w:spacing w:after="0" w:line="235" w:lineRule="exact"/>
              <w:rPr>
                <w:sz w:val="20"/>
                <w:szCs w:val="20"/>
                <w:color w:val="auto"/>
              </w:rPr>
            </w:pPr>
            <w:r>
              <w:rPr>
                <w:rFonts w:ascii="Calibri" w:cs="Calibri" w:eastAsia="Calibri" w:hAnsi="Calibri"/>
                <w:sz w:val="20"/>
                <w:szCs w:val="20"/>
                <w:color w:val="auto"/>
                <w:w w:val="98"/>
              </w:rPr>
              <w:t>$</w:t>
            </w:r>
          </w:p>
        </w:tc>
        <w:tc>
          <w:tcPr>
            <w:tcW w:w="980" w:type="dxa"/>
            <w:vAlign w:val="bottom"/>
            <w:tcBorders>
              <w:bottom w:val="single" w:sz="8" w:color="auto"/>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163,152</w:t>
            </w:r>
          </w:p>
        </w:tc>
        <w:tc>
          <w:tcPr>
            <w:tcW w:w="240" w:type="dxa"/>
            <w:vAlign w:val="bottom"/>
            <w:shd w:val="clear" w:color="auto" w:fill="E5E5E5"/>
          </w:tcPr>
          <w:p>
            <w:pPr>
              <w:spacing w:after="0"/>
              <w:rPr>
                <w:sz w:val="21"/>
                <w:szCs w:val="21"/>
                <w:color w:val="auto"/>
              </w:rPr>
            </w:pPr>
          </w:p>
        </w:tc>
        <w:tc>
          <w:tcPr>
            <w:tcW w:w="120" w:type="dxa"/>
            <w:vAlign w:val="bottom"/>
            <w:tcBorders>
              <w:bottom w:val="single" w:sz="8" w:color="auto"/>
            </w:tcBorders>
            <w:gridSpan w:val="2"/>
            <w:shd w:val="clear" w:color="auto" w:fill="E5E5E5"/>
          </w:tcPr>
          <w:p>
            <w:pPr>
              <w:jc w:val="right"/>
              <w:spacing w:after="0" w:line="235" w:lineRule="exact"/>
              <w:rPr>
                <w:sz w:val="20"/>
                <w:szCs w:val="20"/>
                <w:color w:val="auto"/>
              </w:rPr>
            </w:pPr>
            <w:r>
              <w:rPr>
                <w:rFonts w:ascii="Calibri" w:cs="Calibri" w:eastAsia="Calibri" w:hAnsi="Calibri"/>
                <w:sz w:val="20"/>
                <w:szCs w:val="20"/>
                <w:color w:val="auto"/>
                <w:w w:val="98"/>
              </w:rPr>
              <w:t>$</w:t>
            </w:r>
          </w:p>
        </w:tc>
        <w:tc>
          <w:tcPr>
            <w:tcW w:w="1160" w:type="dxa"/>
            <w:vAlign w:val="bottom"/>
            <w:tcBorders>
              <w:bottom w:val="single" w:sz="8" w:color="auto"/>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80</w:t>
            </w:r>
          </w:p>
        </w:tc>
        <w:tc>
          <w:tcPr>
            <w:tcW w:w="240" w:type="dxa"/>
            <w:vAlign w:val="bottom"/>
            <w:shd w:val="clear" w:color="auto" w:fill="E5E5E5"/>
          </w:tcPr>
          <w:p>
            <w:pPr>
              <w:spacing w:after="0"/>
              <w:rPr>
                <w:sz w:val="21"/>
                <w:szCs w:val="21"/>
                <w:color w:val="auto"/>
              </w:rPr>
            </w:pPr>
          </w:p>
        </w:tc>
        <w:tc>
          <w:tcPr>
            <w:tcW w:w="840" w:type="dxa"/>
            <w:vAlign w:val="bottom"/>
            <w:tcBorders>
              <w:bottom w:val="single" w:sz="8" w:color="auto"/>
            </w:tcBorders>
            <w:gridSpan w:val="2"/>
            <w:shd w:val="clear" w:color="auto" w:fill="E5E5E5"/>
          </w:tcPr>
          <w:p>
            <w:pPr>
              <w:jc w:val="right"/>
              <w:ind w:right="640"/>
              <w:spacing w:after="0" w:line="235" w:lineRule="exact"/>
              <w:rPr>
                <w:sz w:val="20"/>
                <w:szCs w:val="20"/>
                <w:color w:val="auto"/>
              </w:rPr>
            </w:pPr>
            <w:r>
              <w:rPr>
                <w:rFonts w:ascii="Calibri" w:cs="Calibri" w:eastAsia="Calibri" w:hAnsi="Calibri"/>
                <w:sz w:val="20"/>
                <w:szCs w:val="20"/>
                <w:color w:val="auto"/>
                <w:w w:val="98"/>
              </w:rPr>
              <w:t>$</w:t>
            </w:r>
          </w:p>
        </w:tc>
        <w:tc>
          <w:tcPr>
            <w:tcW w:w="460" w:type="dxa"/>
            <w:vAlign w:val="bottom"/>
            <w:tcBorders>
              <w:bottom w:val="single" w:sz="8" w:color="auto"/>
            </w:tcBorders>
            <w:shd w:val="clear" w:color="auto" w:fill="E5E5E5"/>
          </w:tcPr>
          <w:p>
            <w:pPr>
              <w:ind w:left="200"/>
              <w:spacing w:after="0" w:line="235" w:lineRule="exact"/>
              <w:rPr>
                <w:sz w:val="20"/>
                <w:szCs w:val="20"/>
                <w:color w:val="auto"/>
              </w:rPr>
            </w:pPr>
            <w:r>
              <w:rPr>
                <w:rFonts w:ascii="Calibri" w:cs="Calibri" w:eastAsia="Calibri" w:hAnsi="Calibri"/>
                <w:sz w:val="20"/>
                <w:szCs w:val="20"/>
                <w:color w:val="auto"/>
              </w:rPr>
              <w:t>—</w:t>
            </w:r>
          </w:p>
        </w:tc>
        <w:tc>
          <w:tcPr>
            <w:tcW w:w="220" w:type="dxa"/>
            <w:vAlign w:val="bottom"/>
            <w:shd w:val="clear" w:color="auto" w:fill="E5E5E5"/>
          </w:tcPr>
          <w:p>
            <w:pPr>
              <w:spacing w:after="0"/>
              <w:rPr>
                <w:sz w:val="21"/>
                <w:szCs w:val="21"/>
                <w:color w:val="auto"/>
              </w:rPr>
            </w:pPr>
          </w:p>
        </w:tc>
        <w:tc>
          <w:tcPr>
            <w:tcW w:w="260" w:type="dxa"/>
            <w:vAlign w:val="bottom"/>
            <w:tcBorders>
              <w:bottom w:val="single" w:sz="8" w:color="auto"/>
            </w:tcBorders>
            <w:gridSpan w:val="2"/>
            <w:shd w:val="clear" w:color="auto" w:fill="E5E5E5"/>
          </w:tcPr>
          <w:p>
            <w:pPr>
              <w:jc w:val="right"/>
              <w:ind w:right="140"/>
              <w:spacing w:after="0" w:line="235" w:lineRule="exact"/>
              <w:rPr>
                <w:sz w:val="20"/>
                <w:szCs w:val="20"/>
                <w:color w:val="auto"/>
              </w:rPr>
            </w:pPr>
            <w:r>
              <w:rPr>
                <w:rFonts w:ascii="Calibri" w:cs="Calibri" w:eastAsia="Calibri" w:hAnsi="Calibri"/>
                <w:sz w:val="20"/>
                <w:szCs w:val="20"/>
                <w:color w:val="auto"/>
                <w:w w:val="98"/>
              </w:rPr>
              <w:t>$</w:t>
            </w:r>
          </w:p>
        </w:tc>
        <w:tc>
          <w:tcPr>
            <w:tcW w:w="1220" w:type="dxa"/>
            <w:vAlign w:val="bottom"/>
            <w:tcBorders>
              <w:bottom w:val="single" w:sz="8" w:color="auto"/>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163,232</w:t>
            </w:r>
          </w:p>
        </w:tc>
        <w:tc>
          <w:tcPr>
            <w:tcW w:w="20" w:type="dxa"/>
            <w:vAlign w:val="bottom"/>
          </w:tcPr>
          <w:p>
            <w:pPr>
              <w:spacing w:after="0"/>
              <w:rPr>
                <w:sz w:val="21"/>
                <w:szCs w:val="21"/>
                <w:color w:val="auto"/>
              </w:rPr>
            </w:pPr>
          </w:p>
        </w:tc>
      </w:tr>
      <w:tr>
        <w:trPr>
          <w:trHeight w:val="509"/>
        </w:trPr>
        <w:tc>
          <w:tcPr>
            <w:tcW w:w="4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140"/>
              <w:spacing w:after="0"/>
              <w:rPr>
                <w:sz w:val="20"/>
                <w:szCs w:val="20"/>
                <w:color w:val="auto"/>
              </w:rPr>
            </w:pPr>
            <w:r>
              <w:rPr>
                <w:rFonts w:ascii="Calibri" w:cs="Calibri" w:eastAsia="Calibri" w:hAnsi="Calibri"/>
                <w:sz w:val="16"/>
                <w:szCs w:val="16"/>
                <w:b w:val="1"/>
                <w:bCs w:val="1"/>
                <w:color w:val="auto"/>
              </w:rPr>
              <w:t>December 31, 2024</w:t>
            </w: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6"/>
        </w:trPr>
        <w:tc>
          <w:tcPr>
            <w:tcW w:w="4880" w:type="dxa"/>
            <w:vAlign w:val="bottom"/>
            <w:tcBorders>
              <w:bottom w:val="single" w:sz="8" w:color="E5E5E5"/>
            </w:tcBorders>
          </w:tcPr>
          <w:p>
            <w:pPr>
              <w:spacing w:after="0"/>
              <w:rPr>
                <w:sz w:val="20"/>
                <w:szCs w:val="20"/>
                <w:color w:val="auto"/>
              </w:rPr>
            </w:pPr>
            <w:r>
              <w:rPr>
                <w:rFonts w:ascii="Calibri" w:cs="Calibri" w:eastAsia="Calibri" w:hAnsi="Calibri"/>
                <w:sz w:val="16"/>
                <w:szCs w:val="16"/>
                <w:b w:val="1"/>
                <w:bCs w:val="1"/>
                <w:color w:val="auto"/>
              </w:rPr>
              <w:t>(in thousands)</w:t>
            </w:r>
          </w:p>
        </w:tc>
        <w:tc>
          <w:tcPr>
            <w:tcW w:w="240" w:type="dxa"/>
            <w:vAlign w:val="bottom"/>
            <w:tcBorders>
              <w:bottom w:val="single" w:sz="8" w:color="E5E5E5"/>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85"/>
              <w:spacing w:after="0"/>
              <w:rPr>
                <w:sz w:val="20"/>
                <w:szCs w:val="20"/>
                <w:color w:val="auto"/>
              </w:rPr>
            </w:pPr>
            <w:r>
              <w:rPr>
                <w:rFonts w:ascii="Calibri" w:cs="Calibri" w:eastAsia="Calibri" w:hAnsi="Calibri"/>
                <w:sz w:val="16"/>
                <w:szCs w:val="16"/>
                <w:b w:val="1"/>
                <w:bCs w:val="1"/>
                <w:color w:val="auto"/>
              </w:rPr>
              <w:t>Cost</w:t>
            </w:r>
          </w:p>
        </w:tc>
        <w:tc>
          <w:tcPr>
            <w:tcW w:w="24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8"/>
              <w:spacing w:after="0"/>
              <w:rPr>
                <w:sz w:val="20"/>
                <w:szCs w:val="20"/>
                <w:color w:val="auto"/>
              </w:rPr>
            </w:pPr>
            <w:r>
              <w:rPr>
                <w:rFonts w:ascii="Calibri" w:cs="Calibri" w:eastAsia="Calibri" w:hAnsi="Calibri"/>
                <w:sz w:val="16"/>
                <w:szCs w:val="16"/>
                <w:b w:val="1"/>
                <w:bCs w:val="1"/>
                <w:color w:val="auto"/>
                <w:w w:val="98"/>
              </w:rPr>
              <w:t>Unrealized Gain</w:t>
            </w:r>
          </w:p>
        </w:tc>
        <w:tc>
          <w:tcPr>
            <w:tcW w:w="24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1280" w:type="dxa"/>
            <w:vAlign w:val="bottom"/>
            <w:tcBorders>
              <w:bottom w:val="single" w:sz="8" w:color="auto"/>
            </w:tcBorders>
            <w:gridSpan w:val="2"/>
          </w:tcPr>
          <w:p>
            <w:pPr>
              <w:ind w:left="60"/>
              <w:spacing w:after="0"/>
              <w:rPr>
                <w:sz w:val="20"/>
                <w:szCs w:val="20"/>
                <w:color w:val="auto"/>
              </w:rPr>
            </w:pPr>
            <w:r>
              <w:rPr>
                <w:rFonts w:ascii="Calibri" w:cs="Calibri" w:eastAsia="Calibri" w:hAnsi="Calibri"/>
                <w:sz w:val="16"/>
                <w:szCs w:val="16"/>
                <w:b w:val="1"/>
                <w:bCs w:val="1"/>
                <w:color w:val="auto"/>
              </w:rPr>
              <w:t>Unrealized (Loss)</w:t>
            </w:r>
          </w:p>
        </w:tc>
        <w:tc>
          <w:tcPr>
            <w:tcW w:w="22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5"/>
              <w:spacing w:after="0"/>
              <w:rPr>
                <w:sz w:val="20"/>
                <w:szCs w:val="20"/>
                <w:color w:val="auto"/>
              </w:rPr>
            </w:pPr>
            <w:r>
              <w:rPr>
                <w:rFonts w:ascii="Calibri" w:cs="Calibri" w:eastAsia="Calibri" w:hAnsi="Calibri"/>
                <w:sz w:val="16"/>
                <w:szCs w:val="16"/>
                <w:b w:val="1"/>
                <w:bCs w:val="1"/>
                <w:color w:val="auto"/>
              </w:rPr>
              <w:t>Fair Value</w:t>
            </w:r>
          </w:p>
        </w:tc>
        <w:tc>
          <w:tcPr>
            <w:tcW w:w="20" w:type="dxa"/>
            <w:vAlign w:val="bottom"/>
          </w:tcPr>
          <w:p>
            <w:pPr>
              <w:spacing w:after="0"/>
              <w:rPr>
                <w:sz w:val="20"/>
                <w:szCs w:val="20"/>
                <w:color w:val="auto"/>
              </w:rPr>
            </w:pPr>
          </w:p>
        </w:tc>
      </w:tr>
      <w:tr>
        <w:trPr>
          <w:trHeight w:val="244"/>
        </w:trPr>
        <w:tc>
          <w:tcPr>
            <w:tcW w:w="488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Money market funds</w:t>
            </w:r>
          </w:p>
        </w:tc>
        <w:tc>
          <w:tcPr>
            <w:tcW w:w="240" w:type="dxa"/>
            <w:vAlign w:val="bottom"/>
            <w:shd w:val="clear" w:color="auto" w:fill="E5E5E5"/>
          </w:tcPr>
          <w:p>
            <w:pPr>
              <w:spacing w:after="0"/>
              <w:rPr>
                <w:sz w:val="21"/>
                <w:szCs w:val="21"/>
                <w:color w:val="auto"/>
              </w:rPr>
            </w:pPr>
          </w:p>
        </w:tc>
        <w:tc>
          <w:tcPr>
            <w:tcW w:w="300" w:type="dxa"/>
            <w:vAlign w:val="bottom"/>
            <w:tcBorders>
              <w:bottom w:val="single" w:sz="8" w:color="auto"/>
            </w:tcBorders>
            <w:shd w:val="clear" w:color="auto" w:fill="E5E5E5"/>
          </w:tcPr>
          <w:p>
            <w:pPr>
              <w:jc w:val="right"/>
              <w:ind w:right="80"/>
              <w:spacing w:after="0" w:line="235" w:lineRule="exact"/>
              <w:rPr>
                <w:sz w:val="20"/>
                <w:szCs w:val="20"/>
                <w:color w:val="auto"/>
              </w:rPr>
            </w:pPr>
            <w:r>
              <w:rPr>
                <w:rFonts w:ascii="Calibri" w:cs="Calibri" w:eastAsia="Calibri" w:hAnsi="Calibri"/>
                <w:sz w:val="20"/>
                <w:szCs w:val="20"/>
                <w:color w:val="auto"/>
                <w:w w:val="98"/>
              </w:rPr>
              <w:t>$</w:t>
            </w:r>
          </w:p>
        </w:tc>
        <w:tc>
          <w:tcPr>
            <w:tcW w:w="980" w:type="dxa"/>
            <w:vAlign w:val="bottom"/>
            <w:tcBorders>
              <w:bottom w:val="single" w:sz="8" w:color="auto"/>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125,549</w:t>
            </w:r>
          </w:p>
        </w:tc>
        <w:tc>
          <w:tcPr>
            <w:tcW w:w="240" w:type="dxa"/>
            <w:vAlign w:val="bottom"/>
            <w:shd w:val="clear" w:color="auto" w:fill="E5E5E5"/>
          </w:tcPr>
          <w:p>
            <w:pPr>
              <w:spacing w:after="0"/>
              <w:rPr>
                <w:sz w:val="21"/>
                <w:szCs w:val="21"/>
                <w:color w:val="auto"/>
              </w:rPr>
            </w:pPr>
          </w:p>
        </w:tc>
        <w:tc>
          <w:tcPr>
            <w:tcW w:w="120" w:type="dxa"/>
            <w:vAlign w:val="bottom"/>
            <w:tcBorders>
              <w:bottom w:val="single" w:sz="8" w:color="auto"/>
            </w:tcBorders>
            <w:gridSpan w:val="2"/>
            <w:shd w:val="clear" w:color="auto" w:fill="E5E5E5"/>
          </w:tcPr>
          <w:p>
            <w:pPr>
              <w:jc w:val="right"/>
              <w:spacing w:after="0" w:line="235" w:lineRule="exact"/>
              <w:rPr>
                <w:sz w:val="20"/>
                <w:szCs w:val="20"/>
                <w:color w:val="auto"/>
              </w:rPr>
            </w:pPr>
            <w:r>
              <w:rPr>
                <w:rFonts w:ascii="Calibri" w:cs="Calibri" w:eastAsia="Calibri" w:hAnsi="Calibri"/>
                <w:sz w:val="20"/>
                <w:szCs w:val="20"/>
                <w:color w:val="auto"/>
                <w:w w:val="98"/>
              </w:rPr>
              <w:t>$</w:t>
            </w:r>
          </w:p>
        </w:tc>
        <w:tc>
          <w:tcPr>
            <w:tcW w:w="1160" w:type="dxa"/>
            <w:vAlign w:val="bottom"/>
            <w:tcBorders>
              <w:bottom w:val="single" w:sz="8" w:color="auto"/>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w:t>
            </w:r>
          </w:p>
        </w:tc>
        <w:tc>
          <w:tcPr>
            <w:tcW w:w="240" w:type="dxa"/>
            <w:vAlign w:val="bottom"/>
            <w:shd w:val="clear" w:color="auto" w:fill="E5E5E5"/>
          </w:tcPr>
          <w:p>
            <w:pPr>
              <w:spacing w:after="0"/>
              <w:rPr>
                <w:sz w:val="21"/>
                <w:szCs w:val="21"/>
                <w:color w:val="auto"/>
              </w:rPr>
            </w:pPr>
          </w:p>
        </w:tc>
        <w:tc>
          <w:tcPr>
            <w:tcW w:w="840" w:type="dxa"/>
            <w:vAlign w:val="bottom"/>
            <w:tcBorders>
              <w:bottom w:val="single" w:sz="8" w:color="auto"/>
            </w:tcBorders>
            <w:gridSpan w:val="2"/>
            <w:shd w:val="clear" w:color="auto" w:fill="E5E5E5"/>
          </w:tcPr>
          <w:p>
            <w:pPr>
              <w:jc w:val="right"/>
              <w:ind w:right="640"/>
              <w:spacing w:after="0" w:line="235" w:lineRule="exact"/>
              <w:rPr>
                <w:sz w:val="20"/>
                <w:szCs w:val="20"/>
                <w:color w:val="auto"/>
              </w:rPr>
            </w:pPr>
            <w:r>
              <w:rPr>
                <w:rFonts w:ascii="Calibri" w:cs="Calibri" w:eastAsia="Calibri" w:hAnsi="Calibri"/>
                <w:sz w:val="20"/>
                <w:szCs w:val="20"/>
                <w:color w:val="auto"/>
                <w:w w:val="98"/>
              </w:rPr>
              <w:t>$</w:t>
            </w:r>
          </w:p>
        </w:tc>
        <w:tc>
          <w:tcPr>
            <w:tcW w:w="460" w:type="dxa"/>
            <w:vAlign w:val="bottom"/>
            <w:tcBorders>
              <w:bottom w:val="single" w:sz="8" w:color="auto"/>
            </w:tcBorders>
            <w:shd w:val="clear" w:color="auto" w:fill="E5E5E5"/>
          </w:tcPr>
          <w:p>
            <w:pPr>
              <w:ind w:left="200"/>
              <w:spacing w:after="0" w:line="235" w:lineRule="exact"/>
              <w:rPr>
                <w:sz w:val="20"/>
                <w:szCs w:val="20"/>
                <w:color w:val="auto"/>
              </w:rPr>
            </w:pPr>
            <w:r>
              <w:rPr>
                <w:rFonts w:ascii="Calibri" w:cs="Calibri" w:eastAsia="Calibri" w:hAnsi="Calibri"/>
                <w:sz w:val="20"/>
                <w:szCs w:val="20"/>
                <w:color w:val="auto"/>
              </w:rPr>
              <w:t>—</w:t>
            </w:r>
          </w:p>
        </w:tc>
        <w:tc>
          <w:tcPr>
            <w:tcW w:w="220" w:type="dxa"/>
            <w:vAlign w:val="bottom"/>
            <w:shd w:val="clear" w:color="auto" w:fill="E5E5E5"/>
          </w:tcPr>
          <w:p>
            <w:pPr>
              <w:spacing w:after="0"/>
              <w:rPr>
                <w:sz w:val="21"/>
                <w:szCs w:val="21"/>
                <w:color w:val="auto"/>
              </w:rPr>
            </w:pPr>
          </w:p>
        </w:tc>
        <w:tc>
          <w:tcPr>
            <w:tcW w:w="260" w:type="dxa"/>
            <w:vAlign w:val="bottom"/>
            <w:tcBorders>
              <w:bottom w:val="single" w:sz="8" w:color="auto"/>
            </w:tcBorders>
            <w:gridSpan w:val="2"/>
            <w:shd w:val="clear" w:color="auto" w:fill="E5E5E5"/>
          </w:tcPr>
          <w:p>
            <w:pPr>
              <w:jc w:val="right"/>
              <w:ind w:right="140"/>
              <w:spacing w:after="0" w:line="235" w:lineRule="exact"/>
              <w:rPr>
                <w:sz w:val="20"/>
                <w:szCs w:val="20"/>
                <w:color w:val="auto"/>
              </w:rPr>
            </w:pPr>
            <w:r>
              <w:rPr>
                <w:rFonts w:ascii="Calibri" w:cs="Calibri" w:eastAsia="Calibri" w:hAnsi="Calibri"/>
                <w:sz w:val="20"/>
                <w:szCs w:val="20"/>
                <w:color w:val="auto"/>
                <w:w w:val="98"/>
              </w:rPr>
              <w:t>$</w:t>
            </w:r>
          </w:p>
        </w:tc>
        <w:tc>
          <w:tcPr>
            <w:tcW w:w="1220" w:type="dxa"/>
            <w:vAlign w:val="bottom"/>
            <w:tcBorders>
              <w:bottom w:val="single" w:sz="8" w:color="auto"/>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125,549</w:t>
            </w:r>
          </w:p>
        </w:tc>
        <w:tc>
          <w:tcPr>
            <w:tcW w:w="20" w:type="dxa"/>
            <w:vAlign w:val="bottom"/>
          </w:tcPr>
          <w:p>
            <w:pPr>
              <w:spacing w:after="0"/>
              <w:rPr>
                <w:sz w:val="21"/>
                <w:szCs w:val="21"/>
                <w:color w:val="auto"/>
              </w:rPr>
            </w:pPr>
          </w:p>
        </w:tc>
      </w:tr>
    </w:tbl>
    <w:p>
      <w:pPr>
        <w:spacing w:after="0" w:line="230"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The Company held one position that was in an unrealized loss position as of December 31, 2025. No impairment was recognized in 2025 or 2024. As of December 31, 2025, the remaining contractual maturities of available-for-sale securities were less than one year, and the average maturity of investments upon acquisition was approximately eight months. The accrued interest receivable on available-for-sale marketable securities was immaterial at December 31, 2025.</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94</w:t>
      </w:r>
    </w:p>
    <w:p>
      <w:pPr>
        <w:sectPr>
          <w:pgSz w:w="12240" w:h="15840" w:orient="portrait"/>
          <w:cols w:equalWidth="0" w:num="1">
            <w:col w:w="11160"/>
          </w:cols>
          <w:pgMar w:left="540" w:top="532" w:right="540" w:bottom="9" w:gutter="0" w:footer="0" w:header="0"/>
          <w:type w:val="continuous"/>
        </w:sectPr>
      </w:pPr>
    </w:p>
    <w:bookmarkStart w:id="96" w:name="page97"/>
    <w:bookmarkEnd w:id="96"/>
    <w:p>
      <w:pPr>
        <w:ind w:left="720" w:hanging="713"/>
        <w:spacing w:after="0"/>
        <w:tabs>
          <w:tab w:leader="none" w:pos="720" w:val="left"/>
        </w:tabs>
        <w:numPr>
          <w:ilvl w:val="0"/>
          <w:numId w:val="6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Inventory and Prepaid Manufacturing</w:t>
      </w:r>
    </w:p>
    <w:p>
      <w:pPr>
        <w:spacing w:after="0" w:line="240" w:lineRule="exact"/>
        <w:rPr>
          <w:sz w:val="20"/>
          <w:szCs w:val="20"/>
          <w:color w:val="auto"/>
        </w:rPr>
      </w:pPr>
    </w:p>
    <w:p>
      <w:pPr>
        <w:jc w:val="both"/>
        <w:ind w:firstLine="720"/>
        <w:spacing w:after="0" w:line="271" w:lineRule="auto"/>
        <w:rPr>
          <w:sz w:val="20"/>
          <w:szCs w:val="20"/>
          <w:color w:val="auto"/>
        </w:rPr>
      </w:pPr>
      <w:r>
        <w:rPr>
          <w:rFonts w:ascii="Calibri" w:cs="Calibri" w:eastAsia="Calibri" w:hAnsi="Calibri"/>
          <w:sz w:val="19"/>
          <w:szCs w:val="19"/>
          <w:color w:val="auto"/>
        </w:rPr>
        <w:t>Inventory of $3.2 million and $4.2 million as of December 31, 2025 and 2024, respectively, consisted entirely of finished goods. Inventory expected to be sold more than twelve months from the balance sheet date is classified as inventory, non-current on the consolidated balance sheets. As of December 31, 2025 and 2024, the Company had no non-current inventory within continuing operations.</w:t>
      </w:r>
    </w:p>
    <w:p>
      <w:pPr>
        <w:spacing w:after="0" w:line="187"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Prepaid manufacturing of $6.8 million as of December 31, 2025 included prepayments to a CMO of $4.3 million for manufacturing services, which the Company expects to be converted into inventory within the next twelve months, and $2.4 million for research and development. Prepaid manufacturing of $6.7 million as of December 31, 2024 included $0.3 million for manufacturing services of the Company’s product and $6.4 million for research and development.</w:t>
      </w:r>
    </w:p>
    <w:p>
      <w:pPr>
        <w:spacing w:after="0" w:line="215" w:lineRule="exact"/>
        <w:rPr>
          <w:sz w:val="20"/>
          <w:szCs w:val="20"/>
          <w:color w:val="auto"/>
        </w:rPr>
      </w:pPr>
    </w:p>
    <w:p>
      <w:pPr>
        <w:ind w:right="8160" w:firstLine="7"/>
        <w:spacing w:after="0" w:line="477" w:lineRule="auto"/>
        <w:tabs>
          <w:tab w:leader="none" w:pos="720" w:val="left"/>
        </w:tabs>
        <w:numPr>
          <w:ilvl w:val="0"/>
          <w:numId w:val="6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Balance Sheet Components Property and Equipment, Net</w:t>
      </w:r>
    </w:p>
    <w:p>
      <w:pPr>
        <w:ind w:left="720"/>
        <w:spacing w:after="0"/>
        <w:rPr>
          <w:rFonts w:ascii="Calibri" w:cs="Calibri" w:eastAsia="Calibri" w:hAnsi="Calibri"/>
          <w:sz w:val="20"/>
          <w:szCs w:val="20"/>
          <w:b w:val="1"/>
          <w:bCs w:val="1"/>
          <w:color w:val="auto"/>
        </w:rPr>
      </w:pPr>
      <w:r>
        <w:rPr>
          <w:rFonts w:ascii="Calibri" w:cs="Calibri" w:eastAsia="Calibri" w:hAnsi="Calibri"/>
          <w:sz w:val="20"/>
          <w:szCs w:val="20"/>
          <w:color w:val="auto"/>
        </w:rPr>
        <w:t>Property and equipment, net of continuing operations consisted of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4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80"/>
              <w:spacing w:after="0"/>
              <w:rPr>
                <w:sz w:val="20"/>
                <w:szCs w:val="20"/>
                <w:color w:val="auto"/>
              </w:rPr>
            </w:pPr>
            <w:r>
              <w:rPr>
                <w:rFonts w:ascii="Calibri" w:cs="Calibri" w:eastAsia="Calibri" w:hAnsi="Calibri"/>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340" w:type="dxa"/>
            <w:vAlign w:val="bottom"/>
            <w:tcBorders>
              <w:bottom w:val="single" w:sz="8" w:color="E5E5E5"/>
            </w:tcBorders>
            <w:vMerge w:val="continue"/>
          </w:tcPr>
          <w:p>
            <w:pPr>
              <w:spacing w:after="0"/>
              <w:rPr>
                <w:sz w:val="16"/>
                <w:szCs w:val="16"/>
                <w:color w:val="auto"/>
              </w:rPr>
            </w:pPr>
          </w:p>
        </w:tc>
        <w:tc>
          <w:tcPr>
            <w:tcW w:w="26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4"/>
              <w:spacing w:after="0" w:line="185" w:lineRule="exact"/>
              <w:rPr>
                <w:sz w:val="20"/>
                <w:szCs w:val="20"/>
                <w:color w:val="auto"/>
              </w:rPr>
            </w:pPr>
            <w:r>
              <w:rPr>
                <w:rFonts w:ascii="Calibri" w:cs="Calibri" w:eastAsia="Calibri" w:hAnsi="Calibri"/>
                <w:sz w:val="16"/>
                <w:szCs w:val="16"/>
                <w:b w:val="1"/>
                <w:bCs w:val="1"/>
                <w:color w:val="auto"/>
              </w:rPr>
              <w:t>2025</w:t>
            </w:r>
          </w:p>
        </w:tc>
        <w:tc>
          <w:tcPr>
            <w:tcW w:w="26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2"/>
              <w:spacing w:after="0" w:line="185" w:lineRule="exact"/>
              <w:rPr>
                <w:sz w:val="20"/>
                <w:szCs w:val="20"/>
                <w:color w:val="auto"/>
              </w:rPr>
            </w:pPr>
            <w:r>
              <w:rPr>
                <w:rFonts w:ascii="Calibri" w:cs="Calibri" w:eastAsia="Calibri" w:hAnsi="Calibri"/>
                <w:sz w:val="16"/>
                <w:szCs w:val="16"/>
                <w:b w:val="1"/>
                <w:bCs w:val="1"/>
                <w:color w:val="auto"/>
              </w:rPr>
              <w:t>2024</w:t>
            </w:r>
          </w:p>
        </w:tc>
        <w:tc>
          <w:tcPr>
            <w:tcW w:w="0" w:type="dxa"/>
            <w:vAlign w:val="bottom"/>
          </w:tcPr>
          <w:p>
            <w:pPr>
              <w:spacing w:after="0"/>
              <w:rPr>
                <w:sz w:val="1"/>
                <w:szCs w:val="1"/>
                <w:color w:val="auto"/>
              </w:rPr>
            </w:pPr>
          </w:p>
        </w:tc>
      </w:tr>
      <w:tr>
        <w:trPr>
          <w:trHeight w:val="234"/>
        </w:trPr>
        <w:tc>
          <w:tcPr>
            <w:tcW w:w="834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Machinery and equipment</w:t>
            </w:r>
          </w:p>
        </w:tc>
        <w:tc>
          <w:tcPr>
            <w:tcW w:w="560" w:type="dxa"/>
            <w:vAlign w:val="bottom"/>
            <w:gridSpan w:val="3"/>
            <w:shd w:val="clear" w:color="auto" w:fill="E5E5E5"/>
          </w:tcPr>
          <w:p>
            <w:pPr>
              <w:jc w:val="right"/>
              <w:ind w:right="80"/>
              <w:spacing w:after="0" w:line="234" w:lineRule="exact"/>
              <w:rPr>
                <w:sz w:val="20"/>
                <w:szCs w:val="20"/>
                <w:color w:val="auto"/>
              </w:rPr>
            </w:pPr>
            <w:r>
              <w:rPr>
                <w:rFonts w:ascii="Calibri" w:cs="Calibri" w:eastAsia="Calibri" w:hAnsi="Calibri"/>
                <w:sz w:val="20"/>
                <w:szCs w:val="20"/>
                <w:color w:val="auto"/>
              </w:rPr>
              <w:t>$</w:t>
            </w:r>
          </w:p>
        </w:tc>
        <w:tc>
          <w:tcPr>
            <w:tcW w:w="96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8,198</w:t>
            </w:r>
          </w:p>
        </w:tc>
        <w:tc>
          <w:tcPr>
            <w:tcW w:w="260" w:type="dxa"/>
            <w:vAlign w:val="bottom"/>
            <w:shd w:val="clear" w:color="auto" w:fill="E5E5E5"/>
          </w:tcPr>
          <w:p>
            <w:pPr>
              <w:spacing w:after="0"/>
              <w:rPr>
                <w:sz w:val="20"/>
                <w:szCs w:val="20"/>
                <w:color w:val="auto"/>
              </w:rPr>
            </w:pPr>
          </w:p>
        </w:tc>
        <w:tc>
          <w:tcPr>
            <w:tcW w:w="280" w:type="dxa"/>
            <w:vAlign w:val="bottom"/>
            <w:gridSpan w:val="2"/>
            <w:shd w:val="clear" w:color="auto" w:fill="E5E5E5"/>
          </w:tcPr>
          <w:p>
            <w:pPr>
              <w:jc w:val="right"/>
              <w:ind w:right="160"/>
              <w:spacing w:after="0" w:line="234" w:lineRule="exact"/>
              <w:rPr>
                <w:sz w:val="20"/>
                <w:szCs w:val="20"/>
                <w:color w:val="auto"/>
              </w:rPr>
            </w:pPr>
            <w:r>
              <w:rPr>
                <w:rFonts w:ascii="Calibri" w:cs="Calibri" w:eastAsia="Calibri" w:hAnsi="Calibri"/>
                <w:sz w:val="20"/>
                <w:szCs w:val="20"/>
                <w:color w:val="auto"/>
                <w:w w:val="98"/>
              </w:rPr>
              <w:t>$</w:t>
            </w:r>
          </w:p>
        </w:tc>
        <w:tc>
          <w:tcPr>
            <w:tcW w:w="76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13,437</w:t>
            </w:r>
          </w:p>
        </w:tc>
        <w:tc>
          <w:tcPr>
            <w:tcW w:w="0" w:type="dxa"/>
            <w:vAlign w:val="bottom"/>
          </w:tcPr>
          <w:p>
            <w:pPr>
              <w:spacing w:after="0"/>
              <w:rPr>
                <w:sz w:val="1"/>
                <w:szCs w:val="1"/>
                <w:color w:val="auto"/>
              </w:rPr>
            </w:pPr>
          </w:p>
        </w:tc>
      </w:tr>
      <w:tr>
        <w:trPr>
          <w:trHeight w:val="245"/>
        </w:trPr>
        <w:tc>
          <w:tcPr>
            <w:tcW w:w="8340" w:type="dxa"/>
            <w:vAlign w:val="bottom"/>
          </w:tcPr>
          <w:p>
            <w:pPr>
              <w:spacing w:after="0"/>
              <w:rPr>
                <w:sz w:val="20"/>
                <w:szCs w:val="20"/>
                <w:color w:val="auto"/>
              </w:rPr>
            </w:pPr>
            <w:r>
              <w:rPr>
                <w:rFonts w:ascii="Calibri" w:cs="Calibri" w:eastAsia="Calibri" w:hAnsi="Calibri"/>
                <w:sz w:val="20"/>
                <w:szCs w:val="20"/>
                <w:color w:val="auto"/>
              </w:rPr>
              <w:t>Computer equipment and software</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color w:val="auto"/>
              </w:rPr>
              <w:t>1,612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Calibri" w:cs="Calibri" w:eastAsia="Calibri" w:hAnsi="Calibri"/>
                <w:sz w:val="20"/>
                <w:szCs w:val="20"/>
                <w:color w:val="auto"/>
              </w:rPr>
              <w:t>3,582</w:t>
            </w:r>
          </w:p>
        </w:tc>
        <w:tc>
          <w:tcPr>
            <w:tcW w:w="0" w:type="dxa"/>
            <w:vAlign w:val="bottom"/>
          </w:tcPr>
          <w:p>
            <w:pPr>
              <w:spacing w:after="0"/>
              <w:rPr>
                <w:sz w:val="1"/>
                <w:szCs w:val="1"/>
                <w:color w:val="auto"/>
              </w:rPr>
            </w:pPr>
          </w:p>
        </w:tc>
      </w:tr>
      <w:tr>
        <w:trPr>
          <w:trHeight w:val="244"/>
        </w:trPr>
        <w:tc>
          <w:tcPr>
            <w:tcW w:w="8340" w:type="dxa"/>
            <w:vAlign w:val="bottom"/>
            <w:shd w:val="clear" w:color="auto" w:fill="E5E5E5"/>
          </w:tcPr>
          <w:p>
            <w:pPr>
              <w:spacing w:after="0"/>
              <w:rPr>
                <w:sz w:val="20"/>
                <w:szCs w:val="20"/>
                <w:color w:val="auto"/>
              </w:rPr>
            </w:pPr>
            <w:r>
              <w:rPr>
                <w:rFonts w:ascii="Calibri" w:cs="Calibri" w:eastAsia="Calibri" w:hAnsi="Calibri"/>
                <w:sz w:val="20"/>
                <w:szCs w:val="20"/>
                <w:color w:val="auto"/>
              </w:rPr>
              <w:t>Furniture and fixtures</w:t>
            </w:r>
          </w:p>
        </w:tc>
        <w:tc>
          <w:tcPr>
            <w:tcW w:w="26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9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1,005</w:t>
            </w:r>
          </w:p>
        </w:tc>
        <w:tc>
          <w:tcPr>
            <w:tcW w:w="26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7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1,055</w:t>
            </w:r>
          </w:p>
        </w:tc>
        <w:tc>
          <w:tcPr>
            <w:tcW w:w="0" w:type="dxa"/>
            <w:vAlign w:val="bottom"/>
          </w:tcPr>
          <w:p>
            <w:pPr>
              <w:spacing w:after="0"/>
              <w:rPr>
                <w:sz w:val="1"/>
                <w:szCs w:val="1"/>
                <w:color w:val="auto"/>
              </w:rPr>
            </w:pPr>
          </w:p>
        </w:tc>
      </w:tr>
      <w:tr>
        <w:trPr>
          <w:trHeight w:val="245"/>
        </w:trPr>
        <w:tc>
          <w:tcPr>
            <w:tcW w:w="8340" w:type="dxa"/>
            <w:vAlign w:val="bottom"/>
            <w:tcBorders>
              <w:bottom w:val="single" w:sz="8" w:color="E5E5E5"/>
            </w:tcBorders>
          </w:tcPr>
          <w:p>
            <w:pPr>
              <w:spacing w:after="0"/>
              <w:rPr>
                <w:sz w:val="20"/>
                <w:szCs w:val="20"/>
                <w:color w:val="auto"/>
              </w:rPr>
            </w:pPr>
            <w:r>
              <w:rPr>
                <w:rFonts w:ascii="Calibri" w:cs="Calibri" w:eastAsia="Calibri" w:hAnsi="Calibri"/>
                <w:sz w:val="20"/>
                <w:szCs w:val="20"/>
                <w:color w:val="auto"/>
              </w:rPr>
              <w:t>Leasehold improvements</w:t>
            </w:r>
          </w:p>
        </w:tc>
        <w:tc>
          <w:tcPr>
            <w:tcW w:w="26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5,763</w:t>
            </w:r>
          </w:p>
        </w:tc>
        <w:tc>
          <w:tcPr>
            <w:tcW w:w="26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5,751</w:t>
            </w:r>
          </w:p>
        </w:tc>
        <w:tc>
          <w:tcPr>
            <w:tcW w:w="0" w:type="dxa"/>
            <w:vAlign w:val="bottom"/>
          </w:tcPr>
          <w:p>
            <w:pPr>
              <w:spacing w:after="0"/>
              <w:rPr>
                <w:sz w:val="1"/>
                <w:szCs w:val="1"/>
                <w:color w:val="auto"/>
              </w:rPr>
            </w:pPr>
          </w:p>
        </w:tc>
      </w:tr>
      <w:tr>
        <w:trPr>
          <w:trHeight w:val="233"/>
        </w:trPr>
        <w:tc>
          <w:tcPr>
            <w:tcW w:w="8340" w:type="dxa"/>
            <w:vAlign w:val="bottom"/>
            <w:shd w:val="clear" w:color="auto" w:fill="E5E5E5"/>
          </w:tcPr>
          <w:p>
            <w:pPr>
              <w:ind w:left="120"/>
              <w:spacing w:after="0" w:line="233" w:lineRule="exact"/>
              <w:rPr>
                <w:sz w:val="20"/>
                <w:szCs w:val="20"/>
                <w:color w:val="auto"/>
              </w:rPr>
            </w:pPr>
            <w:r>
              <w:rPr>
                <w:rFonts w:ascii="Calibri" w:cs="Calibri" w:eastAsia="Calibri" w:hAnsi="Calibri"/>
                <w:sz w:val="20"/>
                <w:szCs w:val="20"/>
                <w:color w:val="auto"/>
              </w:rPr>
              <w:t>Total property and equipment</w:t>
            </w:r>
          </w:p>
        </w:tc>
        <w:tc>
          <w:tcPr>
            <w:tcW w:w="2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96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16,578</w:t>
            </w:r>
          </w:p>
        </w:tc>
        <w:tc>
          <w:tcPr>
            <w:tcW w:w="2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76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23,825</w:t>
            </w:r>
          </w:p>
        </w:tc>
        <w:tc>
          <w:tcPr>
            <w:tcW w:w="0" w:type="dxa"/>
            <w:vAlign w:val="bottom"/>
          </w:tcPr>
          <w:p>
            <w:pPr>
              <w:spacing w:after="0"/>
              <w:rPr>
                <w:sz w:val="1"/>
                <w:szCs w:val="1"/>
                <w:color w:val="auto"/>
              </w:rPr>
            </w:pPr>
          </w:p>
        </w:tc>
      </w:tr>
      <w:tr>
        <w:trPr>
          <w:trHeight w:val="245"/>
        </w:trPr>
        <w:tc>
          <w:tcPr>
            <w:tcW w:w="8340" w:type="dxa"/>
            <w:vAlign w:val="bottom"/>
          </w:tcPr>
          <w:p>
            <w:pPr>
              <w:spacing w:after="0"/>
              <w:rPr>
                <w:sz w:val="20"/>
                <w:szCs w:val="20"/>
                <w:color w:val="auto"/>
              </w:rPr>
            </w:pPr>
            <w:r>
              <w:rPr>
                <w:rFonts w:ascii="Calibri" w:cs="Calibri" w:eastAsia="Calibri" w:hAnsi="Calibri"/>
                <w:sz w:val="20"/>
                <w:szCs w:val="20"/>
                <w:color w:val="auto"/>
              </w:rPr>
              <w:t>Accumulated depreciation and amortization</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Calibri" w:cs="Calibri" w:eastAsia="Calibri" w:hAnsi="Calibri"/>
                <w:sz w:val="20"/>
                <w:szCs w:val="20"/>
                <w:color w:val="auto"/>
              </w:rPr>
              <w:t>(15,233)</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Calibri" w:cs="Calibri" w:eastAsia="Calibri" w:hAnsi="Calibri"/>
                <w:sz w:val="20"/>
                <w:szCs w:val="20"/>
                <w:color w:val="auto"/>
              </w:rPr>
              <w:t>(20,988)</w:t>
            </w:r>
          </w:p>
        </w:tc>
        <w:tc>
          <w:tcPr>
            <w:tcW w:w="0" w:type="dxa"/>
            <w:vAlign w:val="bottom"/>
          </w:tcPr>
          <w:p>
            <w:pPr>
              <w:spacing w:after="0"/>
              <w:rPr>
                <w:sz w:val="1"/>
                <w:szCs w:val="1"/>
                <w:color w:val="auto"/>
              </w:rPr>
            </w:pPr>
          </w:p>
        </w:tc>
      </w:tr>
      <w:tr>
        <w:trPr>
          <w:trHeight w:val="234"/>
        </w:trPr>
        <w:tc>
          <w:tcPr>
            <w:tcW w:w="8340" w:type="dxa"/>
            <w:vAlign w:val="bottom"/>
            <w:tcBorders>
              <w:top w:val="single" w:sz="8" w:color="E5E5E5"/>
            </w:tcBorders>
            <w:shd w:val="clear" w:color="auto" w:fill="E5E5E5"/>
          </w:tcPr>
          <w:p>
            <w:pPr>
              <w:ind w:left="120"/>
              <w:spacing w:after="0" w:line="234" w:lineRule="exact"/>
              <w:rPr>
                <w:sz w:val="20"/>
                <w:szCs w:val="20"/>
                <w:color w:val="auto"/>
              </w:rPr>
            </w:pPr>
            <w:r>
              <w:rPr>
                <w:rFonts w:ascii="Calibri" w:cs="Calibri" w:eastAsia="Calibri" w:hAnsi="Calibri"/>
                <w:sz w:val="20"/>
                <w:szCs w:val="20"/>
                <w:color w:val="auto"/>
              </w:rPr>
              <w:t>Property and equipment, net - subtotal</w:t>
            </w:r>
          </w:p>
        </w:tc>
        <w:tc>
          <w:tcPr>
            <w:tcW w:w="260" w:type="dxa"/>
            <w:vAlign w:val="bottom"/>
            <w:tcBorders>
              <w:top w:val="single" w:sz="8" w:color="E5E5E5"/>
            </w:tcBorders>
            <w:shd w:val="clear" w:color="auto" w:fill="E5E5E5"/>
          </w:tcPr>
          <w:p>
            <w:pPr>
              <w:spacing w:after="0"/>
              <w:rPr>
                <w:sz w:val="20"/>
                <w:szCs w:val="20"/>
                <w:color w:val="auto"/>
              </w:rPr>
            </w:pPr>
          </w:p>
        </w:tc>
        <w:tc>
          <w:tcPr>
            <w:tcW w:w="20" w:type="dxa"/>
            <w:vAlign w:val="bottom"/>
            <w:tcBorders>
              <w:top w:val="single" w:sz="8" w:color="E5E5E5"/>
            </w:tcBorders>
            <w:shd w:val="clear" w:color="auto" w:fill="E5E5E5"/>
          </w:tcPr>
          <w:p>
            <w:pPr>
              <w:spacing w:after="0"/>
              <w:rPr>
                <w:sz w:val="20"/>
                <w:szCs w:val="20"/>
                <w:color w:val="auto"/>
              </w:rPr>
            </w:pPr>
          </w:p>
        </w:tc>
        <w:tc>
          <w:tcPr>
            <w:tcW w:w="280" w:type="dxa"/>
            <w:vAlign w:val="bottom"/>
            <w:tcBorders>
              <w:top w:val="single" w:sz="8" w:color="auto"/>
            </w:tcBorders>
            <w:shd w:val="clear" w:color="auto" w:fill="E5E5E5"/>
          </w:tcPr>
          <w:p>
            <w:pPr>
              <w:spacing w:after="0"/>
              <w:rPr>
                <w:sz w:val="20"/>
                <w:szCs w:val="20"/>
                <w:color w:val="auto"/>
              </w:rPr>
            </w:pPr>
          </w:p>
        </w:tc>
        <w:tc>
          <w:tcPr>
            <w:tcW w:w="960" w:type="dxa"/>
            <w:vAlign w:val="bottom"/>
            <w:tcBorders>
              <w:top w:val="single" w:sz="8" w:color="auto"/>
            </w:tcBorders>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1,345</w:t>
            </w:r>
          </w:p>
        </w:tc>
        <w:tc>
          <w:tcPr>
            <w:tcW w:w="260" w:type="dxa"/>
            <w:vAlign w:val="bottom"/>
            <w:tcBorders>
              <w:top w:val="single" w:sz="8" w:color="E5E5E5"/>
            </w:tcBorders>
            <w:shd w:val="clear" w:color="auto" w:fill="E5E5E5"/>
          </w:tcPr>
          <w:p>
            <w:pPr>
              <w:spacing w:after="0"/>
              <w:rPr>
                <w:sz w:val="20"/>
                <w:szCs w:val="20"/>
                <w:color w:val="auto"/>
              </w:rPr>
            </w:pPr>
          </w:p>
        </w:tc>
        <w:tc>
          <w:tcPr>
            <w:tcW w:w="20" w:type="dxa"/>
            <w:vAlign w:val="bottom"/>
            <w:tcBorders>
              <w:top w:val="single" w:sz="8" w:color="E5E5E5"/>
            </w:tcBorders>
            <w:shd w:val="clear" w:color="auto" w:fill="E5E5E5"/>
          </w:tcPr>
          <w:p>
            <w:pPr>
              <w:spacing w:after="0"/>
              <w:rPr>
                <w:sz w:val="20"/>
                <w:szCs w:val="20"/>
                <w:color w:val="auto"/>
              </w:rPr>
            </w:pPr>
          </w:p>
        </w:tc>
        <w:tc>
          <w:tcPr>
            <w:tcW w:w="260" w:type="dxa"/>
            <w:vAlign w:val="bottom"/>
            <w:tcBorders>
              <w:top w:val="single" w:sz="8" w:color="auto"/>
            </w:tcBorders>
            <w:shd w:val="clear" w:color="auto" w:fill="E5E5E5"/>
          </w:tcPr>
          <w:p>
            <w:pPr>
              <w:spacing w:after="0"/>
              <w:rPr>
                <w:sz w:val="20"/>
                <w:szCs w:val="20"/>
                <w:color w:val="auto"/>
              </w:rPr>
            </w:pPr>
          </w:p>
        </w:tc>
        <w:tc>
          <w:tcPr>
            <w:tcW w:w="760" w:type="dxa"/>
            <w:vAlign w:val="bottom"/>
            <w:tcBorders>
              <w:top w:val="single" w:sz="8" w:color="auto"/>
            </w:tcBorders>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2,837</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E5E5E5"/>
            </w:tcBorders>
          </w:tcPr>
          <w:p>
            <w:pPr>
              <w:spacing w:after="0"/>
              <w:rPr>
                <w:sz w:val="20"/>
                <w:szCs w:val="20"/>
                <w:color w:val="auto"/>
              </w:rPr>
            </w:pPr>
            <w:r>
              <w:rPr>
                <w:rFonts w:ascii="Calibri" w:cs="Calibri" w:eastAsia="Calibri" w:hAnsi="Calibri"/>
                <w:sz w:val="20"/>
                <w:szCs w:val="20"/>
                <w:color w:val="auto"/>
              </w:rPr>
              <w:t>Less: Property and equipment, net from assets of discontinued operations</w:t>
            </w:r>
          </w:p>
        </w:tc>
        <w:tc>
          <w:tcPr>
            <w:tcW w:w="26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w:t>
            </w:r>
          </w:p>
        </w:tc>
        <w:tc>
          <w:tcPr>
            <w:tcW w:w="26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(261)</w:t>
            </w:r>
          </w:p>
        </w:tc>
        <w:tc>
          <w:tcPr>
            <w:tcW w:w="0" w:type="dxa"/>
            <w:vAlign w:val="bottom"/>
          </w:tcPr>
          <w:p>
            <w:pPr>
              <w:spacing w:after="0"/>
              <w:rPr>
                <w:sz w:val="1"/>
                <w:szCs w:val="1"/>
                <w:color w:val="auto"/>
              </w:rPr>
            </w:pPr>
          </w:p>
        </w:tc>
      </w:tr>
      <w:tr>
        <w:trPr>
          <w:trHeight w:val="244"/>
        </w:trPr>
        <w:tc>
          <w:tcPr>
            <w:tcW w:w="8340" w:type="dxa"/>
            <w:vAlign w:val="bottom"/>
            <w:shd w:val="clear" w:color="auto" w:fill="E5E5E5"/>
          </w:tcPr>
          <w:p>
            <w:pPr>
              <w:ind w:left="120"/>
              <w:spacing w:after="0" w:line="235" w:lineRule="exact"/>
              <w:rPr>
                <w:sz w:val="20"/>
                <w:szCs w:val="20"/>
                <w:color w:val="auto"/>
              </w:rPr>
            </w:pPr>
            <w:r>
              <w:rPr>
                <w:rFonts w:ascii="Calibri" w:cs="Calibri" w:eastAsia="Calibri" w:hAnsi="Calibri"/>
                <w:sz w:val="20"/>
                <w:szCs w:val="20"/>
                <w:color w:val="auto"/>
              </w:rPr>
              <w:t>Property and equipment, net</w:t>
            </w:r>
          </w:p>
        </w:tc>
        <w:tc>
          <w:tcPr>
            <w:tcW w:w="260" w:type="dxa"/>
            <w:vAlign w:val="bottom"/>
            <w:shd w:val="clear" w:color="auto" w:fill="E5E5E5"/>
          </w:tcPr>
          <w:p>
            <w:pPr>
              <w:spacing w:after="0"/>
              <w:rPr>
                <w:sz w:val="21"/>
                <w:szCs w:val="21"/>
                <w:color w:val="auto"/>
              </w:rPr>
            </w:pPr>
          </w:p>
        </w:tc>
        <w:tc>
          <w:tcPr>
            <w:tcW w:w="20" w:type="dxa"/>
            <w:vAlign w:val="bottom"/>
            <w:tcBorders>
              <w:bottom w:val="single" w:sz="8" w:color="auto"/>
            </w:tcBorders>
            <w:shd w:val="clear" w:color="auto" w:fill="E5E5E5"/>
          </w:tcPr>
          <w:p>
            <w:pPr>
              <w:spacing w:after="0"/>
              <w:rPr>
                <w:sz w:val="21"/>
                <w:szCs w:val="21"/>
                <w:color w:val="auto"/>
              </w:rPr>
            </w:pPr>
          </w:p>
        </w:tc>
        <w:tc>
          <w:tcPr>
            <w:tcW w:w="280" w:type="dxa"/>
            <w:vAlign w:val="bottom"/>
            <w:tcBorders>
              <w:bottom w:val="single" w:sz="8" w:color="auto"/>
            </w:tcBorders>
            <w:shd w:val="clear" w:color="auto" w:fill="E5E5E5"/>
          </w:tcPr>
          <w:p>
            <w:pPr>
              <w:jc w:val="right"/>
              <w:ind w:right="80"/>
              <w:spacing w:after="0" w:line="235" w:lineRule="exact"/>
              <w:rPr>
                <w:sz w:val="20"/>
                <w:szCs w:val="20"/>
                <w:color w:val="auto"/>
              </w:rPr>
            </w:pPr>
            <w:r>
              <w:rPr>
                <w:rFonts w:ascii="Calibri" w:cs="Calibri" w:eastAsia="Calibri" w:hAnsi="Calibri"/>
                <w:sz w:val="20"/>
                <w:szCs w:val="20"/>
                <w:color w:val="auto"/>
                <w:w w:val="78"/>
              </w:rPr>
              <w:t>$</w:t>
            </w:r>
          </w:p>
        </w:tc>
        <w:tc>
          <w:tcPr>
            <w:tcW w:w="960" w:type="dxa"/>
            <w:vAlign w:val="bottom"/>
            <w:tcBorders>
              <w:bottom w:val="single" w:sz="8" w:color="auto"/>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1,345</w:t>
            </w:r>
          </w:p>
        </w:tc>
        <w:tc>
          <w:tcPr>
            <w:tcW w:w="260" w:type="dxa"/>
            <w:vAlign w:val="bottom"/>
            <w:shd w:val="clear" w:color="auto" w:fill="E5E5E5"/>
          </w:tcPr>
          <w:p>
            <w:pPr>
              <w:spacing w:after="0"/>
              <w:rPr>
                <w:sz w:val="21"/>
                <w:szCs w:val="21"/>
                <w:color w:val="auto"/>
              </w:rPr>
            </w:pPr>
          </w:p>
        </w:tc>
        <w:tc>
          <w:tcPr>
            <w:tcW w:w="280" w:type="dxa"/>
            <w:vAlign w:val="bottom"/>
            <w:tcBorders>
              <w:bottom w:val="single" w:sz="8" w:color="auto"/>
            </w:tcBorders>
            <w:gridSpan w:val="2"/>
            <w:shd w:val="clear" w:color="auto" w:fill="E5E5E5"/>
          </w:tcPr>
          <w:p>
            <w:pPr>
              <w:jc w:val="right"/>
              <w:ind w:right="160"/>
              <w:spacing w:after="0" w:line="235" w:lineRule="exact"/>
              <w:rPr>
                <w:sz w:val="20"/>
                <w:szCs w:val="20"/>
                <w:color w:val="auto"/>
              </w:rPr>
            </w:pPr>
            <w:r>
              <w:rPr>
                <w:rFonts w:ascii="Calibri" w:cs="Calibri" w:eastAsia="Calibri" w:hAnsi="Calibri"/>
                <w:sz w:val="20"/>
                <w:szCs w:val="20"/>
                <w:color w:val="auto"/>
                <w:w w:val="98"/>
              </w:rPr>
              <w:t>$</w:t>
            </w:r>
          </w:p>
        </w:tc>
        <w:tc>
          <w:tcPr>
            <w:tcW w:w="760" w:type="dxa"/>
            <w:vAlign w:val="bottom"/>
            <w:tcBorders>
              <w:bottom w:val="single" w:sz="8" w:color="auto"/>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2,576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720"/>
        <w:spacing w:after="0" w:line="263" w:lineRule="auto"/>
        <w:rPr>
          <w:sz w:val="20"/>
          <w:szCs w:val="20"/>
          <w:color w:val="auto"/>
        </w:rPr>
      </w:pPr>
      <w:r>
        <w:rPr>
          <w:rFonts w:ascii="Calibri" w:cs="Calibri" w:eastAsia="Calibri" w:hAnsi="Calibri"/>
          <w:sz w:val="20"/>
          <w:szCs w:val="20"/>
          <w:color w:val="auto"/>
        </w:rPr>
        <w:t>Depreciation and amortization expense related to property and equipment, net from continuing operations was $1.3 million and $1.6 million in 2025 and 2024, respectively. There were no material impairments of property and equipment in 2025 and 2024.</w:t>
      </w:r>
    </w:p>
    <w:p>
      <w:pPr>
        <w:spacing w:after="0" w:line="193"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As of December 31, 2025 and 2024, the net book value of software implementation costs of continuing operations related to hosting arrangements was $0.6 million and $1.7 million, respectively, and the amortization expense was immaterial for all periods presented.</w:t>
      </w:r>
    </w:p>
    <w:p>
      <w:pPr>
        <w:spacing w:after="0" w:line="20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Intangible Assets, Net</w:t>
      </w:r>
    </w:p>
    <w:p>
      <w:pPr>
        <w:spacing w:after="0" w:line="241"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Intangible assets, net of continuing operations consisted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0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500" w:type="dxa"/>
            <w:vAlign w:val="bottom"/>
            <w:tcBorders>
              <w:bottom w:val="single" w:sz="8" w:color="E5E5E5"/>
            </w:tcBorders>
            <w:vMerge w:val="continue"/>
          </w:tcPr>
          <w:p>
            <w:pPr>
              <w:spacing w:after="0"/>
              <w:rPr>
                <w:sz w:val="16"/>
                <w:szCs w:val="16"/>
                <w:color w:val="auto"/>
              </w:rPr>
            </w:pPr>
          </w:p>
        </w:tc>
        <w:tc>
          <w:tcPr>
            <w:tcW w:w="26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line="187" w:lineRule="exact"/>
              <w:rPr>
                <w:sz w:val="20"/>
                <w:szCs w:val="20"/>
                <w:color w:val="auto"/>
              </w:rPr>
            </w:pPr>
            <w:r>
              <w:rPr>
                <w:rFonts w:ascii="Calibri" w:cs="Calibri" w:eastAsia="Calibri" w:hAnsi="Calibri"/>
                <w:sz w:val="16"/>
                <w:szCs w:val="16"/>
                <w:b w:val="1"/>
                <w:bCs w:val="1"/>
                <w:color w:val="auto"/>
              </w:rPr>
              <w:t>2025</w:t>
            </w:r>
          </w:p>
        </w:tc>
        <w:tc>
          <w:tcPr>
            <w:tcW w:w="260" w:type="dxa"/>
            <w:vAlign w:val="bottom"/>
            <w:tcBorders>
              <w:bottom w:val="single" w:sz="8" w:color="E5E5E5"/>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5"/>
              <w:spacing w:after="0" w:line="187" w:lineRule="exact"/>
              <w:rPr>
                <w:sz w:val="20"/>
                <w:szCs w:val="20"/>
                <w:color w:val="auto"/>
              </w:rPr>
            </w:pPr>
            <w:r>
              <w:rPr>
                <w:rFonts w:ascii="Calibri" w:cs="Calibri" w:eastAsia="Calibri" w:hAnsi="Calibri"/>
                <w:sz w:val="16"/>
                <w:szCs w:val="16"/>
                <w:b w:val="1"/>
                <w:bCs w:val="1"/>
                <w:color w:val="auto"/>
              </w:rPr>
              <w:t>2024</w:t>
            </w:r>
          </w:p>
        </w:tc>
        <w:tc>
          <w:tcPr>
            <w:tcW w:w="0" w:type="dxa"/>
            <w:vAlign w:val="bottom"/>
          </w:tcPr>
          <w:p>
            <w:pPr>
              <w:spacing w:after="0"/>
              <w:rPr>
                <w:sz w:val="1"/>
                <w:szCs w:val="1"/>
                <w:color w:val="auto"/>
              </w:rPr>
            </w:pPr>
          </w:p>
        </w:tc>
      </w:tr>
      <w:tr>
        <w:trPr>
          <w:trHeight w:val="234"/>
        </w:trPr>
        <w:tc>
          <w:tcPr>
            <w:tcW w:w="850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Finite-lived assets, net of accumulated amortization of $5,000 and $2,719, as of December 31, 2025 and</w:t>
            </w:r>
          </w:p>
        </w:tc>
        <w:tc>
          <w:tcPr>
            <w:tcW w:w="2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40" w:type="dxa"/>
            <w:vAlign w:val="bottom"/>
            <w:shd w:val="clear" w:color="auto" w:fill="E5E5E5"/>
          </w:tcPr>
          <w:p>
            <w:pPr>
              <w:spacing w:after="0"/>
              <w:rPr>
                <w:sz w:val="20"/>
                <w:szCs w:val="20"/>
                <w:color w:val="auto"/>
              </w:rPr>
            </w:pPr>
          </w:p>
        </w:tc>
        <w:tc>
          <w:tcPr>
            <w:tcW w:w="82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340" w:type="dxa"/>
            <w:vAlign w:val="bottom"/>
            <w:shd w:val="clear" w:color="auto" w:fill="E5E5E5"/>
          </w:tcPr>
          <w:p>
            <w:pPr>
              <w:spacing w:after="0"/>
              <w:rPr>
                <w:sz w:val="20"/>
                <w:szCs w:val="20"/>
                <w:color w:val="auto"/>
              </w:rPr>
            </w:pPr>
          </w:p>
        </w:tc>
        <w:tc>
          <w:tcPr>
            <w:tcW w:w="7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500" w:type="dxa"/>
            <w:vAlign w:val="bottom"/>
            <w:shd w:val="clear" w:color="auto" w:fill="E5E5E5"/>
          </w:tcPr>
          <w:p>
            <w:pPr>
              <w:spacing w:after="0"/>
              <w:rPr>
                <w:sz w:val="20"/>
                <w:szCs w:val="20"/>
                <w:color w:val="auto"/>
              </w:rPr>
            </w:pPr>
            <w:r>
              <w:rPr>
                <w:rFonts w:ascii="Calibri" w:cs="Calibri" w:eastAsia="Calibri" w:hAnsi="Calibri"/>
                <w:sz w:val="20"/>
                <w:szCs w:val="20"/>
                <w:color w:val="auto"/>
              </w:rPr>
              <w:t>December 31, 2024, respectively</w:t>
            </w:r>
          </w:p>
        </w:tc>
        <w:tc>
          <w:tcPr>
            <w:tcW w:w="520" w:type="dxa"/>
            <w:vAlign w:val="bottom"/>
            <w:gridSpan w:val="3"/>
            <w:shd w:val="clear" w:color="auto" w:fill="E5E5E5"/>
          </w:tcPr>
          <w:p>
            <w:pPr>
              <w:jc w:val="right"/>
              <w:ind w:right="40"/>
              <w:spacing w:after="0"/>
              <w:rPr>
                <w:sz w:val="20"/>
                <w:szCs w:val="20"/>
                <w:color w:val="auto"/>
              </w:rPr>
            </w:pPr>
            <w:r>
              <w:rPr>
                <w:rFonts w:ascii="Calibri" w:cs="Calibri" w:eastAsia="Calibri" w:hAnsi="Calibri"/>
                <w:sz w:val="20"/>
                <w:szCs w:val="20"/>
                <w:color w:val="auto"/>
              </w:rPr>
              <w:t>$</w:t>
            </w:r>
          </w:p>
        </w:tc>
        <w:tc>
          <w:tcPr>
            <w:tcW w:w="82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20,000</w:t>
            </w:r>
          </w:p>
        </w:tc>
        <w:tc>
          <w:tcPr>
            <w:tcW w:w="600" w:type="dxa"/>
            <w:vAlign w:val="bottom"/>
            <w:gridSpan w:val="2"/>
            <w:shd w:val="clear" w:color="auto" w:fill="E5E5E5"/>
          </w:tcPr>
          <w:p>
            <w:pPr>
              <w:jc w:val="right"/>
              <w:ind w:right="120"/>
              <w:spacing w:after="0"/>
              <w:rPr>
                <w:sz w:val="20"/>
                <w:szCs w:val="20"/>
                <w:color w:val="auto"/>
              </w:rPr>
            </w:pPr>
            <w:r>
              <w:rPr>
                <w:rFonts w:ascii="Calibri" w:cs="Calibri" w:eastAsia="Calibri" w:hAnsi="Calibri"/>
                <w:sz w:val="20"/>
                <w:szCs w:val="20"/>
                <w:color w:val="auto"/>
              </w:rPr>
              <w:t>$</w:t>
            </w:r>
          </w:p>
        </w:tc>
        <w:tc>
          <w:tcPr>
            <w:tcW w:w="72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24,787</w:t>
            </w:r>
          </w:p>
        </w:tc>
        <w:tc>
          <w:tcPr>
            <w:tcW w:w="0" w:type="dxa"/>
            <w:vAlign w:val="bottom"/>
          </w:tcPr>
          <w:p>
            <w:pPr>
              <w:spacing w:after="0"/>
              <w:rPr>
                <w:sz w:val="1"/>
                <w:szCs w:val="1"/>
                <w:color w:val="auto"/>
              </w:rPr>
            </w:pPr>
          </w:p>
        </w:tc>
      </w:tr>
      <w:tr>
        <w:trPr>
          <w:trHeight w:val="246"/>
        </w:trPr>
        <w:tc>
          <w:tcPr>
            <w:tcW w:w="8500" w:type="dxa"/>
            <w:vAlign w:val="bottom"/>
            <w:tcBorders>
              <w:bottom w:val="single" w:sz="8" w:color="E5E5E5"/>
            </w:tcBorders>
          </w:tcPr>
          <w:p>
            <w:pPr>
              <w:spacing w:after="0"/>
              <w:rPr>
                <w:sz w:val="20"/>
                <w:szCs w:val="20"/>
                <w:color w:val="auto"/>
              </w:rPr>
            </w:pPr>
            <w:r>
              <w:rPr>
                <w:rFonts w:ascii="Calibri" w:cs="Calibri" w:eastAsia="Calibri" w:hAnsi="Calibri"/>
                <w:sz w:val="20"/>
                <w:szCs w:val="20"/>
                <w:color w:val="auto"/>
              </w:rPr>
              <w:t>Indefinite-lived assets - in-process research and development</w:t>
            </w:r>
          </w:p>
        </w:tc>
        <w:tc>
          <w:tcPr>
            <w:tcW w:w="26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26,239</w:t>
            </w:r>
          </w:p>
        </w:tc>
        <w:tc>
          <w:tcPr>
            <w:tcW w:w="260" w:type="dxa"/>
            <w:vAlign w:val="bottom"/>
            <w:tcBorders>
              <w:bottom w:val="single" w:sz="8" w:color="E5E5E5"/>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28,859</w:t>
            </w:r>
          </w:p>
        </w:tc>
        <w:tc>
          <w:tcPr>
            <w:tcW w:w="0" w:type="dxa"/>
            <w:vAlign w:val="bottom"/>
          </w:tcPr>
          <w:p>
            <w:pPr>
              <w:spacing w:after="0"/>
              <w:rPr>
                <w:sz w:val="1"/>
                <w:szCs w:val="1"/>
                <w:color w:val="auto"/>
              </w:rPr>
            </w:pPr>
          </w:p>
        </w:tc>
      </w:tr>
      <w:tr>
        <w:trPr>
          <w:trHeight w:val="244"/>
        </w:trPr>
        <w:tc>
          <w:tcPr>
            <w:tcW w:w="8500" w:type="dxa"/>
            <w:vAlign w:val="bottom"/>
            <w:shd w:val="clear" w:color="auto" w:fill="E5E5E5"/>
          </w:tcPr>
          <w:p>
            <w:pPr>
              <w:ind w:left="120"/>
              <w:spacing w:after="0" w:line="234" w:lineRule="exact"/>
              <w:rPr>
                <w:sz w:val="20"/>
                <w:szCs w:val="20"/>
                <w:color w:val="auto"/>
              </w:rPr>
            </w:pPr>
            <w:r>
              <w:rPr>
                <w:rFonts w:ascii="Calibri" w:cs="Calibri" w:eastAsia="Calibri" w:hAnsi="Calibri"/>
                <w:sz w:val="20"/>
                <w:szCs w:val="20"/>
                <w:color w:val="auto"/>
              </w:rPr>
              <w:t>Total Intangible assets, net</w:t>
            </w:r>
          </w:p>
        </w:tc>
        <w:tc>
          <w:tcPr>
            <w:tcW w:w="260" w:type="dxa"/>
            <w:vAlign w:val="bottom"/>
            <w:shd w:val="clear" w:color="auto" w:fill="E5E5E5"/>
          </w:tcPr>
          <w:p>
            <w:pPr>
              <w:spacing w:after="0"/>
              <w:rPr>
                <w:sz w:val="21"/>
                <w:szCs w:val="21"/>
                <w:color w:val="auto"/>
              </w:rPr>
            </w:pPr>
          </w:p>
        </w:tc>
        <w:tc>
          <w:tcPr>
            <w:tcW w:w="20" w:type="dxa"/>
            <w:vAlign w:val="bottom"/>
            <w:tcBorders>
              <w:bottom w:val="single" w:sz="8" w:color="auto"/>
            </w:tcBorders>
            <w:shd w:val="clear" w:color="auto" w:fill="E5E5E5"/>
          </w:tcPr>
          <w:p>
            <w:pPr>
              <w:spacing w:after="0"/>
              <w:rPr>
                <w:sz w:val="21"/>
                <w:szCs w:val="21"/>
                <w:color w:val="auto"/>
              </w:rPr>
            </w:pPr>
          </w:p>
        </w:tc>
        <w:tc>
          <w:tcPr>
            <w:tcW w:w="240" w:type="dxa"/>
            <w:vAlign w:val="bottom"/>
            <w:tcBorders>
              <w:bottom w:val="single" w:sz="8" w:color="auto"/>
            </w:tcBorders>
            <w:shd w:val="clear" w:color="auto" w:fill="E5E5E5"/>
          </w:tcPr>
          <w:p>
            <w:pPr>
              <w:jc w:val="right"/>
              <w:ind w:right="40"/>
              <w:spacing w:after="0" w:line="235" w:lineRule="exact"/>
              <w:rPr>
                <w:sz w:val="20"/>
                <w:szCs w:val="20"/>
                <w:color w:val="auto"/>
              </w:rPr>
            </w:pPr>
            <w:r>
              <w:rPr>
                <w:rFonts w:ascii="Calibri" w:cs="Calibri" w:eastAsia="Calibri" w:hAnsi="Calibri"/>
                <w:sz w:val="20"/>
                <w:szCs w:val="20"/>
                <w:color w:val="auto"/>
                <w:w w:val="78"/>
              </w:rPr>
              <w:t>$</w:t>
            </w:r>
          </w:p>
        </w:tc>
        <w:tc>
          <w:tcPr>
            <w:tcW w:w="820" w:type="dxa"/>
            <w:vAlign w:val="bottom"/>
            <w:tcBorders>
              <w:bottom w:val="single" w:sz="8" w:color="auto"/>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46,239</w:t>
            </w:r>
          </w:p>
        </w:tc>
        <w:tc>
          <w:tcPr>
            <w:tcW w:w="260" w:type="dxa"/>
            <w:vAlign w:val="bottom"/>
            <w:shd w:val="clear" w:color="auto" w:fill="E5E5E5"/>
          </w:tcPr>
          <w:p>
            <w:pPr>
              <w:spacing w:after="0"/>
              <w:rPr>
                <w:sz w:val="21"/>
                <w:szCs w:val="21"/>
                <w:color w:val="auto"/>
              </w:rPr>
            </w:pPr>
          </w:p>
        </w:tc>
        <w:tc>
          <w:tcPr>
            <w:tcW w:w="340" w:type="dxa"/>
            <w:vAlign w:val="bottom"/>
            <w:tcBorders>
              <w:bottom w:val="single" w:sz="8" w:color="auto"/>
            </w:tcBorders>
            <w:shd w:val="clear" w:color="auto" w:fill="E5E5E5"/>
          </w:tcPr>
          <w:p>
            <w:pPr>
              <w:jc w:val="right"/>
              <w:ind w:right="120"/>
              <w:spacing w:after="0" w:line="235" w:lineRule="exact"/>
              <w:rPr>
                <w:sz w:val="20"/>
                <w:szCs w:val="20"/>
                <w:color w:val="auto"/>
              </w:rPr>
            </w:pPr>
            <w:r>
              <w:rPr>
                <w:rFonts w:ascii="Calibri" w:cs="Calibri" w:eastAsia="Calibri" w:hAnsi="Calibri"/>
                <w:sz w:val="20"/>
                <w:szCs w:val="20"/>
                <w:color w:val="auto"/>
                <w:w w:val="98"/>
              </w:rPr>
              <w:t>$</w:t>
            </w:r>
          </w:p>
        </w:tc>
        <w:tc>
          <w:tcPr>
            <w:tcW w:w="720" w:type="dxa"/>
            <w:vAlign w:val="bottom"/>
            <w:tcBorders>
              <w:bottom w:val="single" w:sz="8" w:color="auto"/>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53,646</w:t>
            </w: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Amortization expense related to finite-lived intangible assets from continuing operations was $2.6 million during the year ended December 31, 2025 and $3.4 million for the year ended December 31, 2024. As of December 31, 2025, amortization expense from continuing operations related to finite-lived assets for each of the five succeeding fiscal years is expected to be approximately $2.5 million. The weighted average remaining life of the finite-lived assets from continuing operations is 8.0 years on December 31, 2025.</w:t>
      </w:r>
    </w:p>
    <w:p>
      <w:pPr>
        <w:spacing w:after="0" w:line="212"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During the fourth quarter of 2025, the Company wrote down $2.6 million of in-process research and development which is classified within research and development in the consolidated statements of operations.</w:t>
      </w:r>
    </w:p>
    <w:p>
      <w:pPr>
        <w:spacing w:after="0" w:line="194" w:lineRule="exact"/>
        <w:rPr>
          <w:sz w:val="20"/>
          <w:szCs w:val="20"/>
          <w:color w:val="auto"/>
        </w:rPr>
      </w:pPr>
    </w:p>
    <w:p>
      <w:pPr>
        <w:jc w:val="both"/>
        <w:ind w:firstLine="720"/>
        <w:spacing w:after="0" w:line="250" w:lineRule="auto"/>
        <w:rPr>
          <w:sz w:val="20"/>
          <w:szCs w:val="20"/>
          <w:color w:val="auto"/>
        </w:rPr>
      </w:pPr>
      <w:r>
        <w:rPr>
          <w:rFonts w:ascii="Calibri" w:cs="Calibri" w:eastAsia="Calibri" w:hAnsi="Calibri"/>
          <w:sz w:val="20"/>
          <w:szCs w:val="20"/>
          <w:color w:val="auto"/>
        </w:rPr>
        <w:t>The exclusive out-license of GSK4381562 to GlaxoSmithKline Intellectual Property No. 4 Limited (“GSK”), acquired as part of the Surface Acquisition, was terminated by GSK with an effective date of December 16, 2025. As a result, during the third quarter of 2025, the Company recognized a net impairment charge of $1.6 million in selling, general and administrative expenses in the consolidated</w:t>
      </w:r>
    </w:p>
    <w:p>
      <w:pPr>
        <w:sectPr>
          <w:pgSz w:w="12240" w:h="15840" w:orient="portrait"/>
          <w:cols w:equalWidth="0" w:num="1">
            <w:col w:w="11160"/>
          </w:cols>
          <w:pgMar w:left="540" w:top="531"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95</w:t>
      </w:r>
    </w:p>
    <w:p>
      <w:pPr>
        <w:sectPr>
          <w:pgSz w:w="12240" w:h="15840" w:orient="portrait"/>
          <w:cols w:equalWidth="0" w:num="1">
            <w:col w:w="11160"/>
          </w:cols>
          <w:pgMar w:left="540" w:top="531" w:right="540" w:bottom="9" w:gutter="0" w:footer="0" w:header="0"/>
          <w:type w:val="continuous"/>
        </w:sectPr>
      </w:pPr>
    </w:p>
    <w:bookmarkStart w:id="97" w:name="page98"/>
    <w:bookmarkEnd w:id="97"/>
    <w:p>
      <w:pPr>
        <w:jc w:val="both"/>
        <w:spacing w:after="0" w:line="262" w:lineRule="auto"/>
        <w:rPr>
          <w:sz w:val="20"/>
          <w:szCs w:val="20"/>
          <w:color w:val="auto"/>
        </w:rPr>
      </w:pPr>
      <w:r>
        <w:rPr>
          <w:rFonts w:ascii="Calibri" w:cs="Calibri" w:eastAsia="Calibri" w:hAnsi="Calibri"/>
          <w:sz w:val="20"/>
          <w:szCs w:val="20"/>
          <w:color w:val="auto"/>
        </w:rPr>
        <w:t>statements of operations relating to the write-off of the net carrying value of the GSK out-license intangible asset of $2.1 million and the final remeasurement of the CVR liability related to GSK4381562 of $0.5 million to its fair value of zero.</w:t>
      </w:r>
    </w:p>
    <w:p>
      <w:pPr>
        <w:spacing w:after="0" w:line="195"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The out-licensed partnership program with Novartis Institutes for Biomedical Research, Inc. (“Novartis Institutes”) (NZV930), also acquired as part of the Surface Acquisition, was terminated by Novartis Institutes with an effective date of October 2, 2024. As a result, during the first quarter of 2024, the Company recognized a net impairment charge of $6.8 million in selling, general and administrative expenses in the consolidated statements of operations relating to the write-off of the net carrying value of the Novartis Institutes out-license intangible asset of $10.6 million and the final remeasurement of the CVR liability related to NZV930 of $3.8 million to its fair value of zero.</w:t>
      </w:r>
    </w:p>
    <w:p>
      <w:pPr>
        <w:spacing w:after="0" w:line="215"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In connection with the CIMERLI Sale on March 1, 2024, a finite-lived intangible asset, net of $2.1 million and goodwill of $0.9 million were derecognized and the resulting charge was classified within discontinued operations. In connection with the YUSIMRY Sale on June 26, 2024, a finite-lived intangible asset with a net value of $0.9 million was derecognized and the resulting charge was classified within discontinued operations.</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Accrued and Other Current Liabilities</w:t>
      </w:r>
    </w:p>
    <w:p>
      <w:pPr>
        <w:spacing w:after="0" w:line="243"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Accrued and other current liabilities of continuing operations consisted of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gridSpan w:val="2"/>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7"/>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580" w:type="dxa"/>
            <w:vAlign w:val="bottom"/>
            <w:tcBorders>
              <w:bottom w:val="single" w:sz="8" w:color="E5E5E5"/>
            </w:tcBorders>
            <w:gridSpan w:val="2"/>
            <w:vMerge w:val="continue"/>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4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5"/>
              <w:spacing w:after="0" w:line="187" w:lineRule="exact"/>
              <w:rPr>
                <w:sz w:val="20"/>
                <w:szCs w:val="20"/>
                <w:color w:val="auto"/>
              </w:rPr>
            </w:pPr>
            <w:r>
              <w:rPr>
                <w:rFonts w:ascii="Calibri" w:cs="Calibri" w:eastAsia="Calibri" w:hAnsi="Calibri"/>
                <w:sz w:val="16"/>
                <w:szCs w:val="16"/>
                <w:b w:val="1"/>
                <w:bCs w:val="1"/>
                <w:color w:val="auto"/>
              </w:rPr>
              <w:t>2025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8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3"/>
              <w:spacing w:after="0" w:line="187" w:lineRule="exact"/>
              <w:rPr>
                <w:sz w:val="20"/>
                <w:szCs w:val="20"/>
                <w:color w:val="auto"/>
              </w:rPr>
            </w:pPr>
            <w:r>
              <w:rPr>
                <w:rFonts w:ascii="Calibri" w:cs="Calibri" w:eastAsia="Calibri" w:hAnsi="Calibri"/>
                <w:sz w:val="16"/>
                <w:szCs w:val="16"/>
                <w:b w:val="1"/>
                <w:bCs w:val="1"/>
                <w:color w:val="auto"/>
              </w:rPr>
              <w:t>2024</w:t>
            </w:r>
          </w:p>
        </w:tc>
        <w:tc>
          <w:tcPr>
            <w:tcW w:w="0" w:type="dxa"/>
            <w:vAlign w:val="bottom"/>
          </w:tcPr>
          <w:p>
            <w:pPr>
              <w:spacing w:after="0"/>
              <w:rPr>
                <w:sz w:val="1"/>
                <w:szCs w:val="1"/>
                <w:color w:val="auto"/>
              </w:rPr>
            </w:pPr>
          </w:p>
        </w:tc>
      </w:tr>
      <w:tr>
        <w:trPr>
          <w:trHeight w:val="236"/>
        </w:trPr>
        <w:tc>
          <w:tcPr>
            <w:tcW w:w="8580" w:type="dxa"/>
            <w:vAlign w:val="bottom"/>
            <w:gridSpan w:val="2"/>
            <w:shd w:val="clear" w:color="auto" w:fill="E5E5E5"/>
          </w:tcPr>
          <w:p>
            <w:pPr>
              <w:spacing w:after="0" w:line="235" w:lineRule="exact"/>
              <w:rPr>
                <w:sz w:val="20"/>
                <w:szCs w:val="20"/>
                <w:color w:val="auto"/>
              </w:rPr>
            </w:pPr>
            <w:r>
              <w:rPr>
                <w:rFonts w:ascii="Calibri" w:cs="Calibri" w:eastAsia="Calibri" w:hAnsi="Calibri"/>
                <w:sz w:val="20"/>
                <w:szCs w:val="20"/>
                <w:color w:val="auto"/>
              </w:rPr>
              <w:t>Accrued commercial and research and development manufacturing</w:t>
            </w: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w w:val="78"/>
              </w:rPr>
              <w:t>$</w:t>
            </w:r>
          </w:p>
        </w:tc>
        <w:tc>
          <w:tcPr>
            <w:tcW w:w="920" w:type="dxa"/>
            <w:vAlign w:val="bottom"/>
            <w:gridSpan w:val="2"/>
            <w:shd w:val="clear" w:color="auto" w:fill="E5E5E5"/>
          </w:tcPr>
          <w:p>
            <w:pPr>
              <w:jc w:val="right"/>
              <w:ind w:right="60"/>
              <w:spacing w:after="0" w:line="235" w:lineRule="exact"/>
              <w:rPr>
                <w:sz w:val="20"/>
                <w:szCs w:val="20"/>
                <w:color w:val="auto"/>
              </w:rPr>
            </w:pPr>
            <w:r>
              <w:rPr>
                <w:rFonts w:ascii="Calibri" w:cs="Calibri" w:eastAsia="Calibri" w:hAnsi="Calibri"/>
                <w:sz w:val="20"/>
                <w:szCs w:val="20"/>
                <w:color w:val="auto"/>
              </w:rPr>
              <w:t>7,349</w:t>
            </w:r>
          </w:p>
        </w:tc>
        <w:tc>
          <w:tcPr>
            <w:tcW w:w="560" w:type="dxa"/>
            <w:vAlign w:val="bottom"/>
            <w:gridSpan w:val="5"/>
            <w:shd w:val="clear" w:color="auto" w:fill="E5E5E5"/>
          </w:tcPr>
          <w:p>
            <w:pPr>
              <w:jc w:val="right"/>
              <w:ind w:right="80"/>
              <w:spacing w:after="0" w:line="235" w:lineRule="exact"/>
              <w:rPr>
                <w:sz w:val="20"/>
                <w:szCs w:val="20"/>
                <w:color w:val="auto"/>
              </w:rPr>
            </w:pPr>
            <w:r>
              <w:rPr>
                <w:rFonts w:ascii="Calibri" w:cs="Calibri" w:eastAsia="Calibri" w:hAnsi="Calibri"/>
                <w:sz w:val="20"/>
                <w:szCs w:val="20"/>
                <w:color w:val="auto"/>
              </w:rPr>
              <w:t>$</w:t>
            </w:r>
          </w:p>
        </w:tc>
        <w:tc>
          <w:tcPr>
            <w:tcW w:w="76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12,449</w:t>
            </w:r>
          </w:p>
        </w:tc>
        <w:tc>
          <w:tcPr>
            <w:tcW w:w="0" w:type="dxa"/>
            <w:vAlign w:val="bottom"/>
          </w:tcPr>
          <w:p>
            <w:pPr>
              <w:spacing w:after="0"/>
              <w:rPr>
                <w:sz w:val="1"/>
                <w:szCs w:val="1"/>
                <w:color w:val="auto"/>
              </w:rPr>
            </w:pPr>
          </w:p>
        </w:tc>
      </w:tr>
      <w:tr>
        <w:trPr>
          <w:trHeight w:val="245"/>
        </w:trPr>
        <w:tc>
          <w:tcPr>
            <w:tcW w:w="8580" w:type="dxa"/>
            <w:vAlign w:val="bottom"/>
            <w:gridSpan w:val="2"/>
          </w:tcPr>
          <w:p>
            <w:pPr>
              <w:spacing w:after="0"/>
              <w:rPr>
                <w:sz w:val="20"/>
                <w:szCs w:val="20"/>
                <w:color w:val="auto"/>
              </w:rPr>
            </w:pPr>
            <w:r>
              <w:rPr>
                <w:rFonts w:ascii="Calibri" w:cs="Calibri" w:eastAsia="Calibri" w:hAnsi="Calibri"/>
                <w:sz w:val="20"/>
                <w:szCs w:val="20"/>
                <w:color w:val="auto"/>
              </w:rPr>
              <w:t>Accrued milestone payments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Calibri" w:cs="Calibri" w:eastAsia="Calibri" w:hAnsi="Calibri"/>
                <w:sz w:val="20"/>
                <w:szCs w:val="20"/>
                <w:color w:val="auto"/>
              </w:rPr>
              <w:t>100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Calibri" w:cs="Calibri" w:eastAsia="Calibri" w:hAnsi="Calibri"/>
                <w:sz w:val="20"/>
                <w:szCs w:val="20"/>
                <w:color w:val="auto"/>
              </w:rPr>
              <w:t>12,500</w:t>
            </w:r>
          </w:p>
        </w:tc>
        <w:tc>
          <w:tcPr>
            <w:tcW w:w="0" w:type="dxa"/>
            <w:vAlign w:val="bottom"/>
          </w:tcPr>
          <w:p>
            <w:pPr>
              <w:spacing w:after="0"/>
              <w:rPr>
                <w:sz w:val="1"/>
                <w:szCs w:val="1"/>
                <w:color w:val="auto"/>
              </w:rPr>
            </w:pPr>
          </w:p>
        </w:tc>
      </w:tr>
      <w:tr>
        <w:trPr>
          <w:trHeight w:val="245"/>
        </w:trPr>
        <w:tc>
          <w:tcPr>
            <w:tcW w:w="8580" w:type="dxa"/>
            <w:vAlign w:val="bottom"/>
            <w:gridSpan w:val="2"/>
            <w:shd w:val="clear" w:color="auto" w:fill="E5E5E5"/>
          </w:tcPr>
          <w:p>
            <w:pPr>
              <w:spacing w:after="0"/>
              <w:rPr>
                <w:sz w:val="20"/>
                <w:szCs w:val="20"/>
                <w:color w:val="auto"/>
              </w:rPr>
            </w:pPr>
            <w:r>
              <w:rPr>
                <w:rFonts w:ascii="Calibri" w:cs="Calibri" w:eastAsia="Calibri" w:hAnsi="Calibri"/>
                <w:sz w:val="20"/>
                <w:szCs w:val="20"/>
                <w:color w:val="auto"/>
              </w:rPr>
              <w:t>Royalty fee derivative liability, current (Notes 3 &amp; 8)</w:t>
            </w:r>
          </w:p>
        </w:tc>
        <w:tc>
          <w:tcPr>
            <w:tcW w:w="2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920" w:type="dxa"/>
            <w:vAlign w:val="bottom"/>
            <w:gridSpan w:val="2"/>
            <w:shd w:val="clear" w:color="auto" w:fill="E5E5E5"/>
          </w:tcPr>
          <w:p>
            <w:pPr>
              <w:jc w:val="right"/>
              <w:ind w:right="60"/>
              <w:spacing w:after="0"/>
              <w:rPr>
                <w:sz w:val="20"/>
                <w:szCs w:val="20"/>
                <w:color w:val="auto"/>
              </w:rPr>
            </w:pPr>
            <w:r>
              <w:rPr>
                <w:rFonts w:ascii="Calibri" w:cs="Calibri" w:eastAsia="Calibri" w:hAnsi="Calibri"/>
                <w:sz w:val="20"/>
                <w:szCs w:val="20"/>
                <w:color w:val="auto"/>
              </w:rPr>
              <w:t>—</w:t>
            </w:r>
          </w:p>
        </w:tc>
        <w:tc>
          <w:tcPr>
            <w:tcW w:w="16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7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13,620</w:t>
            </w:r>
          </w:p>
        </w:tc>
        <w:tc>
          <w:tcPr>
            <w:tcW w:w="0" w:type="dxa"/>
            <w:vAlign w:val="bottom"/>
          </w:tcPr>
          <w:p>
            <w:pPr>
              <w:spacing w:after="0"/>
              <w:rPr>
                <w:sz w:val="1"/>
                <w:szCs w:val="1"/>
                <w:color w:val="auto"/>
              </w:rPr>
            </w:pPr>
          </w:p>
        </w:tc>
      </w:tr>
      <w:tr>
        <w:trPr>
          <w:trHeight w:val="245"/>
        </w:trPr>
        <w:tc>
          <w:tcPr>
            <w:tcW w:w="8580" w:type="dxa"/>
            <w:vAlign w:val="bottom"/>
            <w:gridSpan w:val="2"/>
          </w:tcPr>
          <w:p>
            <w:pPr>
              <w:spacing w:after="0"/>
              <w:rPr>
                <w:sz w:val="20"/>
                <w:szCs w:val="20"/>
                <w:color w:val="auto"/>
              </w:rPr>
            </w:pPr>
            <w:r>
              <w:rPr>
                <w:rFonts w:ascii="Calibri" w:cs="Calibri" w:eastAsia="Calibri" w:hAnsi="Calibri"/>
                <w:sz w:val="20"/>
                <w:szCs w:val="20"/>
                <w:color w:val="auto"/>
              </w:rPr>
              <w:t>Lease liabilities, current (Note 10)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Calibri" w:cs="Calibri" w:eastAsia="Calibri" w:hAnsi="Calibri"/>
                <w:sz w:val="20"/>
                <w:szCs w:val="20"/>
                <w:color w:val="auto"/>
              </w:rPr>
              <w:t>1,828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Calibri" w:cs="Calibri" w:eastAsia="Calibri" w:hAnsi="Calibri"/>
                <w:sz w:val="20"/>
                <w:szCs w:val="20"/>
                <w:color w:val="auto"/>
              </w:rPr>
              <w:t>1,691</w:t>
            </w:r>
          </w:p>
        </w:tc>
        <w:tc>
          <w:tcPr>
            <w:tcW w:w="0" w:type="dxa"/>
            <w:vAlign w:val="bottom"/>
          </w:tcPr>
          <w:p>
            <w:pPr>
              <w:spacing w:after="0"/>
              <w:rPr>
                <w:sz w:val="1"/>
                <w:szCs w:val="1"/>
                <w:color w:val="auto"/>
              </w:rPr>
            </w:pPr>
          </w:p>
        </w:tc>
      </w:tr>
      <w:tr>
        <w:trPr>
          <w:trHeight w:val="246"/>
        </w:trPr>
        <w:tc>
          <w:tcPr>
            <w:tcW w:w="8580" w:type="dxa"/>
            <w:vAlign w:val="bottom"/>
            <w:gridSpan w:val="2"/>
            <w:shd w:val="clear" w:color="auto" w:fill="E5E5E5"/>
          </w:tcPr>
          <w:p>
            <w:pPr>
              <w:spacing w:after="0"/>
              <w:rPr>
                <w:sz w:val="20"/>
                <w:szCs w:val="20"/>
                <w:color w:val="auto"/>
              </w:rPr>
            </w:pPr>
            <w:r>
              <w:rPr>
                <w:rFonts w:ascii="Calibri" w:cs="Calibri" w:eastAsia="Calibri" w:hAnsi="Calibri"/>
                <w:sz w:val="20"/>
                <w:szCs w:val="20"/>
                <w:color w:val="auto"/>
              </w:rPr>
              <w:t>Accrued other</w:t>
            </w:r>
          </w:p>
        </w:tc>
        <w:tc>
          <w:tcPr>
            <w:tcW w:w="2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920" w:type="dxa"/>
            <w:vAlign w:val="bottom"/>
            <w:tcBorders>
              <w:bottom w:val="single" w:sz="8" w:color="auto"/>
            </w:tcBorders>
            <w:gridSpan w:val="2"/>
            <w:shd w:val="clear" w:color="auto" w:fill="E5E5E5"/>
          </w:tcPr>
          <w:p>
            <w:pPr>
              <w:jc w:val="right"/>
              <w:ind w:right="60"/>
              <w:spacing w:after="0"/>
              <w:rPr>
                <w:sz w:val="20"/>
                <w:szCs w:val="20"/>
                <w:color w:val="auto"/>
              </w:rPr>
            </w:pPr>
            <w:r>
              <w:rPr>
                <w:rFonts w:ascii="Calibri" w:cs="Calibri" w:eastAsia="Calibri" w:hAnsi="Calibri"/>
                <w:sz w:val="20"/>
                <w:szCs w:val="20"/>
                <w:color w:val="auto"/>
              </w:rPr>
              <w:t>11,153</w:t>
            </w:r>
          </w:p>
        </w:tc>
        <w:tc>
          <w:tcPr>
            <w:tcW w:w="16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80" w:type="dxa"/>
            <w:vAlign w:val="bottom"/>
            <w:tcBorders>
              <w:bottom w:val="single" w:sz="8" w:color="auto"/>
            </w:tcBorders>
            <w:shd w:val="clear" w:color="auto" w:fill="E5E5E5"/>
          </w:tcPr>
          <w:p>
            <w:pPr>
              <w:spacing w:after="0"/>
              <w:rPr>
                <w:sz w:val="21"/>
                <w:szCs w:val="21"/>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20,028</w:t>
            </w:r>
          </w:p>
        </w:tc>
        <w:tc>
          <w:tcPr>
            <w:tcW w:w="0" w:type="dxa"/>
            <w:vAlign w:val="bottom"/>
          </w:tcPr>
          <w:p>
            <w:pPr>
              <w:spacing w:after="0"/>
              <w:rPr>
                <w:sz w:val="1"/>
                <w:szCs w:val="1"/>
                <w:color w:val="auto"/>
              </w:rPr>
            </w:pPr>
          </w:p>
        </w:tc>
      </w:tr>
      <w:tr>
        <w:trPr>
          <w:trHeight w:val="244"/>
        </w:trPr>
        <w:tc>
          <w:tcPr>
            <w:tcW w:w="8580" w:type="dxa"/>
            <w:vAlign w:val="bottom"/>
            <w:gridSpan w:val="2"/>
          </w:tcPr>
          <w:p>
            <w:pPr>
              <w:ind w:left="120"/>
              <w:spacing w:after="0" w:line="235" w:lineRule="exact"/>
              <w:rPr>
                <w:sz w:val="20"/>
                <w:szCs w:val="20"/>
                <w:color w:val="auto"/>
              </w:rPr>
            </w:pPr>
            <w:r>
              <w:rPr>
                <w:rFonts w:ascii="Calibri" w:cs="Calibri" w:eastAsia="Calibri" w:hAnsi="Calibri"/>
                <w:sz w:val="20"/>
                <w:szCs w:val="20"/>
                <w:color w:val="auto"/>
              </w:rPr>
              <w:t>Total Accrued and other current liabilities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line="235" w:lineRule="exact"/>
              <w:rPr>
                <w:sz w:val="20"/>
                <w:szCs w:val="20"/>
                <w:color w:val="auto"/>
              </w:rPr>
            </w:pPr>
            <w:r>
              <w:rPr>
                <w:rFonts w:ascii="Calibri" w:cs="Calibri" w:eastAsia="Calibri" w:hAnsi="Calibri"/>
                <w:sz w:val="20"/>
                <w:szCs w:val="20"/>
                <w:color w:val="auto"/>
                <w:w w:val="78"/>
              </w:rPr>
              <w:t>$</w:t>
            </w:r>
          </w:p>
        </w:tc>
        <w:tc>
          <w:tcPr>
            <w:tcW w:w="920" w:type="dxa"/>
            <w:vAlign w:val="bottom"/>
            <w:tcBorders>
              <w:bottom w:val="single" w:sz="8" w:color="auto"/>
            </w:tcBorders>
            <w:gridSpan w:val="2"/>
          </w:tcPr>
          <w:p>
            <w:pPr>
              <w:jc w:val="right"/>
              <w:ind w:right="60"/>
              <w:spacing w:after="0" w:line="235" w:lineRule="exact"/>
              <w:rPr>
                <w:sz w:val="20"/>
                <w:szCs w:val="20"/>
                <w:color w:val="auto"/>
              </w:rPr>
            </w:pPr>
            <w:r>
              <w:rPr>
                <w:rFonts w:ascii="Calibri" w:cs="Calibri" w:eastAsia="Calibri" w:hAnsi="Calibri"/>
                <w:sz w:val="20"/>
                <w:szCs w:val="20"/>
                <w:color w:val="auto"/>
              </w:rPr>
              <w:t>20,430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80"/>
              <w:spacing w:after="0" w:line="235" w:lineRule="exact"/>
              <w:rPr>
                <w:sz w:val="20"/>
                <w:szCs w:val="20"/>
                <w:color w:val="auto"/>
              </w:rPr>
            </w:pPr>
            <w:r>
              <w:rPr>
                <w:rFonts w:ascii="Calibri" w:cs="Calibri" w:eastAsia="Calibri" w:hAnsi="Calibri"/>
                <w:sz w:val="20"/>
                <w:szCs w:val="20"/>
                <w:color w:val="auto"/>
                <w:w w:val="78"/>
              </w:rPr>
              <w:t>$</w:t>
            </w:r>
          </w:p>
        </w:tc>
        <w:tc>
          <w:tcPr>
            <w:tcW w:w="760" w:type="dxa"/>
            <w:vAlign w:val="bottom"/>
            <w:tcBorders>
              <w:bottom w:val="single" w:sz="8" w:color="auto"/>
            </w:tcBorders>
          </w:tcPr>
          <w:p>
            <w:pPr>
              <w:jc w:val="right"/>
              <w:spacing w:after="0" w:line="235" w:lineRule="exact"/>
              <w:rPr>
                <w:sz w:val="20"/>
                <w:szCs w:val="20"/>
                <w:color w:val="auto"/>
              </w:rPr>
            </w:pPr>
            <w:r>
              <w:rPr>
                <w:rFonts w:ascii="Calibri" w:cs="Calibri" w:eastAsia="Calibri" w:hAnsi="Calibri"/>
                <w:sz w:val="20"/>
                <w:szCs w:val="20"/>
                <w:color w:val="auto"/>
              </w:rPr>
              <w:t>60,288</w:t>
            </w:r>
          </w:p>
        </w:tc>
        <w:tc>
          <w:tcPr>
            <w:tcW w:w="0" w:type="dxa"/>
            <w:vAlign w:val="bottom"/>
          </w:tcPr>
          <w:p>
            <w:pPr>
              <w:spacing w:after="0"/>
              <w:rPr>
                <w:sz w:val="1"/>
                <w:szCs w:val="1"/>
                <w:color w:val="auto"/>
              </w:rPr>
            </w:pPr>
          </w:p>
        </w:tc>
      </w:tr>
      <w:tr>
        <w:trPr>
          <w:trHeight w:val="504"/>
        </w:trPr>
        <w:tc>
          <w:tcPr>
            <w:tcW w:w="8580" w:type="dxa"/>
            <w:vAlign w:val="bottom"/>
            <w:gridSpan w:val="2"/>
          </w:tcPr>
          <w:p>
            <w:pPr>
              <w:spacing w:after="0"/>
              <w:rPr>
                <w:sz w:val="20"/>
                <w:szCs w:val="20"/>
                <w:color w:val="auto"/>
              </w:rPr>
            </w:pPr>
            <w:r>
              <w:rPr>
                <w:rFonts w:ascii="Calibri" w:cs="Calibri" w:eastAsia="Calibri" w:hAnsi="Calibri"/>
                <w:sz w:val="20"/>
                <w:szCs w:val="20"/>
                <w:b w:val="1"/>
                <w:bCs w:val="1"/>
                <w:color w:val="auto"/>
              </w:rPr>
              <w:t>Other Liabilities, Non-current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600" w:type="dxa"/>
            <w:vAlign w:val="bottom"/>
          </w:tcPr>
          <w:p>
            <w:pPr>
              <w:spacing w:after="0"/>
              <w:rPr>
                <w:sz w:val="24"/>
                <w:szCs w:val="24"/>
                <w:color w:val="auto"/>
              </w:rPr>
            </w:pPr>
          </w:p>
        </w:tc>
        <w:tc>
          <w:tcPr>
            <w:tcW w:w="7980" w:type="dxa"/>
            <w:vAlign w:val="bottom"/>
          </w:tcPr>
          <w:p>
            <w:pPr>
              <w:ind w:left="120"/>
              <w:spacing w:after="0"/>
              <w:rPr>
                <w:sz w:val="20"/>
                <w:szCs w:val="20"/>
                <w:color w:val="auto"/>
              </w:rPr>
            </w:pPr>
            <w:r>
              <w:rPr>
                <w:rFonts w:ascii="Calibri" w:cs="Calibri" w:eastAsia="Calibri" w:hAnsi="Calibri"/>
                <w:sz w:val="20"/>
                <w:szCs w:val="20"/>
                <w:color w:val="auto"/>
              </w:rPr>
              <w:t>Other liabilities, non-current of continuing operations consisted of the following: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580" w:type="dxa"/>
            <w:vAlign w:val="bottom"/>
            <w:gridSpan w:val="2"/>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580" w:type="dxa"/>
            <w:vAlign w:val="bottom"/>
            <w:tcBorders>
              <w:bottom w:val="single" w:sz="8" w:color="E5E5E5"/>
            </w:tcBorders>
            <w:gridSpan w:val="2"/>
            <w:vMerge w:val="continue"/>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5"/>
              <w:spacing w:after="0" w:line="187" w:lineRule="exact"/>
              <w:rPr>
                <w:sz w:val="20"/>
                <w:szCs w:val="20"/>
                <w:color w:val="auto"/>
              </w:rPr>
            </w:pPr>
            <w:r>
              <w:rPr>
                <w:rFonts w:ascii="Calibri" w:cs="Calibri" w:eastAsia="Calibri" w:hAnsi="Calibri"/>
                <w:sz w:val="16"/>
                <w:szCs w:val="16"/>
                <w:b w:val="1"/>
                <w:bCs w:val="1"/>
                <w:color w:val="auto"/>
              </w:rPr>
              <w:t>2025</w:t>
            </w:r>
          </w:p>
        </w:tc>
        <w:tc>
          <w:tcPr>
            <w:tcW w:w="100" w:type="dxa"/>
            <w:vAlign w:val="bottom"/>
            <w:tcBorders>
              <w:bottom w:val="single" w:sz="8" w:color="E5E5E5"/>
            </w:tcBorders>
          </w:tcPr>
          <w:p>
            <w:pPr>
              <w:spacing w:after="0"/>
              <w:rPr>
                <w:sz w:val="16"/>
                <w:szCs w:val="16"/>
                <w:color w:val="auto"/>
              </w:rPr>
            </w:pPr>
          </w:p>
        </w:tc>
        <w:tc>
          <w:tcPr>
            <w:tcW w:w="16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23"/>
              <w:spacing w:after="0" w:line="187" w:lineRule="exact"/>
              <w:rPr>
                <w:sz w:val="20"/>
                <w:szCs w:val="20"/>
                <w:color w:val="auto"/>
              </w:rPr>
            </w:pPr>
            <w:r>
              <w:rPr>
                <w:rFonts w:ascii="Calibri" w:cs="Calibri" w:eastAsia="Calibri" w:hAnsi="Calibri"/>
                <w:sz w:val="16"/>
                <w:szCs w:val="16"/>
                <w:b w:val="1"/>
                <w:bCs w:val="1"/>
                <w:color w:val="auto"/>
                <w:w w:val="98"/>
              </w:rPr>
              <w:t>2024</w:t>
            </w:r>
          </w:p>
        </w:tc>
        <w:tc>
          <w:tcPr>
            <w:tcW w:w="0" w:type="dxa"/>
            <w:vAlign w:val="bottom"/>
          </w:tcPr>
          <w:p>
            <w:pPr>
              <w:spacing w:after="0"/>
              <w:rPr>
                <w:sz w:val="1"/>
                <w:szCs w:val="1"/>
                <w:color w:val="auto"/>
              </w:rPr>
            </w:pPr>
          </w:p>
        </w:tc>
      </w:tr>
      <w:tr>
        <w:trPr>
          <w:trHeight w:val="234"/>
        </w:trPr>
        <w:tc>
          <w:tcPr>
            <w:tcW w:w="8580" w:type="dxa"/>
            <w:vAlign w:val="bottom"/>
            <w:gridSpan w:val="2"/>
            <w:shd w:val="clear" w:color="auto" w:fill="E5E5E5"/>
          </w:tcPr>
          <w:p>
            <w:pPr>
              <w:spacing w:after="0" w:line="234" w:lineRule="exact"/>
              <w:rPr>
                <w:sz w:val="20"/>
                <w:szCs w:val="20"/>
                <w:color w:val="auto"/>
              </w:rPr>
            </w:pPr>
            <w:r>
              <w:rPr>
                <w:rFonts w:ascii="Calibri" w:cs="Calibri" w:eastAsia="Calibri" w:hAnsi="Calibri"/>
                <w:sz w:val="20"/>
                <w:szCs w:val="20"/>
                <w:color w:val="auto"/>
              </w:rPr>
              <w:t>Contingent consideration, non-current</w:t>
            </w: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920" w:type="dxa"/>
            <w:vAlign w:val="bottom"/>
            <w:gridSpan w:val="2"/>
            <w:shd w:val="clear" w:color="auto" w:fill="E5E5E5"/>
          </w:tcPr>
          <w:p>
            <w:pPr>
              <w:jc w:val="right"/>
              <w:ind w:right="160"/>
              <w:spacing w:after="0" w:line="234" w:lineRule="exact"/>
              <w:rPr>
                <w:sz w:val="20"/>
                <w:szCs w:val="20"/>
                <w:color w:val="auto"/>
              </w:rPr>
            </w:pPr>
            <w:r>
              <w:rPr>
                <w:rFonts w:ascii="Calibri" w:cs="Calibri" w:eastAsia="Calibri" w:hAnsi="Calibri"/>
                <w:sz w:val="20"/>
                <w:szCs w:val="20"/>
                <w:color w:val="auto"/>
              </w:rPr>
              <w:t>—</w:t>
            </w:r>
          </w:p>
        </w:tc>
        <w:tc>
          <w:tcPr>
            <w:tcW w:w="280" w:type="dxa"/>
            <w:vAlign w:val="bottom"/>
            <w:gridSpan w:val="4"/>
            <w:shd w:val="clear" w:color="auto" w:fill="E5E5E5"/>
          </w:tcPr>
          <w:p>
            <w:pPr>
              <w:jc w:val="right"/>
              <w:ind w:right="20"/>
              <w:spacing w:after="0" w:line="234" w:lineRule="exact"/>
              <w:rPr>
                <w:sz w:val="20"/>
                <w:szCs w:val="20"/>
                <w:color w:val="auto"/>
              </w:rPr>
            </w:pPr>
            <w:r>
              <w:rPr>
                <w:rFonts w:ascii="Calibri" w:cs="Calibri" w:eastAsia="Calibri" w:hAnsi="Calibri"/>
                <w:sz w:val="20"/>
                <w:szCs w:val="20"/>
                <w:color w:val="auto"/>
              </w:rPr>
              <w:t>$</w:t>
            </w:r>
          </w:p>
        </w:tc>
        <w:tc>
          <w:tcPr>
            <w:tcW w:w="280" w:type="dxa"/>
            <w:vAlign w:val="bottom"/>
            <w:shd w:val="clear" w:color="auto" w:fill="E5E5E5"/>
          </w:tcPr>
          <w:p>
            <w:pPr>
              <w:spacing w:after="0"/>
              <w:rPr>
                <w:sz w:val="20"/>
                <w:szCs w:val="20"/>
                <w:color w:val="auto"/>
              </w:rPr>
            </w:pPr>
          </w:p>
        </w:tc>
        <w:tc>
          <w:tcPr>
            <w:tcW w:w="76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632</w:t>
            </w:r>
          </w:p>
        </w:tc>
        <w:tc>
          <w:tcPr>
            <w:tcW w:w="0" w:type="dxa"/>
            <w:vAlign w:val="bottom"/>
          </w:tcPr>
          <w:p>
            <w:pPr>
              <w:spacing w:after="0"/>
              <w:rPr>
                <w:sz w:val="1"/>
                <w:szCs w:val="1"/>
                <w:color w:val="auto"/>
              </w:rPr>
            </w:pPr>
          </w:p>
        </w:tc>
      </w:tr>
      <w:tr>
        <w:trPr>
          <w:trHeight w:val="246"/>
        </w:trPr>
        <w:tc>
          <w:tcPr>
            <w:tcW w:w="8580" w:type="dxa"/>
            <w:vAlign w:val="bottom"/>
            <w:gridSpan w:val="2"/>
          </w:tcPr>
          <w:p>
            <w:pPr>
              <w:spacing w:after="0"/>
              <w:rPr>
                <w:sz w:val="20"/>
                <w:szCs w:val="20"/>
                <w:color w:val="auto"/>
              </w:rPr>
            </w:pPr>
            <w:r>
              <w:rPr>
                <w:rFonts w:ascii="Calibri" w:cs="Calibri" w:eastAsia="Calibri" w:hAnsi="Calibri"/>
                <w:sz w:val="20"/>
                <w:szCs w:val="20"/>
                <w:color w:val="auto"/>
              </w:rPr>
              <w:t>Deferred tax liability (Note 13)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20"/>
                <w:szCs w:val="20"/>
                <w:color w:val="auto"/>
              </w:rPr>
              <w:t>1,102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Calibri" w:cs="Calibri" w:eastAsia="Calibri" w:hAnsi="Calibri"/>
                <w:sz w:val="20"/>
                <w:szCs w:val="20"/>
                <w:color w:val="auto"/>
              </w:rPr>
              <w:t>1,102</w:t>
            </w:r>
          </w:p>
        </w:tc>
        <w:tc>
          <w:tcPr>
            <w:tcW w:w="0" w:type="dxa"/>
            <w:vAlign w:val="bottom"/>
          </w:tcPr>
          <w:p>
            <w:pPr>
              <w:spacing w:after="0"/>
              <w:rPr>
                <w:sz w:val="1"/>
                <w:szCs w:val="1"/>
                <w:color w:val="auto"/>
              </w:rPr>
            </w:pPr>
          </w:p>
        </w:tc>
      </w:tr>
      <w:tr>
        <w:trPr>
          <w:trHeight w:val="245"/>
        </w:trPr>
        <w:tc>
          <w:tcPr>
            <w:tcW w:w="8580" w:type="dxa"/>
            <w:vAlign w:val="bottom"/>
            <w:gridSpan w:val="2"/>
            <w:shd w:val="clear" w:color="auto" w:fill="E5E5E5"/>
          </w:tcPr>
          <w:p>
            <w:pPr>
              <w:spacing w:after="0"/>
              <w:rPr>
                <w:sz w:val="20"/>
                <w:szCs w:val="20"/>
                <w:color w:val="auto"/>
              </w:rPr>
            </w:pPr>
            <w:r>
              <w:rPr>
                <w:rFonts w:ascii="Calibri" w:cs="Calibri" w:eastAsia="Calibri" w:hAnsi="Calibri"/>
                <w:sz w:val="20"/>
                <w:szCs w:val="20"/>
                <w:color w:val="auto"/>
              </w:rPr>
              <w:t>Revenue participation liability, non-current (Note 8)</w:t>
            </w:r>
          </w:p>
        </w:tc>
        <w:tc>
          <w:tcPr>
            <w:tcW w:w="2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82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14,028</w:t>
            </w:r>
          </w:p>
        </w:tc>
        <w:tc>
          <w:tcPr>
            <w:tcW w:w="1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7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27,595</w:t>
            </w:r>
          </w:p>
        </w:tc>
        <w:tc>
          <w:tcPr>
            <w:tcW w:w="0" w:type="dxa"/>
            <w:vAlign w:val="bottom"/>
          </w:tcPr>
          <w:p>
            <w:pPr>
              <w:spacing w:after="0"/>
              <w:rPr>
                <w:sz w:val="1"/>
                <w:szCs w:val="1"/>
                <w:color w:val="auto"/>
              </w:rPr>
            </w:pPr>
          </w:p>
        </w:tc>
      </w:tr>
      <w:tr>
        <w:trPr>
          <w:trHeight w:val="245"/>
        </w:trPr>
        <w:tc>
          <w:tcPr>
            <w:tcW w:w="8580" w:type="dxa"/>
            <w:vAlign w:val="bottom"/>
            <w:gridSpan w:val="2"/>
          </w:tcPr>
          <w:p>
            <w:pPr>
              <w:spacing w:after="0"/>
              <w:rPr>
                <w:sz w:val="20"/>
                <w:szCs w:val="20"/>
                <w:color w:val="auto"/>
              </w:rPr>
            </w:pPr>
            <w:r>
              <w:rPr>
                <w:rFonts w:ascii="Calibri" w:cs="Calibri" w:eastAsia="Calibri" w:hAnsi="Calibri"/>
                <w:sz w:val="20"/>
                <w:szCs w:val="20"/>
                <w:color w:val="auto"/>
              </w:rPr>
              <w:t>Royalty fee derivative liability, non-current (Note 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20"/>
                <w:szCs w:val="20"/>
                <w:color w:val="auto"/>
              </w:rPr>
              <w:t>1,490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45"/>
        </w:trPr>
        <w:tc>
          <w:tcPr>
            <w:tcW w:w="600" w:type="dxa"/>
            <w:vAlign w:val="bottom"/>
            <w:shd w:val="clear" w:color="auto" w:fill="E5E5E5"/>
          </w:tcPr>
          <w:p>
            <w:pPr>
              <w:spacing w:after="0"/>
              <w:rPr>
                <w:sz w:val="20"/>
                <w:szCs w:val="20"/>
                <w:color w:val="auto"/>
              </w:rPr>
            </w:pPr>
            <w:r>
              <w:rPr>
                <w:rFonts w:ascii="Calibri" w:cs="Calibri" w:eastAsia="Calibri" w:hAnsi="Calibri"/>
                <w:sz w:val="20"/>
                <w:szCs w:val="20"/>
                <w:color w:val="auto"/>
              </w:rPr>
              <w:t>Other</w:t>
            </w:r>
          </w:p>
        </w:tc>
        <w:tc>
          <w:tcPr>
            <w:tcW w:w="798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20" w:type="dxa"/>
            <w:vAlign w:val="bottom"/>
            <w:tcBorders>
              <w:bottom w:val="single" w:sz="8" w:color="auto"/>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82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1,815</w:t>
            </w:r>
          </w:p>
        </w:tc>
        <w:tc>
          <w:tcPr>
            <w:tcW w:w="10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80" w:type="dxa"/>
            <w:vAlign w:val="bottom"/>
            <w:tcBorders>
              <w:bottom w:val="single" w:sz="8" w:color="auto"/>
            </w:tcBorders>
            <w:shd w:val="clear" w:color="auto" w:fill="E5E5E5"/>
          </w:tcPr>
          <w:p>
            <w:pPr>
              <w:spacing w:after="0"/>
              <w:rPr>
                <w:sz w:val="21"/>
                <w:szCs w:val="21"/>
                <w:color w:val="auto"/>
              </w:rPr>
            </w:pPr>
          </w:p>
        </w:tc>
        <w:tc>
          <w:tcPr>
            <w:tcW w:w="20" w:type="dxa"/>
            <w:vAlign w:val="bottom"/>
            <w:tcBorders>
              <w:bottom w:val="single" w:sz="8" w:color="auto"/>
            </w:tcBorders>
            <w:shd w:val="clear" w:color="auto" w:fill="E5E5E5"/>
          </w:tcPr>
          <w:p>
            <w:pPr>
              <w:spacing w:after="0"/>
              <w:rPr>
                <w:sz w:val="21"/>
                <w:szCs w:val="21"/>
                <w:color w:val="auto"/>
              </w:rPr>
            </w:pPr>
          </w:p>
        </w:tc>
        <w:tc>
          <w:tcPr>
            <w:tcW w:w="280" w:type="dxa"/>
            <w:vAlign w:val="bottom"/>
            <w:tcBorders>
              <w:bottom w:val="single" w:sz="8" w:color="auto"/>
            </w:tcBorders>
            <w:shd w:val="clear" w:color="auto" w:fill="E5E5E5"/>
          </w:tcPr>
          <w:p>
            <w:pPr>
              <w:spacing w:after="0"/>
              <w:rPr>
                <w:sz w:val="21"/>
                <w:szCs w:val="21"/>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46"/>
        </w:trPr>
        <w:tc>
          <w:tcPr>
            <w:tcW w:w="8580" w:type="dxa"/>
            <w:vAlign w:val="bottom"/>
            <w:gridSpan w:val="2"/>
          </w:tcPr>
          <w:p>
            <w:pPr>
              <w:ind w:left="120"/>
              <w:spacing w:after="0" w:line="236" w:lineRule="exact"/>
              <w:rPr>
                <w:sz w:val="20"/>
                <w:szCs w:val="20"/>
                <w:color w:val="auto"/>
              </w:rPr>
            </w:pPr>
            <w:r>
              <w:rPr>
                <w:rFonts w:ascii="Calibri" w:cs="Calibri" w:eastAsia="Calibri" w:hAnsi="Calibri"/>
                <w:sz w:val="20"/>
                <w:szCs w:val="20"/>
                <w:color w:val="auto"/>
              </w:rPr>
              <w:t>Total Other liabilities, non-current</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line="236" w:lineRule="exact"/>
              <w:rPr>
                <w:sz w:val="20"/>
                <w:szCs w:val="20"/>
                <w:color w:val="auto"/>
              </w:rPr>
            </w:pPr>
            <w:r>
              <w:rPr>
                <w:rFonts w:ascii="Calibri" w:cs="Calibri" w:eastAsia="Calibri" w:hAnsi="Calibri"/>
                <w:sz w:val="20"/>
                <w:szCs w:val="20"/>
                <w:color w:val="auto"/>
                <w:w w:val="78"/>
              </w:rPr>
              <w:t>$</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line="236" w:lineRule="exact"/>
              <w:rPr>
                <w:sz w:val="20"/>
                <w:szCs w:val="20"/>
                <w:color w:val="auto"/>
              </w:rPr>
            </w:pPr>
            <w:r>
              <w:rPr>
                <w:rFonts w:ascii="Calibri" w:cs="Calibri" w:eastAsia="Calibri" w:hAnsi="Calibri"/>
                <w:sz w:val="20"/>
                <w:szCs w:val="20"/>
                <w:color w:val="auto"/>
              </w:rPr>
              <w:t>18,435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Calibri" w:cs="Calibri" w:eastAsia="Calibri" w:hAnsi="Calibri"/>
                <w:sz w:val="16"/>
                <w:szCs w:val="16"/>
                <w:color w:val="auto"/>
                <w:w w:val="73"/>
              </w:rPr>
              <w:t>$</w:t>
            </w: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line="236" w:lineRule="exact"/>
              <w:rPr>
                <w:sz w:val="20"/>
                <w:szCs w:val="20"/>
                <w:color w:val="auto"/>
              </w:rPr>
            </w:pPr>
            <w:r>
              <w:rPr>
                <w:rFonts w:ascii="Calibri" w:cs="Calibri" w:eastAsia="Calibri" w:hAnsi="Calibri"/>
                <w:sz w:val="20"/>
                <w:szCs w:val="20"/>
                <w:color w:val="auto"/>
              </w:rPr>
              <w:t>29,329</w:t>
            </w:r>
          </w:p>
        </w:tc>
        <w:tc>
          <w:tcPr>
            <w:tcW w:w="0" w:type="dxa"/>
            <w:vAlign w:val="bottom"/>
          </w:tcPr>
          <w:p>
            <w:pPr>
              <w:spacing w:after="0"/>
              <w:rPr>
                <w:sz w:val="1"/>
                <w:szCs w:val="1"/>
                <w:color w:val="auto"/>
              </w:rPr>
            </w:pPr>
          </w:p>
        </w:tc>
      </w:tr>
      <w:tr>
        <w:trPr>
          <w:trHeight w:val="528"/>
        </w:trPr>
        <w:tc>
          <w:tcPr>
            <w:tcW w:w="600" w:type="dxa"/>
            <w:vAlign w:val="bottom"/>
          </w:tcPr>
          <w:p>
            <w:pPr>
              <w:spacing w:after="0"/>
              <w:rPr>
                <w:sz w:val="20"/>
                <w:szCs w:val="20"/>
                <w:color w:val="auto"/>
              </w:rPr>
            </w:pPr>
            <w:r>
              <w:rPr>
                <w:rFonts w:ascii="Calibri" w:cs="Calibri" w:eastAsia="Calibri" w:hAnsi="Calibri"/>
                <w:sz w:val="20"/>
                <w:szCs w:val="20"/>
                <w:b w:val="1"/>
                <w:bCs w:val="1"/>
                <w:color w:val="auto"/>
              </w:rPr>
              <w:t>6.</w:t>
            </w:r>
          </w:p>
        </w:tc>
        <w:tc>
          <w:tcPr>
            <w:tcW w:w="7980" w:type="dxa"/>
            <w:vAlign w:val="bottom"/>
          </w:tcPr>
          <w:p>
            <w:pPr>
              <w:ind w:left="120"/>
              <w:spacing w:after="0"/>
              <w:rPr>
                <w:sz w:val="20"/>
                <w:szCs w:val="20"/>
                <w:color w:val="auto"/>
              </w:rPr>
            </w:pPr>
            <w:r>
              <w:rPr>
                <w:rFonts w:ascii="Calibri" w:cs="Calibri" w:eastAsia="Calibri" w:hAnsi="Calibri"/>
                <w:sz w:val="20"/>
                <w:szCs w:val="20"/>
                <w:b w:val="1"/>
                <w:bCs w:val="1"/>
                <w:color w:val="auto"/>
              </w:rPr>
              <w:t>Discontinued Operations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On December 2, 2024, the Company and Intas entered into the UDENYCA Purchase Agreement. On April 11, 2025, the Company completed the divestiture of the UDENYCA Business to Intas for upfront, all-cash consideration of $483.4 million, inclusive of $118.4 million for UDENYCA product inventory. The Company recognized a net gain on the UDENYCA Sale of $338.3 million, which included the cash receipts less net assets transferred to Accord or otherwise derecognized and transaction expenses of $10.7 million. The Company is eligible to receive two additional Earnout Payments of $37.5 million each. The first such payment is payable by Intas to the Company if Net Sales of UDENYCA for four consecutive fiscal quarters from July 1, 2025 through September 30, 2026 are equal to or greater than $300 million, and the second such payment is payable by Intas to the Company if Net Sales of UDENYCA for four consecutive fiscal quarters from July 1, 2025 through March 31, 2027 are equal to or greater than $350 million.</w:t>
      </w:r>
    </w:p>
    <w:p>
      <w:pPr>
        <w:spacing w:after="0" w:line="216"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On June 26, 2024, the Company completed the sale of its YUSIMRY immunology franchise, which comprised certain assets, including certain YUSIMRY intellectual property, contracts, YUSIMRY inventory, and all activities related to research and development of YUSIMRY, for upfront cash consideration of $40.0 million and the assumption of certain liabilities, including $17.0 million of inventory purchase commitments, resulting in a net gain of $22.8 million.</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96</w:t>
      </w:r>
    </w:p>
    <w:p>
      <w:pPr>
        <w:sectPr>
          <w:pgSz w:w="12240" w:h="15840" w:orient="portrait"/>
          <w:cols w:equalWidth="0" w:num="1">
            <w:col w:w="11160"/>
          </w:cols>
          <w:pgMar w:left="540" w:top="532" w:right="540" w:bottom="9" w:gutter="0" w:footer="0" w:header="0"/>
          <w:type w:val="continuous"/>
        </w:sectPr>
      </w:pPr>
    </w:p>
    <w:bookmarkStart w:id="98" w:name="page99"/>
    <w:bookmarkEnd w:id="98"/>
    <w:p>
      <w:pPr>
        <w:jc w:val="both"/>
        <w:ind w:firstLine="720"/>
        <w:spacing w:after="0" w:line="247" w:lineRule="auto"/>
        <w:rPr>
          <w:sz w:val="20"/>
          <w:szCs w:val="20"/>
          <w:color w:val="auto"/>
        </w:rPr>
      </w:pPr>
      <w:r>
        <w:rPr>
          <w:rFonts w:ascii="Calibri" w:cs="Calibri" w:eastAsia="Calibri" w:hAnsi="Calibri"/>
          <w:sz w:val="20"/>
          <w:szCs w:val="20"/>
          <w:color w:val="auto"/>
        </w:rPr>
        <w:t>On March 1, 2024, the Company completed the sale of its CIMERLI ophthalmology franchise through the sale of its subsidiary, Coherus Ophthalmology LLC, to Sandoz for upfront, all-cash consideration of $187.8 million, inclusive of $17.8 million for CIMERLI product inventory and prepaid manufacturing assets (the “CIMERLI Sale” and, together with the UDENYCA Sale and the YUSIMRY Sale, the “Sale Transactions”). As a result, the Company recognized a net gain of $153.8 million on the CIMERLI Sale in 2024.</w:t>
      </w:r>
    </w:p>
    <w:p>
      <w:pPr>
        <w:spacing w:after="0" w:line="212"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The UDENYCA Sale represented the last and most significant divestiture of the Company’s biosimilar businesses, which comprised the UDENYCA, YUSIMRY and CIMERLI franchises; therefore, the strategic shift criteria had been met and discontinued operations presentation has been included in the consolidated financial statements for all periods presented.</w:t>
      </w:r>
    </w:p>
    <w:p>
      <w:pPr>
        <w:spacing w:after="0" w:line="206"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The Company used a portion of the proceeds of the UDENYCA Sale to repay substantially all of the outstanding 2026 Convertible Notes and to buy out the right to receive royalties on net sales of UDENYCA in accordance with the Revenue Purchase and Sale Agreement, and thus the related interest expense and loss on debt extinguishment have been presented within discontinued operations. Interest expense related to the $175.0 million portion of the $250.0 million aggregate principal amount senior secured term loan facility, entered into on January 5, 2022, was required to be repaid in April 2024 in connection with the CIMERLI Sale and has also been presented within discontinued operations.</w:t>
      </w:r>
    </w:p>
    <w:p>
      <w:pPr>
        <w:spacing w:after="0" w:line="217"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The following table presents a reconciliation of discontinued operations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00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8"/>
          </w:tcPr>
          <w:p>
            <w:pPr>
              <w:jc w:val="right"/>
              <w:ind w:right="762"/>
              <w:spacing w:after="0"/>
              <w:rPr>
                <w:sz w:val="20"/>
                <w:szCs w:val="20"/>
                <w:color w:val="auto"/>
              </w:rPr>
            </w:pPr>
            <w:r>
              <w:rPr>
                <w:rFonts w:ascii="Calibri" w:cs="Calibri" w:eastAsia="Calibri" w:hAnsi="Calibri"/>
                <w:sz w:val="16"/>
                <w:szCs w:val="16"/>
                <w:b w:val="1"/>
                <w:bCs w:val="1"/>
                <w:color w:val="auto"/>
              </w:rPr>
              <w:t>Year Ended December 31,</w:t>
            </w:r>
          </w:p>
        </w:tc>
        <w:tc>
          <w:tcPr>
            <w:tcW w:w="0" w:type="dxa"/>
            <w:vAlign w:val="bottom"/>
          </w:tcPr>
          <w:p>
            <w:pPr>
              <w:spacing w:after="0"/>
              <w:rPr>
                <w:sz w:val="1"/>
                <w:szCs w:val="1"/>
                <w:color w:val="auto"/>
              </w:rPr>
            </w:pPr>
          </w:p>
        </w:tc>
      </w:tr>
      <w:tr>
        <w:trPr>
          <w:trHeight w:val="185"/>
        </w:trPr>
        <w:tc>
          <w:tcPr>
            <w:tcW w:w="7000" w:type="dxa"/>
            <w:vAlign w:val="bottom"/>
            <w:tcBorders>
              <w:bottom w:val="single" w:sz="8" w:color="E5E5E5"/>
            </w:tcBorders>
            <w:vMerge w:val="continue"/>
          </w:tcPr>
          <w:p>
            <w:pPr>
              <w:spacing w:after="0"/>
              <w:rPr>
                <w:sz w:val="16"/>
                <w:szCs w:val="16"/>
                <w:color w:val="auto"/>
              </w:rPr>
            </w:pPr>
          </w:p>
        </w:tc>
        <w:tc>
          <w:tcPr>
            <w:tcW w:w="380" w:type="dxa"/>
            <w:vAlign w:val="bottom"/>
            <w:tcBorders>
              <w:bottom w:val="single" w:sz="8" w:color="E5E5E5"/>
            </w:tcBorders>
          </w:tcPr>
          <w:p>
            <w:pPr>
              <w:spacing w:after="0"/>
              <w:rPr>
                <w:sz w:val="16"/>
                <w:szCs w:val="16"/>
                <w:color w:val="auto"/>
              </w:rPr>
            </w:pPr>
          </w:p>
        </w:tc>
        <w:tc>
          <w:tcPr>
            <w:tcW w:w="38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4"/>
              <w:spacing w:after="0" w:line="185" w:lineRule="exact"/>
              <w:rPr>
                <w:sz w:val="20"/>
                <w:szCs w:val="20"/>
                <w:color w:val="auto"/>
              </w:rPr>
            </w:pPr>
            <w:r>
              <w:rPr>
                <w:rFonts w:ascii="Calibri" w:cs="Calibri" w:eastAsia="Calibri" w:hAnsi="Calibri"/>
                <w:sz w:val="16"/>
                <w:szCs w:val="16"/>
                <w:b w:val="1"/>
                <w:bCs w:val="1"/>
                <w:color w:val="auto"/>
              </w:rPr>
              <w:t>2025</w:t>
            </w: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6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2"/>
              <w:spacing w:after="0" w:line="185" w:lineRule="exact"/>
              <w:rPr>
                <w:sz w:val="20"/>
                <w:szCs w:val="20"/>
                <w:color w:val="auto"/>
              </w:rPr>
            </w:pPr>
            <w:r>
              <w:rPr>
                <w:rFonts w:ascii="Calibri" w:cs="Calibri" w:eastAsia="Calibri" w:hAnsi="Calibri"/>
                <w:sz w:val="16"/>
                <w:szCs w:val="16"/>
                <w:b w:val="1"/>
                <w:bCs w:val="1"/>
                <w:color w:val="auto"/>
              </w:rPr>
              <w:t>2024</w:t>
            </w:r>
          </w:p>
        </w:tc>
        <w:tc>
          <w:tcPr>
            <w:tcW w:w="0" w:type="dxa"/>
            <w:vAlign w:val="bottom"/>
          </w:tcPr>
          <w:p>
            <w:pPr>
              <w:spacing w:after="0"/>
              <w:rPr>
                <w:sz w:val="1"/>
                <w:szCs w:val="1"/>
                <w:color w:val="auto"/>
              </w:rPr>
            </w:pPr>
          </w:p>
        </w:tc>
      </w:tr>
      <w:tr>
        <w:trPr>
          <w:trHeight w:val="233"/>
        </w:trPr>
        <w:tc>
          <w:tcPr>
            <w:tcW w:w="7000" w:type="dxa"/>
            <w:vAlign w:val="bottom"/>
            <w:shd w:val="clear" w:color="auto" w:fill="E5E5E5"/>
          </w:tcPr>
          <w:p>
            <w:pPr>
              <w:spacing w:after="0" w:line="233" w:lineRule="exact"/>
              <w:rPr>
                <w:sz w:val="20"/>
                <w:szCs w:val="20"/>
                <w:color w:val="auto"/>
              </w:rPr>
            </w:pPr>
            <w:r>
              <w:rPr>
                <w:rFonts w:ascii="Calibri" w:cs="Calibri" w:eastAsia="Calibri" w:hAnsi="Calibri"/>
                <w:sz w:val="20"/>
                <w:szCs w:val="20"/>
                <w:color w:val="auto"/>
              </w:rPr>
              <w:t>Net revenue</w:t>
            </w:r>
          </w:p>
        </w:tc>
        <w:tc>
          <w:tcPr>
            <w:tcW w:w="38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20" w:type="dxa"/>
            <w:vAlign w:val="bottom"/>
            <w:shd w:val="clear" w:color="auto" w:fill="E5E5E5"/>
          </w:tcPr>
          <w:p>
            <w:pPr>
              <w:jc w:val="right"/>
              <w:ind w:right="60"/>
              <w:spacing w:after="0"/>
              <w:rPr>
                <w:sz w:val="20"/>
                <w:szCs w:val="20"/>
                <w:color w:val="auto"/>
              </w:rPr>
            </w:pPr>
            <w:r>
              <w:rPr>
                <w:rFonts w:ascii="Calibri" w:cs="Calibri" w:eastAsia="Calibri" w:hAnsi="Calibri"/>
                <w:sz w:val="16"/>
                <w:szCs w:val="16"/>
                <w:color w:val="auto"/>
                <w:w w:val="73"/>
              </w:rPr>
              <w:t>$</w:t>
            </w:r>
          </w:p>
        </w:tc>
        <w:tc>
          <w:tcPr>
            <w:tcW w:w="1300" w:type="dxa"/>
            <w:vAlign w:val="bottom"/>
            <w:gridSpan w:val="2"/>
            <w:shd w:val="clear" w:color="auto" w:fill="E5E5E5"/>
          </w:tcPr>
          <w:p>
            <w:pPr>
              <w:jc w:val="right"/>
              <w:ind w:right="60"/>
              <w:spacing w:after="0" w:line="233" w:lineRule="exact"/>
              <w:rPr>
                <w:sz w:val="20"/>
                <w:szCs w:val="20"/>
                <w:color w:val="auto"/>
              </w:rPr>
            </w:pPr>
            <w:r>
              <w:rPr>
                <w:rFonts w:ascii="Calibri" w:cs="Calibri" w:eastAsia="Calibri" w:hAnsi="Calibri"/>
                <w:sz w:val="20"/>
                <w:szCs w:val="20"/>
                <w:color w:val="auto"/>
              </w:rPr>
              <w:t>76,613</w:t>
            </w:r>
          </w:p>
        </w:tc>
        <w:tc>
          <w:tcPr>
            <w:tcW w:w="1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660" w:type="dxa"/>
            <w:vAlign w:val="bottom"/>
            <w:gridSpan w:val="3"/>
            <w:shd w:val="clear" w:color="auto" w:fill="E5E5E5"/>
          </w:tcPr>
          <w:p>
            <w:pPr>
              <w:jc w:val="right"/>
              <w:ind w:right="280"/>
              <w:spacing w:after="0" w:line="233" w:lineRule="exact"/>
              <w:rPr>
                <w:sz w:val="20"/>
                <w:szCs w:val="20"/>
                <w:color w:val="auto"/>
              </w:rPr>
            </w:pPr>
            <w:r>
              <w:rPr>
                <w:rFonts w:ascii="Calibri" w:cs="Calibri" w:eastAsia="Calibri" w:hAnsi="Calibri"/>
                <w:sz w:val="20"/>
                <w:szCs w:val="20"/>
                <w:color w:val="auto"/>
              </w:rPr>
              <w:t>$</w:t>
            </w:r>
          </w:p>
        </w:tc>
        <w:tc>
          <w:tcPr>
            <w:tcW w:w="104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240,571</w:t>
            </w:r>
          </w:p>
        </w:tc>
        <w:tc>
          <w:tcPr>
            <w:tcW w:w="0" w:type="dxa"/>
            <w:vAlign w:val="bottom"/>
          </w:tcPr>
          <w:p>
            <w:pPr>
              <w:spacing w:after="0"/>
              <w:rPr>
                <w:sz w:val="1"/>
                <w:szCs w:val="1"/>
                <w:color w:val="auto"/>
              </w:rPr>
            </w:pPr>
          </w:p>
        </w:tc>
      </w:tr>
      <w:tr>
        <w:trPr>
          <w:trHeight w:val="245"/>
        </w:trPr>
        <w:tc>
          <w:tcPr>
            <w:tcW w:w="7000" w:type="dxa"/>
            <w:vAlign w:val="bottom"/>
          </w:tcPr>
          <w:p>
            <w:pPr>
              <w:spacing w:after="0"/>
              <w:rPr>
                <w:sz w:val="20"/>
                <w:szCs w:val="20"/>
                <w:color w:val="auto"/>
              </w:rPr>
            </w:pPr>
            <w:r>
              <w:rPr>
                <w:rFonts w:ascii="Calibri" w:cs="Calibri" w:eastAsia="Calibri" w:hAnsi="Calibri"/>
                <w:sz w:val="20"/>
                <w:szCs w:val="20"/>
                <w:color w:val="auto"/>
              </w:rPr>
              <w:t>Costs and expenses:</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00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Cost of goods sold</w:t>
            </w:r>
          </w:p>
        </w:tc>
        <w:tc>
          <w:tcPr>
            <w:tcW w:w="380" w:type="dxa"/>
            <w:vAlign w:val="bottom"/>
            <w:shd w:val="clear" w:color="auto" w:fill="E5E5E5"/>
          </w:tcPr>
          <w:p>
            <w:pPr>
              <w:spacing w:after="0"/>
              <w:rPr>
                <w:sz w:val="21"/>
                <w:szCs w:val="21"/>
                <w:color w:val="auto"/>
              </w:rPr>
            </w:pPr>
          </w:p>
        </w:tc>
        <w:tc>
          <w:tcPr>
            <w:tcW w:w="38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1300" w:type="dxa"/>
            <w:vAlign w:val="bottom"/>
            <w:gridSpan w:val="2"/>
            <w:shd w:val="clear" w:color="auto" w:fill="E5E5E5"/>
          </w:tcPr>
          <w:p>
            <w:pPr>
              <w:jc w:val="right"/>
              <w:ind w:right="60"/>
              <w:spacing w:after="0"/>
              <w:rPr>
                <w:sz w:val="20"/>
                <w:szCs w:val="20"/>
                <w:color w:val="auto"/>
              </w:rPr>
            </w:pPr>
            <w:r>
              <w:rPr>
                <w:rFonts w:ascii="Calibri" w:cs="Calibri" w:eastAsia="Calibri" w:hAnsi="Calibri"/>
                <w:sz w:val="20"/>
                <w:szCs w:val="20"/>
                <w:color w:val="auto"/>
              </w:rPr>
              <w:t>26,755</w:t>
            </w:r>
          </w:p>
        </w:tc>
        <w:tc>
          <w:tcPr>
            <w:tcW w:w="1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480" w:type="dxa"/>
            <w:vAlign w:val="bottom"/>
            <w:shd w:val="clear" w:color="auto" w:fill="E5E5E5"/>
          </w:tcPr>
          <w:p>
            <w:pPr>
              <w:spacing w:after="0"/>
              <w:rPr>
                <w:sz w:val="21"/>
                <w:szCs w:val="21"/>
                <w:color w:val="auto"/>
              </w:rPr>
            </w:pPr>
          </w:p>
        </w:tc>
        <w:tc>
          <w:tcPr>
            <w:tcW w:w="10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108,826</w:t>
            </w:r>
          </w:p>
        </w:tc>
        <w:tc>
          <w:tcPr>
            <w:tcW w:w="0" w:type="dxa"/>
            <w:vAlign w:val="bottom"/>
          </w:tcPr>
          <w:p>
            <w:pPr>
              <w:spacing w:after="0"/>
              <w:rPr>
                <w:sz w:val="1"/>
                <w:szCs w:val="1"/>
                <w:color w:val="auto"/>
              </w:rPr>
            </w:pPr>
          </w:p>
        </w:tc>
      </w:tr>
      <w:tr>
        <w:trPr>
          <w:trHeight w:val="245"/>
        </w:trPr>
        <w:tc>
          <w:tcPr>
            <w:tcW w:w="7000" w:type="dxa"/>
            <w:vAlign w:val="bottom"/>
          </w:tcPr>
          <w:p>
            <w:pPr>
              <w:ind w:left="120"/>
              <w:spacing w:after="0"/>
              <w:rPr>
                <w:sz w:val="20"/>
                <w:szCs w:val="20"/>
                <w:color w:val="auto"/>
              </w:rPr>
            </w:pPr>
            <w:r>
              <w:rPr>
                <w:rFonts w:ascii="Calibri" w:cs="Calibri" w:eastAsia="Calibri" w:hAnsi="Calibri"/>
                <w:sz w:val="20"/>
                <w:szCs w:val="20"/>
                <w:color w:val="auto"/>
              </w:rPr>
              <w:t>Research and development</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Calibri" w:cs="Calibri" w:eastAsia="Calibri" w:hAnsi="Calibri"/>
                <w:sz w:val="20"/>
                <w:szCs w:val="20"/>
                <w:color w:val="auto"/>
              </w:rPr>
              <w:t>521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1,503</w:t>
            </w:r>
          </w:p>
        </w:tc>
        <w:tc>
          <w:tcPr>
            <w:tcW w:w="0" w:type="dxa"/>
            <w:vAlign w:val="bottom"/>
          </w:tcPr>
          <w:p>
            <w:pPr>
              <w:spacing w:after="0"/>
              <w:rPr>
                <w:sz w:val="1"/>
                <w:szCs w:val="1"/>
                <w:color w:val="auto"/>
              </w:rPr>
            </w:pPr>
          </w:p>
        </w:tc>
      </w:tr>
      <w:tr>
        <w:trPr>
          <w:trHeight w:val="244"/>
        </w:trPr>
        <w:tc>
          <w:tcPr>
            <w:tcW w:w="700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Selling, general and administrative</w:t>
            </w:r>
          </w:p>
        </w:tc>
        <w:tc>
          <w:tcPr>
            <w:tcW w:w="380" w:type="dxa"/>
            <w:vAlign w:val="bottom"/>
            <w:shd w:val="clear" w:color="auto" w:fill="E5E5E5"/>
          </w:tcPr>
          <w:p>
            <w:pPr>
              <w:spacing w:after="0"/>
              <w:rPr>
                <w:sz w:val="21"/>
                <w:szCs w:val="21"/>
                <w:color w:val="auto"/>
              </w:rPr>
            </w:pPr>
          </w:p>
        </w:tc>
        <w:tc>
          <w:tcPr>
            <w:tcW w:w="38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1300" w:type="dxa"/>
            <w:vAlign w:val="bottom"/>
            <w:tcBorders>
              <w:bottom w:val="single" w:sz="8" w:color="auto"/>
            </w:tcBorders>
            <w:gridSpan w:val="2"/>
            <w:shd w:val="clear" w:color="auto" w:fill="E5E5E5"/>
          </w:tcPr>
          <w:p>
            <w:pPr>
              <w:jc w:val="right"/>
              <w:ind w:right="60"/>
              <w:spacing w:after="0"/>
              <w:rPr>
                <w:sz w:val="20"/>
                <w:szCs w:val="20"/>
                <w:color w:val="auto"/>
              </w:rPr>
            </w:pPr>
            <w:r>
              <w:rPr>
                <w:rFonts w:ascii="Calibri" w:cs="Calibri" w:eastAsia="Calibri" w:hAnsi="Calibri"/>
                <w:sz w:val="20"/>
                <w:szCs w:val="20"/>
                <w:color w:val="auto"/>
              </w:rPr>
              <w:t>11,096</w:t>
            </w:r>
          </w:p>
        </w:tc>
        <w:tc>
          <w:tcPr>
            <w:tcW w:w="1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480" w:type="dxa"/>
            <w:vAlign w:val="bottom"/>
            <w:tcBorders>
              <w:bottom w:val="single" w:sz="8" w:color="auto"/>
            </w:tcBorders>
            <w:shd w:val="clear" w:color="auto" w:fill="E5E5E5"/>
          </w:tcPr>
          <w:p>
            <w:pPr>
              <w:spacing w:after="0"/>
              <w:rPr>
                <w:sz w:val="21"/>
                <w:szCs w:val="21"/>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42,256</w:t>
            </w:r>
          </w:p>
        </w:tc>
        <w:tc>
          <w:tcPr>
            <w:tcW w:w="0" w:type="dxa"/>
            <w:vAlign w:val="bottom"/>
          </w:tcPr>
          <w:p>
            <w:pPr>
              <w:spacing w:after="0"/>
              <w:rPr>
                <w:sz w:val="1"/>
                <w:szCs w:val="1"/>
                <w:color w:val="auto"/>
              </w:rPr>
            </w:pPr>
          </w:p>
        </w:tc>
      </w:tr>
      <w:tr>
        <w:trPr>
          <w:trHeight w:val="234"/>
        </w:trPr>
        <w:tc>
          <w:tcPr>
            <w:tcW w:w="7000" w:type="dxa"/>
            <w:vAlign w:val="bottom"/>
            <w:tcBorders>
              <w:bottom w:val="single" w:sz="8" w:color="E5E5E5"/>
            </w:tcBorders>
          </w:tcPr>
          <w:p>
            <w:pPr>
              <w:ind w:left="320"/>
              <w:spacing w:after="0" w:line="234" w:lineRule="exact"/>
              <w:rPr>
                <w:sz w:val="20"/>
                <w:szCs w:val="20"/>
                <w:color w:val="auto"/>
              </w:rPr>
            </w:pPr>
            <w:r>
              <w:rPr>
                <w:rFonts w:ascii="Calibri" w:cs="Calibri" w:eastAsia="Calibri" w:hAnsi="Calibri"/>
                <w:sz w:val="20"/>
                <w:szCs w:val="20"/>
                <w:color w:val="auto"/>
              </w:rPr>
              <w:t>Total costs and expenses</w:t>
            </w:r>
          </w:p>
        </w:tc>
        <w:tc>
          <w:tcPr>
            <w:tcW w:w="380" w:type="dxa"/>
            <w:vAlign w:val="bottom"/>
            <w:tcBorders>
              <w:bottom w:val="single" w:sz="8" w:color="E5E5E5"/>
            </w:tcBorders>
          </w:tcPr>
          <w:p>
            <w:pPr>
              <w:spacing w:after="0"/>
              <w:rPr>
                <w:sz w:val="20"/>
                <w:szCs w:val="20"/>
                <w:color w:val="auto"/>
              </w:rPr>
            </w:pPr>
          </w:p>
        </w:tc>
        <w:tc>
          <w:tcPr>
            <w:tcW w:w="38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60"/>
              <w:spacing w:after="0" w:line="234" w:lineRule="exact"/>
              <w:rPr>
                <w:sz w:val="20"/>
                <w:szCs w:val="20"/>
                <w:color w:val="auto"/>
              </w:rPr>
            </w:pPr>
            <w:r>
              <w:rPr>
                <w:rFonts w:ascii="Calibri" w:cs="Calibri" w:eastAsia="Calibri" w:hAnsi="Calibri"/>
                <w:sz w:val="20"/>
                <w:szCs w:val="20"/>
                <w:color w:val="auto"/>
              </w:rPr>
              <w:t>38,372</w:t>
            </w:r>
          </w:p>
        </w:tc>
        <w:tc>
          <w:tcPr>
            <w:tcW w:w="14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16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152,585</w:t>
            </w:r>
          </w:p>
        </w:tc>
        <w:tc>
          <w:tcPr>
            <w:tcW w:w="0" w:type="dxa"/>
            <w:vAlign w:val="bottom"/>
          </w:tcPr>
          <w:p>
            <w:pPr>
              <w:spacing w:after="0"/>
              <w:rPr>
                <w:sz w:val="1"/>
                <w:szCs w:val="1"/>
                <w:color w:val="auto"/>
              </w:rPr>
            </w:pPr>
          </w:p>
        </w:tc>
      </w:tr>
      <w:tr>
        <w:trPr>
          <w:trHeight w:val="234"/>
        </w:trPr>
        <w:tc>
          <w:tcPr>
            <w:tcW w:w="700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Income from operations</w:t>
            </w:r>
          </w:p>
        </w:tc>
        <w:tc>
          <w:tcPr>
            <w:tcW w:w="380" w:type="dxa"/>
            <w:vAlign w:val="bottom"/>
            <w:shd w:val="clear" w:color="auto" w:fill="E5E5E5"/>
          </w:tcPr>
          <w:p>
            <w:pPr>
              <w:spacing w:after="0"/>
              <w:rPr>
                <w:sz w:val="20"/>
                <w:szCs w:val="20"/>
                <w:color w:val="auto"/>
              </w:rPr>
            </w:pPr>
          </w:p>
        </w:tc>
        <w:tc>
          <w:tcPr>
            <w:tcW w:w="3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1300" w:type="dxa"/>
            <w:vAlign w:val="bottom"/>
            <w:gridSpan w:val="2"/>
            <w:shd w:val="clear" w:color="auto" w:fill="E5E5E5"/>
          </w:tcPr>
          <w:p>
            <w:pPr>
              <w:jc w:val="right"/>
              <w:ind w:right="60"/>
              <w:spacing w:after="0" w:line="234" w:lineRule="exact"/>
              <w:rPr>
                <w:sz w:val="20"/>
                <w:szCs w:val="20"/>
                <w:color w:val="auto"/>
              </w:rPr>
            </w:pPr>
            <w:r>
              <w:rPr>
                <w:rFonts w:ascii="Calibri" w:cs="Calibri" w:eastAsia="Calibri" w:hAnsi="Calibri"/>
                <w:sz w:val="20"/>
                <w:szCs w:val="20"/>
                <w:color w:val="auto"/>
              </w:rPr>
              <w:t>38,241</w:t>
            </w:r>
          </w:p>
        </w:tc>
        <w:tc>
          <w:tcPr>
            <w:tcW w:w="14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480" w:type="dxa"/>
            <w:vAlign w:val="bottom"/>
            <w:shd w:val="clear" w:color="auto" w:fill="E5E5E5"/>
          </w:tcPr>
          <w:p>
            <w:pPr>
              <w:spacing w:after="0"/>
              <w:rPr>
                <w:sz w:val="20"/>
                <w:szCs w:val="20"/>
                <w:color w:val="auto"/>
              </w:rPr>
            </w:pPr>
          </w:p>
        </w:tc>
        <w:tc>
          <w:tcPr>
            <w:tcW w:w="104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87,986</w:t>
            </w:r>
          </w:p>
        </w:tc>
        <w:tc>
          <w:tcPr>
            <w:tcW w:w="0" w:type="dxa"/>
            <w:vAlign w:val="bottom"/>
          </w:tcPr>
          <w:p>
            <w:pPr>
              <w:spacing w:after="0"/>
              <w:rPr>
                <w:sz w:val="1"/>
                <w:szCs w:val="1"/>
                <w:color w:val="auto"/>
              </w:rPr>
            </w:pPr>
          </w:p>
        </w:tc>
      </w:tr>
      <w:tr>
        <w:trPr>
          <w:trHeight w:val="244"/>
        </w:trPr>
        <w:tc>
          <w:tcPr>
            <w:tcW w:w="7000" w:type="dxa"/>
            <w:vAlign w:val="bottom"/>
          </w:tcPr>
          <w:p>
            <w:pPr>
              <w:spacing w:after="0"/>
              <w:rPr>
                <w:sz w:val="20"/>
                <w:szCs w:val="20"/>
                <w:color w:val="auto"/>
              </w:rPr>
            </w:pPr>
            <w:r>
              <w:rPr>
                <w:rFonts w:ascii="Calibri" w:cs="Calibri" w:eastAsia="Calibri" w:hAnsi="Calibri"/>
                <w:sz w:val="20"/>
                <w:szCs w:val="20"/>
                <w:color w:val="auto"/>
              </w:rPr>
              <w:t>Interest expense</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3"/>
          </w:tcPr>
          <w:p>
            <w:pPr>
              <w:jc w:val="right"/>
              <w:ind w:right="140"/>
              <w:spacing w:after="0"/>
              <w:rPr>
                <w:sz w:val="20"/>
                <w:szCs w:val="20"/>
                <w:color w:val="auto"/>
              </w:rPr>
            </w:pPr>
            <w:r>
              <w:rPr>
                <w:rFonts w:ascii="Calibri" w:cs="Calibri" w:eastAsia="Calibri" w:hAnsi="Calibri"/>
                <w:sz w:val="20"/>
                <w:szCs w:val="20"/>
                <w:color w:val="auto"/>
              </w:rPr>
              <w:t>(3,484)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(16,424)</w:t>
            </w:r>
          </w:p>
        </w:tc>
        <w:tc>
          <w:tcPr>
            <w:tcW w:w="0" w:type="dxa"/>
            <w:vAlign w:val="bottom"/>
          </w:tcPr>
          <w:p>
            <w:pPr>
              <w:spacing w:after="0"/>
              <w:rPr>
                <w:sz w:val="1"/>
                <w:szCs w:val="1"/>
                <w:color w:val="auto"/>
              </w:rPr>
            </w:pPr>
          </w:p>
        </w:tc>
      </w:tr>
      <w:tr>
        <w:trPr>
          <w:trHeight w:val="245"/>
        </w:trPr>
        <w:tc>
          <w:tcPr>
            <w:tcW w:w="7000" w:type="dxa"/>
            <w:vAlign w:val="bottom"/>
            <w:shd w:val="clear" w:color="auto" w:fill="E5E5E5"/>
          </w:tcPr>
          <w:p>
            <w:pPr>
              <w:spacing w:after="0"/>
              <w:rPr>
                <w:sz w:val="20"/>
                <w:szCs w:val="20"/>
                <w:color w:val="auto"/>
              </w:rPr>
            </w:pPr>
            <w:r>
              <w:rPr>
                <w:rFonts w:ascii="Calibri" w:cs="Calibri" w:eastAsia="Calibri" w:hAnsi="Calibri"/>
                <w:sz w:val="20"/>
                <w:szCs w:val="20"/>
                <w:color w:val="auto"/>
              </w:rPr>
              <w:t>Gain on Sale Transactions, net</w:t>
            </w:r>
          </w:p>
        </w:tc>
        <w:tc>
          <w:tcPr>
            <w:tcW w:w="380" w:type="dxa"/>
            <w:vAlign w:val="bottom"/>
            <w:shd w:val="clear" w:color="auto" w:fill="E5E5E5"/>
          </w:tcPr>
          <w:p>
            <w:pPr>
              <w:spacing w:after="0"/>
              <w:rPr>
                <w:sz w:val="21"/>
                <w:szCs w:val="21"/>
                <w:color w:val="auto"/>
              </w:rPr>
            </w:pPr>
          </w:p>
        </w:tc>
        <w:tc>
          <w:tcPr>
            <w:tcW w:w="38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1300" w:type="dxa"/>
            <w:vAlign w:val="bottom"/>
            <w:gridSpan w:val="2"/>
            <w:shd w:val="clear" w:color="auto" w:fill="E5E5E5"/>
          </w:tcPr>
          <w:p>
            <w:pPr>
              <w:jc w:val="right"/>
              <w:ind w:right="60"/>
              <w:spacing w:after="0"/>
              <w:rPr>
                <w:sz w:val="20"/>
                <w:szCs w:val="20"/>
                <w:color w:val="auto"/>
              </w:rPr>
            </w:pPr>
            <w:r>
              <w:rPr>
                <w:rFonts w:ascii="Calibri" w:cs="Calibri" w:eastAsia="Calibri" w:hAnsi="Calibri"/>
                <w:sz w:val="20"/>
                <w:szCs w:val="20"/>
                <w:color w:val="auto"/>
              </w:rPr>
              <w:t>338,315</w:t>
            </w:r>
          </w:p>
        </w:tc>
        <w:tc>
          <w:tcPr>
            <w:tcW w:w="1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480" w:type="dxa"/>
            <w:vAlign w:val="bottom"/>
            <w:shd w:val="clear" w:color="auto" w:fill="E5E5E5"/>
          </w:tcPr>
          <w:p>
            <w:pPr>
              <w:spacing w:after="0"/>
              <w:rPr>
                <w:sz w:val="21"/>
                <w:szCs w:val="21"/>
                <w:color w:val="auto"/>
              </w:rPr>
            </w:pPr>
          </w:p>
        </w:tc>
        <w:tc>
          <w:tcPr>
            <w:tcW w:w="10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176,589</w:t>
            </w:r>
          </w:p>
        </w:tc>
        <w:tc>
          <w:tcPr>
            <w:tcW w:w="0" w:type="dxa"/>
            <w:vAlign w:val="bottom"/>
          </w:tcPr>
          <w:p>
            <w:pPr>
              <w:spacing w:after="0"/>
              <w:rPr>
                <w:sz w:val="1"/>
                <w:szCs w:val="1"/>
                <w:color w:val="auto"/>
              </w:rPr>
            </w:pPr>
          </w:p>
        </w:tc>
      </w:tr>
      <w:tr>
        <w:trPr>
          <w:trHeight w:val="244"/>
        </w:trPr>
        <w:tc>
          <w:tcPr>
            <w:tcW w:w="7000" w:type="dxa"/>
            <w:vAlign w:val="bottom"/>
          </w:tcPr>
          <w:p>
            <w:pPr>
              <w:spacing w:after="0"/>
              <w:rPr>
                <w:sz w:val="20"/>
                <w:szCs w:val="20"/>
                <w:color w:val="auto"/>
              </w:rPr>
            </w:pPr>
            <w:r>
              <w:rPr>
                <w:rFonts w:ascii="Calibri" w:cs="Calibri" w:eastAsia="Calibri" w:hAnsi="Calibri"/>
                <w:sz w:val="20"/>
                <w:szCs w:val="20"/>
                <w:color w:val="auto"/>
              </w:rPr>
              <w:t>Loss on debt extinguishment</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3"/>
          </w:tcPr>
          <w:p>
            <w:pPr>
              <w:jc w:val="right"/>
              <w:ind w:right="140"/>
              <w:spacing w:after="0"/>
              <w:rPr>
                <w:sz w:val="20"/>
                <w:szCs w:val="20"/>
                <w:color w:val="auto"/>
              </w:rPr>
            </w:pPr>
            <w:r>
              <w:rPr>
                <w:rFonts w:ascii="Calibri" w:cs="Calibri" w:eastAsia="Calibri" w:hAnsi="Calibri"/>
                <w:sz w:val="20"/>
                <w:szCs w:val="20"/>
                <w:color w:val="auto"/>
              </w:rPr>
              <w:t>(10,286)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65"/>
        </w:trPr>
        <w:tc>
          <w:tcPr>
            <w:tcW w:w="7000" w:type="dxa"/>
            <w:vAlign w:val="bottom"/>
            <w:shd w:val="clear" w:color="auto" w:fill="E5E5E5"/>
          </w:tcPr>
          <w:p>
            <w:pPr>
              <w:spacing w:after="0"/>
              <w:rPr>
                <w:sz w:val="20"/>
                <w:szCs w:val="20"/>
                <w:color w:val="auto"/>
              </w:rPr>
            </w:pPr>
            <w:r>
              <w:rPr>
                <w:rFonts w:ascii="Calibri" w:cs="Calibri" w:eastAsia="Calibri" w:hAnsi="Calibri"/>
                <w:sz w:val="20"/>
                <w:szCs w:val="20"/>
                <w:color w:val="auto"/>
              </w:rPr>
              <w:t>Other income (expense), net</w:t>
            </w:r>
          </w:p>
        </w:tc>
        <w:tc>
          <w:tcPr>
            <w:tcW w:w="380" w:type="dxa"/>
            <w:vAlign w:val="bottom"/>
            <w:shd w:val="clear" w:color="auto" w:fill="E5E5E5"/>
          </w:tcPr>
          <w:p>
            <w:pPr>
              <w:spacing w:after="0"/>
              <w:rPr>
                <w:sz w:val="23"/>
                <w:szCs w:val="23"/>
                <w:color w:val="auto"/>
              </w:rPr>
            </w:pPr>
          </w:p>
        </w:tc>
        <w:tc>
          <w:tcPr>
            <w:tcW w:w="380" w:type="dxa"/>
            <w:vAlign w:val="bottom"/>
            <w:shd w:val="clear" w:color="auto" w:fill="E5E5E5"/>
          </w:tcPr>
          <w:p>
            <w:pPr>
              <w:spacing w:after="0"/>
              <w:rPr>
                <w:sz w:val="23"/>
                <w:szCs w:val="23"/>
                <w:color w:val="auto"/>
              </w:rPr>
            </w:pPr>
          </w:p>
        </w:tc>
        <w:tc>
          <w:tcPr>
            <w:tcW w:w="20" w:type="dxa"/>
            <w:vAlign w:val="bottom"/>
            <w:shd w:val="clear" w:color="auto" w:fill="E5E5E5"/>
          </w:tcPr>
          <w:p>
            <w:pPr>
              <w:spacing w:after="0"/>
              <w:rPr>
                <w:sz w:val="23"/>
                <w:szCs w:val="23"/>
                <w:color w:val="auto"/>
              </w:rPr>
            </w:pPr>
          </w:p>
        </w:tc>
        <w:tc>
          <w:tcPr>
            <w:tcW w:w="220" w:type="dxa"/>
            <w:vAlign w:val="bottom"/>
            <w:shd w:val="clear" w:color="auto" w:fill="E5E5E5"/>
          </w:tcPr>
          <w:p>
            <w:pPr>
              <w:spacing w:after="0"/>
              <w:rPr>
                <w:sz w:val="23"/>
                <w:szCs w:val="23"/>
                <w:color w:val="auto"/>
              </w:rPr>
            </w:pPr>
          </w:p>
        </w:tc>
        <w:tc>
          <w:tcPr>
            <w:tcW w:w="1440" w:type="dxa"/>
            <w:vAlign w:val="bottom"/>
            <w:gridSpan w:val="3"/>
            <w:shd w:val="clear" w:color="auto" w:fill="E5E5E5"/>
          </w:tcPr>
          <w:p>
            <w:pPr>
              <w:jc w:val="right"/>
              <w:ind w:right="140"/>
              <w:spacing w:after="0"/>
              <w:rPr>
                <w:sz w:val="20"/>
                <w:szCs w:val="20"/>
                <w:color w:val="auto"/>
              </w:rPr>
            </w:pPr>
            <w:r>
              <w:rPr>
                <w:rFonts w:ascii="Calibri" w:cs="Calibri" w:eastAsia="Calibri" w:hAnsi="Calibri"/>
                <w:sz w:val="20"/>
                <w:szCs w:val="20"/>
                <w:color w:val="auto"/>
              </w:rPr>
              <w:t>(11,638)</w:t>
            </w:r>
          </w:p>
        </w:tc>
        <w:tc>
          <w:tcPr>
            <w:tcW w:w="20" w:type="dxa"/>
            <w:vAlign w:val="bottom"/>
            <w:shd w:val="clear" w:color="auto" w:fill="E5E5E5"/>
          </w:tcPr>
          <w:p>
            <w:pPr>
              <w:spacing w:after="0"/>
              <w:rPr>
                <w:sz w:val="23"/>
                <w:szCs w:val="23"/>
                <w:color w:val="auto"/>
              </w:rPr>
            </w:pPr>
          </w:p>
        </w:tc>
        <w:tc>
          <w:tcPr>
            <w:tcW w:w="160" w:type="dxa"/>
            <w:vAlign w:val="bottom"/>
            <w:shd w:val="clear" w:color="auto" w:fill="E5E5E5"/>
          </w:tcPr>
          <w:p>
            <w:pPr>
              <w:spacing w:after="0"/>
              <w:rPr>
                <w:sz w:val="23"/>
                <w:szCs w:val="23"/>
                <w:color w:val="auto"/>
              </w:rPr>
            </w:pPr>
          </w:p>
        </w:tc>
        <w:tc>
          <w:tcPr>
            <w:tcW w:w="20" w:type="dxa"/>
            <w:vAlign w:val="bottom"/>
            <w:shd w:val="clear" w:color="auto" w:fill="E5E5E5"/>
          </w:tcPr>
          <w:p>
            <w:pPr>
              <w:spacing w:after="0"/>
              <w:rPr>
                <w:sz w:val="23"/>
                <w:szCs w:val="23"/>
                <w:color w:val="auto"/>
              </w:rPr>
            </w:pPr>
          </w:p>
        </w:tc>
        <w:tc>
          <w:tcPr>
            <w:tcW w:w="480" w:type="dxa"/>
            <w:vAlign w:val="bottom"/>
            <w:shd w:val="clear" w:color="auto" w:fill="E5E5E5"/>
          </w:tcPr>
          <w:p>
            <w:pPr>
              <w:spacing w:after="0"/>
              <w:rPr>
                <w:sz w:val="23"/>
                <w:szCs w:val="23"/>
                <w:color w:val="auto"/>
              </w:rPr>
            </w:pPr>
          </w:p>
        </w:tc>
        <w:tc>
          <w:tcPr>
            <w:tcW w:w="10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(4,250)</w:t>
            </w:r>
          </w:p>
        </w:tc>
        <w:tc>
          <w:tcPr>
            <w:tcW w:w="0" w:type="dxa"/>
            <w:vAlign w:val="bottom"/>
          </w:tcPr>
          <w:p>
            <w:pPr>
              <w:spacing w:after="0"/>
              <w:rPr>
                <w:sz w:val="1"/>
                <w:szCs w:val="1"/>
                <w:color w:val="auto"/>
              </w:rPr>
            </w:pPr>
          </w:p>
        </w:tc>
      </w:tr>
      <w:tr>
        <w:trPr>
          <w:trHeight w:val="213"/>
        </w:trPr>
        <w:tc>
          <w:tcPr>
            <w:tcW w:w="7000" w:type="dxa"/>
            <w:vAlign w:val="bottom"/>
            <w:tcBorders>
              <w:top w:val="single" w:sz="8" w:color="E5E5E5"/>
            </w:tcBorders>
          </w:tcPr>
          <w:p>
            <w:pPr>
              <w:spacing w:after="0" w:line="213" w:lineRule="exact"/>
              <w:rPr>
                <w:sz w:val="20"/>
                <w:szCs w:val="20"/>
                <w:color w:val="auto"/>
              </w:rPr>
            </w:pPr>
            <w:r>
              <w:rPr>
                <w:rFonts w:ascii="Calibri" w:cs="Calibri" w:eastAsia="Calibri" w:hAnsi="Calibri"/>
                <w:sz w:val="20"/>
                <w:szCs w:val="20"/>
                <w:color w:val="auto"/>
              </w:rPr>
              <w:t>Net income from discontinued operations before income taxes</w:t>
            </w:r>
          </w:p>
        </w:tc>
        <w:tc>
          <w:tcPr>
            <w:tcW w:w="380" w:type="dxa"/>
            <w:vAlign w:val="bottom"/>
            <w:tcBorders>
              <w:top w:val="single" w:sz="8" w:color="E5E5E5"/>
            </w:tcBorders>
          </w:tcPr>
          <w:p>
            <w:pPr>
              <w:spacing w:after="0"/>
              <w:rPr>
                <w:sz w:val="18"/>
                <w:szCs w:val="18"/>
                <w:color w:val="auto"/>
              </w:rPr>
            </w:pPr>
          </w:p>
        </w:tc>
        <w:tc>
          <w:tcPr>
            <w:tcW w:w="380" w:type="dxa"/>
            <w:vAlign w:val="bottom"/>
            <w:tcBorders>
              <w:top w:val="single" w:sz="8" w:color="E5E5E5"/>
            </w:tcBorders>
          </w:tcPr>
          <w:p>
            <w:pPr>
              <w:spacing w:after="0"/>
              <w:rPr>
                <w:sz w:val="18"/>
                <w:szCs w:val="18"/>
                <w:color w:val="auto"/>
              </w:rPr>
            </w:pPr>
          </w:p>
        </w:tc>
        <w:tc>
          <w:tcPr>
            <w:tcW w:w="20" w:type="dxa"/>
            <w:vAlign w:val="bottom"/>
            <w:tcBorders>
              <w:top w:val="single" w:sz="8" w:color="E5E5E5"/>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right"/>
              <w:ind w:right="60"/>
              <w:spacing w:after="0" w:line="213" w:lineRule="exact"/>
              <w:rPr>
                <w:sz w:val="20"/>
                <w:szCs w:val="20"/>
                <w:color w:val="auto"/>
              </w:rPr>
            </w:pPr>
            <w:r>
              <w:rPr>
                <w:rFonts w:ascii="Calibri" w:cs="Calibri" w:eastAsia="Calibri" w:hAnsi="Calibri"/>
                <w:sz w:val="20"/>
                <w:szCs w:val="20"/>
                <w:color w:val="auto"/>
              </w:rPr>
              <w:t>351,148</w:t>
            </w:r>
          </w:p>
        </w:tc>
        <w:tc>
          <w:tcPr>
            <w:tcW w:w="140" w:type="dxa"/>
            <w:vAlign w:val="bottom"/>
            <w:tcBorders>
              <w:top w:val="single" w:sz="8" w:color="E5E5E5"/>
            </w:tcBorders>
          </w:tcPr>
          <w:p>
            <w:pPr>
              <w:spacing w:after="0"/>
              <w:rPr>
                <w:sz w:val="18"/>
                <w:szCs w:val="18"/>
                <w:color w:val="auto"/>
              </w:rPr>
            </w:pPr>
          </w:p>
        </w:tc>
        <w:tc>
          <w:tcPr>
            <w:tcW w:w="20" w:type="dxa"/>
            <w:vAlign w:val="bottom"/>
            <w:tcBorders>
              <w:top w:val="single" w:sz="8" w:color="E5E5E5"/>
            </w:tcBorders>
          </w:tcPr>
          <w:p>
            <w:pPr>
              <w:spacing w:after="0"/>
              <w:rPr>
                <w:sz w:val="18"/>
                <w:szCs w:val="18"/>
                <w:color w:val="auto"/>
              </w:rPr>
            </w:pPr>
          </w:p>
        </w:tc>
        <w:tc>
          <w:tcPr>
            <w:tcW w:w="160" w:type="dxa"/>
            <w:vAlign w:val="bottom"/>
            <w:tcBorders>
              <w:top w:val="single" w:sz="8" w:color="E5E5E5"/>
            </w:tcBorders>
          </w:tcPr>
          <w:p>
            <w:pPr>
              <w:spacing w:after="0"/>
              <w:rPr>
                <w:sz w:val="18"/>
                <w:szCs w:val="18"/>
                <w:color w:val="auto"/>
              </w:rPr>
            </w:pPr>
          </w:p>
        </w:tc>
        <w:tc>
          <w:tcPr>
            <w:tcW w:w="20" w:type="dxa"/>
            <w:vAlign w:val="bottom"/>
            <w:tcBorders>
              <w:top w:val="single" w:sz="8" w:color="E5E5E5"/>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20"/>
                <w:szCs w:val="20"/>
                <w:color w:val="auto"/>
              </w:rPr>
              <w:t>243,901</w:t>
            </w:r>
          </w:p>
        </w:tc>
        <w:tc>
          <w:tcPr>
            <w:tcW w:w="0" w:type="dxa"/>
            <w:vAlign w:val="bottom"/>
          </w:tcPr>
          <w:p>
            <w:pPr>
              <w:spacing w:after="0"/>
              <w:rPr>
                <w:sz w:val="1"/>
                <w:szCs w:val="1"/>
                <w:color w:val="auto"/>
              </w:rPr>
            </w:pPr>
          </w:p>
        </w:tc>
      </w:tr>
      <w:tr>
        <w:trPr>
          <w:trHeight w:val="245"/>
        </w:trPr>
        <w:tc>
          <w:tcPr>
            <w:tcW w:w="7000" w:type="dxa"/>
            <w:vAlign w:val="bottom"/>
            <w:shd w:val="clear" w:color="auto" w:fill="E5E5E5"/>
          </w:tcPr>
          <w:p>
            <w:pPr>
              <w:spacing w:after="0"/>
              <w:rPr>
                <w:sz w:val="20"/>
                <w:szCs w:val="20"/>
                <w:color w:val="auto"/>
              </w:rPr>
            </w:pPr>
            <w:r>
              <w:rPr>
                <w:rFonts w:ascii="Calibri" w:cs="Calibri" w:eastAsia="Calibri" w:hAnsi="Calibri"/>
                <w:sz w:val="20"/>
                <w:szCs w:val="20"/>
                <w:color w:val="auto"/>
              </w:rPr>
              <w:t>Income tax provision</w:t>
            </w:r>
          </w:p>
        </w:tc>
        <w:tc>
          <w:tcPr>
            <w:tcW w:w="380" w:type="dxa"/>
            <w:vAlign w:val="bottom"/>
            <w:shd w:val="clear" w:color="auto" w:fill="E5E5E5"/>
          </w:tcPr>
          <w:p>
            <w:pPr>
              <w:spacing w:after="0"/>
              <w:rPr>
                <w:sz w:val="21"/>
                <w:szCs w:val="21"/>
                <w:color w:val="auto"/>
              </w:rPr>
            </w:pPr>
          </w:p>
        </w:tc>
        <w:tc>
          <w:tcPr>
            <w:tcW w:w="38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1300" w:type="dxa"/>
            <w:vAlign w:val="bottom"/>
            <w:tcBorders>
              <w:bottom w:val="single" w:sz="8" w:color="auto"/>
            </w:tcBorders>
            <w:gridSpan w:val="2"/>
            <w:shd w:val="clear" w:color="auto" w:fill="E5E5E5"/>
          </w:tcPr>
          <w:p>
            <w:pPr>
              <w:jc w:val="right"/>
              <w:ind w:right="60"/>
              <w:spacing w:after="0"/>
              <w:rPr>
                <w:sz w:val="20"/>
                <w:szCs w:val="20"/>
                <w:color w:val="auto"/>
              </w:rPr>
            </w:pPr>
            <w:r>
              <w:rPr>
                <w:rFonts w:ascii="Calibri" w:cs="Calibri" w:eastAsia="Calibri" w:hAnsi="Calibri"/>
                <w:sz w:val="20"/>
                <w:szCs w:val="20"/>
                <w:color w:val="auto"/>
              </w:rPr>
              <w:t>—</w:t>
            </w:r>
          </w:p>
        </w:tc>
        <w:tc>
          <w:tcPr>
            <w:tcW w:w="160" w:type="dxa"/>
            <w:vAlign w:val="bottom"/>
            <w:gridSpan w:val="2"/>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480" w:type="dxa"/>
            <w:vAlign w:val="bottom"/>
            <w:tcBorders>
              <w:bottom w:val="single" w:sz="8" w:color="auto"/>
            </w:tcBorders>
            <w:shd w:val="clear" w:color="auto" w:fill="E5E5E5"/>
          </w:tcPr>
          <w:p>
            <w:pPr>
              <w:spacing w:after="0"/>
              <w:rPr>
                <w:sz w:val="21"/>
                <w:szCs w:val="21"/>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44"/>
        </w:trPr>
        <w:tc>
          <w:tcPr>
            <w:tcW w:w="7000" w:type="dxa"/>
            <w:vAlign w:val="bottom"/>
          </w:tcPr>
          <w:p>
            <w:pPr>
              <w:spacing w:after="0" w:line="235" w:lineRule="exact"/>
              <w:rPr>
                <w:sz w:val="20"/>
                <w:szCs w:val="20"/>
                <w:color w:val="auto"/>
              </w:rPr>
            </w:pPr>
            <w:r>
              <w:rPr>
                <w:rFonts w:ascii="Calibri" w:cs="Calibri" w:eastAsia="Calibri" w:hAnsi="Calibri"/>
                <w:sz w:val="20"/>
                <w:szCs w:val="20"/>
                <w:color w:val="auto"/>
              </w:rPr>
              <w:t>Net income from discontinued operations, net of tax</w:t>
            </w:r>
          </w:p>
        </w:tc>
        <w:tc>
          <w:tcPr>
            <w:tcW w:w="1000" w:type="dxa"/>
            <w:vAlign w:val="bottom"/>
            <w:gridSpan w:val="4"/>
          </w:tcPr>
          <w:p>
            <w:pPr>
              <w:jc w:val="right"/>
              <w:ind w:right="60"/>
              <w:spacing w:after="0"/>
              <w:rPr>
                <w:sz w:val="20"/>
                <w:szCs w:val="20"/>
                <w:color w:val="auto"/>
              </w:rPr>
            </w:pPr>
            <w:r>
              <w:rPr>
                <w:rFonts w:ascii="Calibri" w:cs="Calibri" w:eastAsia="Calibri" w:hAnsi="Calibri"/>
                <w:sz w:val="16"/>
                <w:szCs w:val="16"/>
                <w:color w:val="auto"/>
              </w:rPr>
              <w:t>$</w:t>
            </w:r>
          </w:p>
        </w:tc>
        <w:tc>
          <w:tcPr>
            <w:tcW w:w="1300" w:type="dxa"/>
            <w:vAlign w:val="bottom"/>
            <w:gridSpan w:val="2"/>
          </w:tcPr>
          <w:p>
            <w:pPr>
              <w:jc w:val="right"/>
              <w:ind w:right="60"/>
              <w:spacing w:after="0" w:line="235" w:lineRule="exact"/>
              <w:rPr>
                <w:sz w:val="20"/>
                <w:szCs w:val="20"/>
                <w:color w:val="auto"/>
              </w:rPr>
            </w:pPr>
            <w:r>
              <w:rPr>
                <w:rFonts w:ascii="Calibri" w:cs="Calibri" w:eastAsia="Calibri" w:hAnsi="Calibri"/>
                <w:sz w:val="20"/>
                <w:szCs w:val="20"/>
                <w:color w:val="auto"/>
              </w:rPr>
              <w:t>351,148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jc w:val="right"/>
              <w:ind w:right="280"/>
              <w:spacing w:after="0" w:line="235" w:lineRule="exact"/>
              <w:rPr>
                <w:sz w:val="20"/>
                <w:szCs w:val="20"/>
                <w:color w:val="auto"/>
              </w:rPr>
            </w:pPr>
            <w:r>
              <w:rPr>
                <w:rFonts w:ascii="Calibri" w:cs="Calibri" w:eastAsia="Calibri" w:hAnsi="Calibri"/>
                <w:sz w:val="20"/>
                <w:szCs w:val="20"/>
                <w:color w:val="auto"/>
                <w:w w:val="78"/>
              </w:rPr>
              <w:t>$</w:t>
            </w:r>
          </w:p>
        </w:tc>
        <w:tc>
          <w:tcPr>
            <w:tcW w:w="1040" w:type="dxa"/>
            <w:vAlign w:val="bottom"/>
          </w:tcPr>
          <w:p>
            <w:pPr>
              <w:jc w:val="right"/>
              <w:spacing w:after="0" w:line="235" w:lineRule="exact"/>
              <w:rPr>
                <w:sz w:val="20"/>
                <w:szCs w:val="20"/>
                <w:color w:val="auto"/>
              </w:rPr>
            </w:pPr>
            <w:r>
              <w:rPr>
                <w:rFonts w:ascii="Calibri" w:cs="Calibri" w:eastAsia="Calibri" w:hAnsi="Calibri"/>
                <w:sz w:val="20"/>
                <w:szCs w:val="20"/>
                <w:color w:val="auto"/>
              </w:rPr>
              <w:t>243,901</w:t>
            </w:r>
          </w:p>
        </w:tc>
        <w:tc>
          <w:tcPr>
            <w:tcW w:w="0" w:type="dxa"/>
            <w:vAlign w:val="bottom"/>
          </w:tcPr>
          <w:p>
            <w:pPr>
              <w:spacing w:after="0"/>
              <w:rPr>
                <w:sz w:val="1"/>
                <w:szCs w:val="1"/>
                <w:color w:val="auto"/>
              </w:rPr>
            </w:pPr>
          </w:p>
        </w:tc>
      </w:tr>
      <w:tr>
        <w:trPr>
          <w:trHeight w:val="496"/>
        </w:trPr>
        <w:tc>
          <w:tcPr>
            <w:tcW w:w="7000" w:type="dxa"/>
            <w:vAlign w:val="bottom"/>
          </w:tcPr>
          <w:p>
            <w:pPr>
              <w:ind w:left="720"/>
              <w:spacing w:after="0"/>
              <w:rPr>
                <w:sz w:val="20"/>
                <w:szCs w:val="20"/>
                <w:color w:val="auto"/>
              </w:rPr>
            </w:pPr>
            <w:r>
              <w:rPr>
                <w:rFonts w:ascii="Calibri" w:cs="Calibri" w:eastAsia="Calibri" w:hAnsi="Calibri"/>
                <w:sz w:val="20"/>
                <w:szCs w:val="20"/>
                <w:color w:val="auto"/>
              </w:rPr>
              <w:t>Net revenue from discontinued operations by product was as follows:</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700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3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jc w:val="right"/>
              <w:spacing w:after="0"/>
              <w:rPr>
                <w:sz w:val="20"/>
                <w:szCs w:val="20"/>
                <w:color w:val="auto"/>
              </w:rPr>
            </w:pPr>
            <w:r>
              <w:rPr>
                <w:rFonts w:ascii="Calibri" w:cs="Calibri" w:eastAsia="Calibri" w:hAnsi="Calibri"/>
                <w:sz w:val="16"/>
                <w:szCs w:val="16"/>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000" w:type="dxa"/>
            <w:vAlign w:val="bottom"/>
            <w:tcBorders>
              <w:bottom w:val="single" w:sz="8" w:color="E5E5E5"/>
            </w:tcBorders>
            <w:vMerge w:val="continue"/>
          </w:tcPr>
          <w:p>
            <w:pPr>
              <w:spacing w:after="0"/>
              <w:rPr>
                <w:sz w:val="16"/>
                <w:szCs w:val="16"/>
                <w:color w:val="auto"/>
              </w:rPr>
            </w:pPr>
          </w:p>
        </w:tc>
        <w:tc>
          <w:tcPr>
            <w:tcW w:w="380" w:type="dxa"/>
            <w:vAlign w:val="bottom"/>
            <w:tcBorders>
              <w:bottom w:val="single" w:sz="8" w:color="E5E5E5"/>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84"/>
              <w:spacing w:after="0" w:line="185" w:lineRule="exact"/>
              <w:rPr>
                <w:sz w:val="20"/>
                <w:szCs w:val="20"/>
                <w:color w:val="auto"/>
              </w:rPr>
            </w:pPr>
            <w:r>
              <w:rPr>
                <w:rFonts w:ascii="Calibri" w:cs="Calibri" w:eastAsia="Calibri" w:hAnsi="Calibri"/>
                <w:sz w:val="16"/>
                <w:szCs w:val="16"/>
                <w:b w:val="1"/>
                <w:bCs w:val="1"/>
                <w:color w:val="auto"/>
              </w:rPr>
              <w:t>2025</w:t>
            </w:r>
          </w:p>
        </w:tc>
        <w:tc>
          <w:tcPr>
            <w:tcW w:w="220" w:type="dxa"/>
            <w:vAlign w:val="bottom"/>
            <w:tcBorders>
              <w:bottom w:val="single" w:sz="8" w:color="E5E5E5"/>
            </w:tcBorders>
          </w:tcPr>
          <w:p>
            <w:pPr>
              <w:spacing w:after="0"/>
              <w:rPr>
                <w:sz w:val="16"/>
                <w:szCs w:val="16"/>
                <w:color w:val="auto"/>
              </w:rPr>
            </w:pPr>
          </w:p>
        </w:tc>
        <w:tc>
          <w:tcPr>
            <w:tcW w:w="14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line="185" w:lineRule="exact"/>
              <w:rPr>
                <w:sz w:val="20"/>
                <w:szCs w:val="20"/>
                <w:color w:val="auto"/>
              </w:rPr>
            </w:pPr>
            <w:r>
              <w:rPr>
                <w:rFonts w:ascii="Calibri" w:cs="Calibri" w:eastAsia="Calibri" w:hAnsi="Calibri"/>
                <w:sz w:val="16"/>
                <w:szCs w:val="16"/>
                <w:b w:val="1"/>
                <w:bCs w:val="1"/>
                <w:color w:val="auto"/>
                <w:w w:val="98"/>
              </w:rPr>
              <w:t>2024</w:t>
            </w:r>
          </w:p>
        </w:tc>
        <w:tc>
          <w:tcPr>
            <w:tcW w:w="0" w:type="dxa"/>
            <w:vAlign w:val="bottom"/>
          </w:tcPr>
          <w:p>
            <w:pPr>
              <w:spacing w:after="0"/>
              <w:rPr>
                <w:sz w:val="1"/>
                <w:szCs w:val="1"/>
                <w:color w:val="auto"/>
              </w:rPr>
            </w:pPr>
          </w:p>
        </w:tc>
      </w:tr>
      <w:tr>
        <w:trPr>
          <w:trHeight w:val="258"/>
        </w:trPr>
        <w:tc>
          <w:tcPr>
            <w:tcW w:w="7000" w:type="dxa"/>
            <w:vAlign w:val="bottom"/>
            <w:shd w:val="clear" w:color="auto" w:fill="E5E5E5"/>
          </w:tcPr>
          <w:p>
            <w:pPr>
              <w:spacing w:after="0"/>
              <w:rPr>
                <w:sz w:val="20"/>
                <w:szCs w:val="20"/>
                <w:color w:val="auto"/>
              </w:rPr>
            </w:pPr>
            <w:r>
              <w:rPr>
                <w:rFonts w:ascii="Calibri" w:cs="Calibri" w:eastAsia="Calibri" w:hAnsi="Calibri"/>
                <w:sz w:val="20"/>
                <w:szCs w:val="20"/>
                <w:color w:val="auto"/>
              </w:rPr>
              <w:t>UDENYCA</w:t>
            </w:r>
          </w:p>
        </w:tc>
        <w:tc>
          <w:tcPr>
            <w:tcW w:w="760" w:type="dxa"/>
            <w:vAlign w:val="bottom"/>
            <w:gridSpan w:val="2"/>
            <w:shd w:val="clear" w:color="auto" w:fill="E5E5E5"/>
          </w:tcPr>
          <w:p>
            <w:pPr>
              <w:jc w:val="right"/>
              <w:ind w:right="180"/>
              <w:spacing w:after="0"/>
              <w:rPr>
                <w:sz w:val="20"/>
                <w:szCs w:val="20"/>
                <w:color w:val="auto"/>
              </w:rPr>
            </w:pPr>
            <w:r>
              <w:rPr>
                <w:rFonts w:ascii="Calibri" w:cs="Calibri" w:eastAsia="Calibri" w:hAnsi="Calibri"/>
                <w:sz w:val="20"/>
                <w:szCs w:val="20"/>
                <w:color w:val="auto"/>
              </w:rPr>
              <w:t>$</w:t>
            </w:r>
          </w:p>
        </w:tc>
        <w:tc>
          <w:tcPr>
            <w:tcW w:w="20" w:type="dxa"/>
            <w:vAlign w:val="bottom"/>
            <w:shd w:val="clear" w:color="auto" w:fill="E5E5E5"/>
          </w:tcPr>
          <w:p>
            <w:pPr>
              <w:spacing w:after="0"/>
              <w:rPr>
                <w:sz w:val="22"/>
                <w:szCs w:val="22"/>
                <w:color w:val="auto"/>
              </w:rPr>
            </w:pPr>
          </w:p>
        </w:tc>
        <w:tc>
          <w:tcPr>
            <w:tcW w:w="220" w:type="dxa"/>
            <w:vAlign w:val="bottom"/>
            <w:shd w:val="clear" w:color="auto" w:fill="E5E5E5"/>
          </w:tcPr>
          <w:p>
            <w:pPr>
              <w:spacing w:after="0"/>
              <w:rPr>
                <w:sz w:val="22"/>
                <w:szCs w:val="22"/>
                <w:color w:val="auto"/>
              </w:rPr>
            </w:pPr>
          </w:p>
        </w:tc>
        <w:tc>
          <w:tcPr>
            <w:tcW w:w="10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76,031</w:t>
            </w:r>
          </w:p>
        </w:tc>
        <w:tc>
          <w:tcPr>
            <w:tcW w:w="220" w:type="dxa"/>
            <w:vAlign w:val="bottom"/>
            <w:shd w:val="clear" w:color="auto" w:fill="E5E5E5"/>
          </w:tcPr>
          <w:p>
            <w:pPr>
              <w:spacing w:after="0"/>
              <w:rPr>
                <w:sz w:val="22"/>
                <w:szCs w:val="22"/>
                <w:color w:val="auto"/>
              </w:rPr>
            </w:pPr>
          </w:p>
        </w:tc>
        <w:tc>
          <w:tcPr>
            <w:tcW w:w="140" w:type="dxa"/>
            <w:vAlign w:val="bottom"/>
            <w:shd w:val="clear" w:color="auto" w:fill="E5E5E5"/>
          </w:tcPr>
          <w:p>
            <w:pPr>
              <w:spacing w:after="0"/>
              <w:rPr>
                <w:sz w:val="22"/>
                <w:szCs w:val="22"/>
                <w:color w:val="auto"/>
              </w:rPr>
            </w:pPr>
          </w:p>
        </w:tc>
        <w:tc>
          <w:tcPr>
            <w:tcW w:w="20" w:type="dxa"/>
            <w:vAlign w:val="bottom"/>
            <w:shd w:val="clear" w:color="auto" w:fill="E5E5E5"/>
          </w:tcPr>
          <w:p>
            <w:pPr>
              <w:spacing w:after="0"/>
              <w:rPr>
                <w:sz w:val="22"/>
                <w:szCs w:val="22"/>
                <w:color w:val="auto"/>
              </w:rPr>
            </w:pPr>
          </w:p>
        </w:tc>
        <w:tc>
          <w:tcPr>
            <w:tcW w:w="1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w w:val="78"/>
              </w:rPr>
              <w:t>$</w:t>
            </w:r>
          </w:p>
        </w:tc>
        <w:tc>
          <w:tcPr>
            <w:tcW w:w="20" w:type="dxa"/>
            <w:vAlign w:val="bottom"/>
            <w:shd w:val="clear" w:color="auto" w:fill="E5E5E5"/>
          </w:tcPr>
          <w:p>
            <w:pPr>
              <w:spacing w:after="0"/>
              <w:rPr>
                <w:sz w:val="22"/>
                <w:szCs w:val="22"/>
                <w:color w:val="auto"/>
              </w:rPr>
            </w:pPr>
          </w:p>
        </w:tc>
        <w:tc>
          <w:tcPr>
            <w:tcW w:w="480" w:type="dxa"/>
            <w:vAlign w:val="bottom"/>
            <w:shd w:val="clear" w:color="auto" w:fill="E5E5E5"/>
          </w:tcPr>
          <w:p>
            <w:pPr>
              <w:spacing w:after="0"/>
              <w:rPr>
                <w:sz w:val="22"/>
                <w:szCs w:val="22"/>
                <w:color w:val="auto"/>
              </w:rPr>
            </w:pPr>
          </w:p>
        </w:tc>
        <w:tc>
          <w:tcPr>
            <w:tcW w:w="10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205,951</w:t>
            </w:r>
          </w:p>
        </w:tc>
        <w:tc>
          <w:tcPr>
            <w:tcW w:w="0" w:type="dxa"/>
            <w:vAlign w:val="bottom"/>
          </w:tcPr>
          <w:p>
            <w:pPr>
              <w:spacing w:after="0"/>
              <w:rPr>
                <w:sz w:val="1"/>
                <w:szCs w:val="1"/>
                <w:color w:val="auto"/>
              </w:rPr>
            </w:pPr>
          </w:p>
        </w:tc>
      </w:tr>
      <w:tr>
        <w:trPr>
          <w:trHeight w:val="269"/>
        </w:trPr>
        <w:tc>
          <w:tcPr>
            <w:tcW w:w="7000" w:type="dxa"/>
            <w:vAlign w:val="bottom"/>
          </w:tcPr>
          <w:p>
            <w:pPr>
              <w:spacing w:after="0"/>
              <w:rPr>
                <w:sz w:val="20"/>
                <w:szCs w:val="20"/>
                <w:color w:val="auto"/>
              </w:rPr>
            </w:pPr>
            <w:r>
              <w:rPr>
                <w:rFonts w:ascii="Calibri" w:cs="Calibri" w:eastAsia="Calibri" w:hAnsi="Calibri"/>
                <w:sz w:val="20"/>
                <w:szCs w:val="20"/>
                <w:color w:val="auto"/>
              </w:rPr>
              <w:t>CIMERLI</w:t>
            </w: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color w:val="auto"/>
              </w:rPr>
              <w:t>515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27,079</w:t>
            </w:r>
          </w:p>
        </w:tc>
        <w:tc>
          <w:tcPr>
            <w:tcW w:w="0" w:type="dxa"/>
            <w:vAlign w:val="bottom"/>
          </w:tcPr>
          <w:p>
            <w:pPr>
              <w:spacing w:after="0"/>
              <w:rPr>
                <w:sz w:val="1"/>
                <w:szCs w:val="1"/>
                <w:color w:val="auto"/>
              </w:rPr>
            </w:pPr>
          </w:p>
        </w:tc>
      </w:tr>
      <w:tr>
        <w:trPr>
          <w:trHeight w:val="269"/>
        </w:trPr>
        <w:tc>
          <w:tcPr>
            <w:tcW w:w="7000" w:type="dxa"/>
            <w:vAlign w:val="bottom"/>
            <w:tcBorders>
              <w:bottom w:val="single" w:sz="8" w:color="E5E5E5"/>
            </w:tcBorders>
            <w:shd w:val="clear" w:color="auto" w:fill="E5E5E5"/>
          </w:tcPr>
          <w:p>
            <w:pPr>
              <w:spacing w:after="0"/>
              <w:rPr>
                <w:sz w:val="20"/>
                <w:szCs w:val="20"/>
                <w:color w:val="auto"/>
              </w:rPr>
            </w:pPr>
            <w:r>
              <w:rPr>
                <w:rFonts w:ascii="Calibri" w:cs="Calibri" w:eastAsia="Calibri" w:hAnsi="Calibri"/>
                <w:sz w:val="20"/>
                <w:szCs w:val="20"/>
                <w:color w:val="auto"/>
              </w:rPr>
              <w:t>YUSIMRY</w:t>
            </w:r>
          </w:p>
        </w:tc>
        <w:tc>
          <w:tcPr>
            <w:tcW w:w="380" w:type="dxa"/>
            <w:vAlign w:val="bottom"/>
            <w:tcBorders>
              <w:bottom w:val="single" w:sz="8" w:color="E5E5E5"/>
            </w:tcBorders>
            <w:shd w:val="clear" w:color="auto" w:fill="E5E5E5"/>
          </w:tcPr>
          <w:p>
            <w:pPr>
              <w:spacing w:after="0"/>
              <w:rPr>
                <w:sz w:val="23"/>
                <w:szCs w:val="23"/>
                <w:color w:val="auto"/>
              </w:rPr>
            </w:pPr>
          </w:p>
        </w:tc>
        <w:tc>
          <w:tcPr>
            <w:tcW w:w="380" w:type="dxa"/>
            <w:vAlign w:val="bottom"/>
            <w:tcBorders>
              <w:bottom w:val="single" w:sz="8" w:color="auto"/>
            </w:tcBorders>
            <w:shd w:val="clear" w:color="auto" w:fill="E5E5E5"/>
          </w:tcPr>
          <w:p>
            <w:pPr>
              <w:spacing w:after="0"/>
              <w:rPr>
                <w:sz w:val="23"/>
                <w:szCs w:val="23"/>
                <w:color w:val="auto"/>
              </w:rPr>
            </w:pPr>
          </w:p>
        </w:tc>
        <w:tc>
          <w:tcPr>
            <w:tcW w:w="20" w:type="dxa"/>
            <w:vAlign w:val="bottom"/>
            <w:tcBorders>
              <w:bottom w:val="single" w:sz="8" w:color="auto"/>
            </w:tcBorders>
            <w:shd w:val="clear" w:color="auto" w:fill="E5E5E5"/>
          </w:tcPr>
          <w:p>
            <w:pPr>
              <w:spacing w:after="0"/>
              <w:rPr>
                <w:sz w:val="23"/>
                <w:szCs w:val="23"/>
                <w:color w:val="auto"/>
              </w:rPr>
            </w:pPr>
          </w:p>
        </w:tc>
        <w:tc>
          <w:tcPr>
            <w:tcW w:w="220" w:type="dxa"/>
            <w:vAlign w:val="bottom"/>
            <w:tcBorders>
              <w:bottom w:val="single" w:sz="8" w:color="auto"/>
            </w:tcBorders>
            <w:shd w:val="clear" w:color="auto" w:fill="E5E5E5"/>
          </w:tcPr>
          <w:p>
            <w:pPr>
              <w:spacing w:after="0"/>
              <w:rPr>
                <w:sz w:val="23"/>
                <w:szCs w:val="23"/>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67</w:t>
            </w:r>
          </w:p>
        </w:tc>
        <w:tc>
          <w:tcPr>
            <w:tcW w:w="220" w:type="dxa"/>
            <w:vAlign w:val="bottom"/>
            <w:tcBorders>
              <w:bottom w:val="single" w:sz="8" w:color="E5E5E5"/>
            </w:tcBorders>
            <w:shd w:val="clear" w:color="auto" w:fill="E5E5E5"/>
          </w:tcPr>
          <w:p>
            <w:pPr>
              <w:spacing w:after="0"/>
              <w:rPr>
                <w:sz w:val="23"/>
                <w:szCs w:val="23"/>
                <w:color w:val="auto"/>
              </w:rPr>
            </w:pPr>
          </w:p>
        </w:tc>
        <w:tc>
          <w:tcPr>
            <w:tcW w:w="140" w:type="dxa"/>
            <w:vAlign w:val="bottom"/>
            <w:tcBorders>
              <w:bottom w:val="single" w:sz="8" w:color="E5E5E5"/>
            </w:tcBorders>
            <w:shd w:val="clear" w:color="auto" w:fill="E5E5E5"/>
          </w:tcPr>
          <w:p>
            <w:pPr>
              <w:spacing w:after="0"/>
              <w:rPr>
                <w:sz w:val="23"/>
                <w:szCs w:val="23"/>
                <w:color w:val="auto"/>
              </w:rPr>
            </w:pPr>
          </w:p>
        </w:tc>
        <w:tc>
          <w:tcPr>
            <w:tcW w:w="20" w:type="dxa"/>
            <w:vAlign w:val="bottom"/>
            <w:tcBorders>
              <w:bottom w:val="single" w:sz="8" w:color="E5E5E5"/>
            </w:tcBorders>
            <w:shd w:val="clear" w:color="auto" w:fill="E5E5E5"/>
          </w:tcPr>
          <w:p>
            <w:pPr>
              <w:spacing w:after="0"/>
              <w:rPr>
                <w:sz w:val="23"/>
                <w:szCs w:val="23"/>
                <w:color w:val="auto"/>
              </w:rPr>
            </w:pPr>
          </w:p>
        </w:tc>
        <w:tc>
          <w:tcPr>
            <w:tcW w:w="160" w:type="dxa"/>
            <w:vAlign w:val="bottom"/>
            <w:tcBorders>
              <w:bottom w:val="single" w:sz="8" w:color="auto"/>
            </w:tcBorders>
            <w:shd w:val="clear" w:color="auto" w:fill="E5E5E5"/>
          </w:tcPr>
          <w:p>
            <w:pPr>
              <w:spacing w:after="0"/>
              <w:rPr>
                <w:sz w:val="23"/>
                <w:szCs w:val="23"/>
                <w:color w:val="auto"/>
              </w:rPr>
            </w:pPr>
          </w:p>
        </w:tc>
        <w:tc>
          <w:tcPr>
            <w:tcW w:w="20" w:type="dxa"/>
            <w:vAlign w:val="bottom"/>
            <w:tcBorders>
              <w:bottom w:val="single" w:sz="8" w:color="auto"/>
            </w:tcBorders>
            <w:shd w:val="clear" w:color="auto" w:fill="E5E5E5"/>
          </w:tcPr>
          <w:p>
            <w:pPr>
              <w:spacing w:after="0"/>
              <w:rPr>
                <w:sz w:val="23"/>
                <w:szCs w:val="23"/>
                <w:color w:val="auto"/>
              </w:rPr>
            </w:pPr>
          </w:p>
        </w:tc>
        <w:tc>
          <w:tcPr>
            <w:tcW w:w="480" w:type="dxa"/>
            <w:vAlign w:val="bottom"/>
            <w:tcBorders>
              <w:bottom w:val="single" w:sz="8" w:color="auto"/>
            </w:tcBorders>
            <w:shd w:val="clear" w:color="auto" w:fill="E5E5E5"/>
          </w:tcPr>
          <w:p>
            <w:pPr>
              <w:spacing w:after="0"/>
              <w:rPr>
                <w:sz w:val="23"/>
                <w:szCs w:val="23"/>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7,541</w:t>
            </w:r>
          </w:p>
        </w:tc>
        <w:tc>
          <w:tcPr>
            <w:tcW w:w="0" w:type="dxa"/>
            <w:vAlign w:val="bottom"/>
          </w:tcPr>
          <w:p>
            <w:pPr>
              <w:spacing w:after="0"/>
              <w:rPr>
                <w:sz w:val="1"/>
                <w:szCs w:val="1"/>
                <w:color w:val="auto"/>
              </w:rPr>
            </w:pPr>
          </w:p>
        </w:tc>
      </w:tr>
      <w:tr>
        <w:trPr>
          <w:trHeight w:val="268"/>
        </w:trPr>
        <w:tc>
          <w:tcPr>
            <w:tcW w:w="7000" w:type="dxa"/>
            <w:vAlign w:val="bottom"/>
          </w:tcPr>
          <w:p>
            <w:pPr>
              <w:ind w:left="140"/>
              <w:spacing w:after="0"/>
              <w:rPr>
                <w:sz w:val="20"/>
                <w:szCs w:val="20"/>
                <w:color w:val="auto"/>
              </w:rPr>
            </w:pPr>
            <w:r>
              <w:rPr>
                <w:rFonts w:ascii="Calibri" w:cs="Calibri" w:eastAsia="Calibri" w:hAnsi="Calibri"/>
                <w:sz w:val="20"/>
                <w:szCs w:val="20"/>
                <w:color w:val="auto"/>
              </w:rPr>
              <w:t>Total net revenue from discontinued operations</w:t>
            </w:r>
          </w:p>
        </w:tc>
        <w:tc>
          <w:tcPr>
            <w:tcW w:w="380" w:type="dxa"/>
            <w:vAlign w:val="bottom"/>
          </w:tcPr>
          <w:p>
            <w:pPr>
              <w:spacing w:after="0"/>
              <w:rPr>
                <w:sz w:val="23"/>
                <w:szCs w:val="23"/>
                <w:color w:val="auto"/>
              </w:rPr>
            </w:pPr>
          </w:p>
        </w:tc>
        <w:tc>
          <w:tcPr>
            <w:tcW w:w="380" w:type="dxa"/>
            <w:vAlign w:val="bottom"/>
            <w:tcBorders>
              <w:bottom w:val="single" w:sz="8" w:color="auto"/>
            </w:tcBorders>
          </w:tcPr>
          <w:p>
            <w:pPr>
              <w:jc w:val="right"/>
              <w:ind w:right="180"/>
              <w:spacing w:after="0"/>
              <w:rPr>
                <w:sz w:val="20"/>
                <w:szCs w:val="20"/>
                <w:color w:val="auto"/>
              </w:rPr>
            </w:pPr>
            <w:r>
              <w:rPr>
                <w:rFonts w:ascii="Calibri" w:cs="Calibri" w:eastAsia="Calibri" w:hAnsi="Calibri"/>
                <w:sz w:val="20"/>
                <w:szCs w:val="20"/>
                <w:color w:val="auto"/>
                <w:w w:val="78"/>
              </w:rPr>
              <w:t>$</w:t>
            </w: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76,613</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w w:val="78"/>
              </w:rPr>
              <w:t>$</w:t>
            </w: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240,571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Assets of discontinued operations were entirely derecognized as of April 11, 2025 and were as follows at December 31, 2024:</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700" w:type="dxa"/>
            <w:vAlign w:val="bottom"/>
            <w:tcBorders>
              <w:bottom w:val="single" w:sz="8" w:color="E5E5E5"/>
            </w:tcBorders>
          </w:tcPr>
          <w:p>
            <w:pPr>
              <w:spacing w:after="0"/>
              <w:rPr>
                <w:sz w:val="20"/>
                <w:szCs w:val="20"/>
                <w:color w:val="auto"/>
              </w:rPr>
            </w:pPr>
            <w:r>
              <w:rPr>
                <w:rFonts w:ascii="Calibri" w:cs="Calibri" w:eastAsia="Calibri" w:hAnsi="Calibri"/>
                <w:sz w:val="16"/>
                <w:szCs w:val="16"/>
                <w:b w:val="1"/>
                <w:bCs w:val="1"/>
                <w:color w:val="auto"/>
              </w:rPr>
              <w:t>(in thousands)</w:t>
            </w:r>
          </w:p>
        </w:tc>
        <w:tc>
          <w:tcPr>
            <w:tcW w:w="20" w:type="dxa"/>
            <w:vAlign w:val="bottom"/>
            <w:tcBorders>
              <w:bottom w:val="single" w:sz="8" w:color="E5E5E5"/>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6"/>
                <w:szCs w:val="16"/>
                <w:b w:val="1"/>
                <w:bCs w:val="1"/>
                <w:color w:val="auto"/>
              </w:rPr>
              <w:t>December 31, 2024</w:t>
            </w:r>
          </w:p>
        </w:tc>
      </w:tr>
      <w:tr>
        <w:trPr>
          <w:trHeight w:val="185"/>
        </w:trPr>
        <w:tc>
          <w:tcPr>
            <w:tcW w:w="9700" w:type="dxa"/>
            <w:vAlign w:val="bottom"/>
            <w:shd w:val="clear" w:color="auto" w:fill="E5E5E5"/>
          </w:tcPr>
          <w:p>
            <w:pPr>
              <w:spacing w:after="0" w:line="185" w:lineRule="exact"/>
              <w:rPr>
                <w:sz w:val="20"/>
                <w:szCs w:val="20"/>
                <w:color w:val="auto"/>
              </w:rPr>
            </w:pPr>
            <w:r>
              <w:rPr>
                <w:rFonts w:ascii="Calibri" w:cs="Calibri" w:eastAsia="Calibri" w:hAnsi="Calibri"/>
                <w:sz w:val="16"/>
                <w:szCs w:val="16"/>
                <w:b w:val="1"/>
                <w:bCs w:val="1"/>
                <w:color w:val="auto"/>
              </w:rPr>
              <w:t>Assets of Discontinued Operations</w:t>
            </w:r>
          </w:p>
        </w:tc>
        <w:tc>
          <w:tcPr>
            <w:tcW w:w="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240" w:type="dxa"/>
            <w:vAlign w:val="bottom"/>
            <w:shd w:val="clear" w:color="auto" w:fill="E5E5E5"/>
          </w:tcPr>
          <w:p>
            <w:pPr>
              <w:spacing w:after="0"/>
              <w:rPr>
                <w:sz w:val="16"/>
                <w:szCs w:val="16"/>
                <w:color w:val="auto"/>
              </w:rPr>
            </w:pPr>
          </w:p>
        </w:tc>
      </w:tr>
      <w:tr>
        <w:trPr>
          <w:trHeight w:val="244"/>
        </w:trPr>
        <w:tc>
          <w:tcPr>
            <w:tcW w:w="9700" w:type="dxa"/>
            <w:vAlign w:val="bottom"/>
          </w:tcPr>
          <w:p>
            <w:pPr>
              <w:spacing w:after="0"/>
              <w:rPr>
                <w:sz w:val="20"/>
                <w:szCs w:val="20"/>
                <w:color w:val="auto"/>
              </w:rPr>
            </w:pPr>
            <w:r>
              <w:rPr>
                <w:rFonts w:ascii="Calibri" w:cs="Calibri" w:eastAsia="Calibri" w:hAnsi="Calibri"/>
                <w:sz w:val="20"/>
                <w:szCs w:val="20"/>
                <w:color w:val="auto"/>
              </w:rPr>
              <w:t>Inventory</w:t>
            </w:r>
          </w:p>
        </w:tc>
        <w:tc>
          <w:tcPr>
            <w:tcW w:w="220" w:type="dxa"/>
            <w:vAlign w:val="bottom"/>
            <w:gridSpan w:val="2"/>
          </w:tcPr>
          <w:p>
            <w:pPr>
              <w:jc w:val="right"/>
              <w:ind w:right="40"/>
              <w:spacing w:after="0"/>
              <w:rPr>
                <w:sz w:val="20"/>
                <w:szCs w:val="20"/>
                <w:color w:val="auto"/>
              </w:rPr>
            </w:pPr>
            <w:r>
              <w:rPr>
                <w:rFonts w:ascii="Calibri" w:cs="Calibri" w:eastAsia="Calibri" w:hAnsi="Calibri"/>
                <w:sz w:val="16"/>
                <w:szCs w:val="16"/>
                <w:color w:val="auto"/>
                <w:w w:val="97"/>
              </w:rPr>
              <w:t>$</w:t>
            </w:r>
          </w:p>
        </w:tc>
        <w:tc>
          <w:tcPr>
            <w:tcW w:w="1240" w:type="dxa"/>
            <w:vAlign w:val="bottom"/>
          </w:tcPr>
          <w:p>
            <w:pPr>
              <w:jc w:val="right"/>
              <w:spacing w:after="0"/>
              <w:rPr>
                <w:sz w:val="20"/>
                <w:szCs w:val="20"/>
                <w:color w:val="auto"/>
              </w:rPr>
            </w:pPr>
            <w:r>
              <w:rPr>
                <w:rFonts w:ascii="Calibri" w:cs="Calibri" w:eastAsia="Calibri" w:hAnsi="Calibri"/>
                <w:sz w:val="20"/>
                <w:szCs w:val="20"/>
                <w:color w:val="auto"/>
              </w:rPr>
              <w:t>65,887</w:t>
            </w:r>
          </w:p>
        </w:tc>
      </w:tr>
      <w:tr>
        <w:trPr>
          <w:trHeight w:val="245"/>
        </w:trPr>
        <w:tc>
          <w:tcPr>
            <w:tcW w:w="9700" w:type="dxa"/>
            <w:vAlign w:val="bottom"/>
            <w:shd w:val="clear" w:color="auto" w:fill="E5E5E5"/>
          </w:tcPr>
          <w:p>
            <w:pPr>
              <w:spacing w:after="0"/>
              <w:rPr>
                <w:sz w:val="20"/>
                <w:szCs w:val="20"/>
                <w:color w:val="auto"/>
              </w:rPr>
            </w:pPr>
            <w:r>
              <w:rPr>
                <w:rFonts w:ascii="Calibri" w:cs="Calibri" w:eastAsia="Calibri" w:hAnsi="Calibri"/>
                <w:sz w:val="20"/>
                <w:szCs w:val="20"/>
                <w:color w:val="auto"/>
              </w:rPr>
              <w:t>Prepaid manufacturing</w:t>
            </w:r>
          </w:p>
        </w:tc>
        <w:tc>
          <w:tcPr>
            <w:tcW w:w="2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12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4,983</w:t>
            </w:r>
          </w:p>
        </w:tc>
      </w:tr>
      <w:tr>
        <w:trPr>
          <w:trHeight w:val="244"/>
        </w:trPr>
        <w:tc>
          <w:tcPr>
            <w:tcW w:w="9700" w:type="dxa"/>
            <w:vAlign w:val="bottom"/>
            <w:tcBorders>
              <w:bottom w:val="single" w:sz="8" w:color="E5E5E5"/>
            </w:tcBorders>
          </w:tcPr>
          <w:p>
            <w:pPr>
              <w:spacing w:after="0"/>
              <w:rPr>
                <w:sz w:val="20"/>
                <w:szCs w:val="20"/>
                <w:color w:val="auto"/>
              </w:rPr>
            </w:pPr>
            <w:r>
              <w:rPr>
                <w:rFonts w:ascii="Calibri" w:cs="Calibri" w:eastAsia="Calibri" w:hAnsi="Calibri"/>
                <w:sz w:val="20"/>
                <w:szCs w:val="20"/>
                <w:color w:val="auto"/>
              </w:rPr>
              <w:t>Other prepaids and current assets</w:t>
            </w:r>
          </w:p>
        </w:tc>
        <w:tc>
          <w:tcPr>
            <w:tcW w:w="20" w:type="dxa"/>
            <w:vAlign w:val="bottom"/>
            <w:tcBorders>
              <w:bottom w:val="single" w:sz="8" w:color="E5E5E5"/>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1,310</w:t>
            </w:r>
          </w:p>
        </w:tc>
      </w:tr>
      <w:tr>
        <w:trPr>
          <w:trHeight w:val="234"/>
        </w:trPr>
        <w:tc>
          <w:tcPr>
            <w:tcW w:w="9700" w:type="dxa"/>
            <w:vAlign w:val="bottom"/>
            <w:shd w:val="clear" w:color="auto" w:fill="E5E5E5"/>
          </w:tcPr>
          <w:p>
            <w:pPr>
              <w:ind w:left="120"/>
              <w:spacing w:after="0" w:line="234" w:lineRule="exact"/>
              <w:rPr>
                <w:sz w:val="20"/>
                <w:szCs w:val="20"/>
                <w:color w:val="auto"/>
              </w:rPr>
            </w:pPr>
            <w:r>
              <w:rPr>
                <w:rFonts w:ascii="Calibri" w:cs="Calibri" w:eastAsia="Calibri" w:hAnsi="Calibri"/>
                <w:sz w:val="20"/>
                <w:szCs w:val="20"/>
                <w:color w:val="auto"/>
              </w:rPr>
              <w:t>Total assets of discontinued operations, current</w:t>
            </w:r>
          </w:p>
        </w:tc>
        <w:tc>
          <w:tcPr>
            <w:tcW w:w="20" w:type="dxa"/>
            <w:vAlign w:val="bottom"/>
            <w:shd w:val="clear" w:color="auto" w:fill="E5E5E5"/>
          </w:tcPr>
          <w:p>
            <w:pPr>
              <w:spacing w:after="0"/>
              <w:rPr>
                <w:sz w:val="20"/>
                <w:szCs w:val="20"/>
                <w:color w:val="auto"/>
              </w:rPr>
            </w:pPr>
          </w:p>
        </w:tc>
        <w:tc>
          <w:tcPr>
            <w:tcW w:w="200" w:type="dxa"/>
            <w:vAlign w:val="bottom"/>
            <w:tcBorders>
              <w:bottom w:val="single" w:sz="8" w:color="auto"/>
            </w:tcBorders>
            <w:shd w:val="clear" w:color="auto" w:fill="E5E5E5"/>
          </w:tcPr>
          <w:p>
            <w:pPr>
              <w:spacing w:after="0"/>
              <w:rPr>
                <w:sz w:val="20"/>
                <w:szCs w:val="20"/>
                <w:color w:val="auto"/>
              </w:rPr>
            </w:pPr>
          </w:p>
        </w:tc>
        <w:tc>
          <w:tcPr>
            <w:tcW w:w="1240" w:type="dxa"/>
            <w:vAlign w:val="bottom"/>
            <w:tcBorders>
              <w:bottom w:val="single" w:sz="8" w:color="auto"/>
            </w:tcBorders>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72,180</w:t>
            </w:r>
          </w:p>
        </w:tc>
      </w:tr>
      <w:tr>
        <w:trPr>
          <w:trHeight w:val="234"/>
        </w:trPr>
        <w:tc>
          <w:tcPr>
            <w:tcW w:w="9700" w:type="dxa"/>
            <w:vAlign w:val="bottom"/>
          </w:tcPr>
          <w:p>
            <w:pPr>
              <w:spacing w:after="0" w:line="234" w:lineRule="exact"/>
              <w:rPr>
                <w:sz w:val="20"/>
                <w:szCs w:val="20"/>
                <w:color w:val="auto"/>
              </w:rPr>
            </w:pPr>
            <w:r>
              <w:rPr>
                <w:rFonts w:ascii="Calibri" w:cs="Calibri" w:eastAsia="Calibri" w:hAnsi="Calibri"/>
                <w:sz w:val="20"/>
                <w:szCs w:val="20"/>
                <w:color w:val="auto"/>
              </w:rPr>
              <w:t>Property and equipment, net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line="234" w:lineRule="exact"/>
              <w:rPr>
                <w:sz w:val="20"/>
                <w:szCs w:val="20"/>
                <w:color w:val="auto"/>
              </w:rPr>
            </w:pPr>
            <w:r>
              <w:rPr>
                <w:rFonts w:ascii="Calibri" w:cs="Calibri" w:eastAsia="Calibri" w:hAnsi="Calibri"/>
                <w:sz w:val="20"/>
                <w:szCs w:val="20"/>
                <w:color w:val="auto"/>
              </w:rPr>
              <w:t>261</w:t>
            </w:r>
          </w:p>
        </w:tc>
      </w:tr>
      <w:tr>
        <w:trPr>
          <w:trHeight w:val="244"/>
        </w:trPr>
        <w:tc>
          <w:tcPr>
            <w:tcW w:w="9700" w:type="dxa"/>
            <w:vAlign w:val="bottom"/>
            <w:shd w:val="clear" w:color="auto" w:fill="E5E5E5"/>
          </w:tcPr>
          <w:p>
            <w:pPr>
              <w:spacing w:after="0"/>
              <w:rPr>
                <w:sz w:val="20"/>
                <w:szCs w:val="20"/>
                <w:color w:val="auto"/>
              </w:rPr>
            </w:pPr>
            <w:r>
              <w:rPr>
                <w:rFonts w:ascii="Calibri" w:cs="Calibri" w:eastAsia="Calibri" w:hAnsi="Calibri"/>
                <w:sz w:val="20"/>
                <w:szCs w:val="20"/>
                <w:color w:val="auto"/>
              </w:rPr>
              <w:t>Inventory, non-current</w:t>
            </w:r>
          </w:p>
        </w:tc>
        <w:tc>
          <w:tcPr>
            <w:tcW w:w="2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12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43,776</w:t>
            </w:r>
          </w:p>
        </w:tc>
      </w:tr>
      <w:tr>
        <w:trPr>
          <w:trHeight w:val="245"/>
        </w:trPr>
        <w:tc>
          <w:tcPr>
            <w:tcW w:w="9700" w:type="dxa"/>
            <w:vAlign w:val="bottom"/>
            <w:tcBorders>
              <w:bottom w:val="single" w:sz="8" w:color="E5E5E5"/>
            </w:tcBorders>
          </w:tcPr>
          <w:p>
            <w:pPr>
              <w:spacing w:after="0"/>
              <w:rPr>
                <w:sz w:val="20"/>
                <w:szCs w:val="20"/>
                <w:color w:val="auto"/>
              </w:rPr>
            </w:pPr>
            <w:r>
              <w:rPr>
                <w:rFonts w:ascii="Calibri" w:cs="Calibri" w:eastAsia="Calibri" w:hAnsi="Calibri"/>
                <w:sz w:val="20"/>
                <w:szCs w:val="20"/>
                <w:color w:val="auto"/>
              </w:rPr>
              <w:t>Other assets, non-current</w:t>
            </w:r>
          </w:p>
        </w:tc>
        <w:tc>
          <w:tcPr>
            <w:tcW w:w="20" w:type="dxa"/>
            <w:vAlign w:val="bottom"/>
            <w:tcBorders>
              <w:bottom w:val="single" w:sz="8" w:color="E5E5E5"/>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206</w:t>
            </w:r>
          </w:p>
        </w:tc>
      </w:tr>
      <w:tr>
        <w:trPr>
          <w:trHeight w:val="233"/>
        </w:trPr>
        <w:tc>
          <w:tcPr>
            <w:tcW w:w="9700" w:type="dxa"/>
            <w:vAlign w:val="bottom"/>
            <w:shd w:val="clear" w:color="auto" w:fill="E5E5E5"/>
          </w:tcPr>
          <w:p>
            <w:pPr>
              <w:ind w:left="120"/>
              <w:spacing w:after="0" w:line="233" w:lineRule="exact"/>
              <w:rPr>
                <w:sz w:val="20"/>
                <w:szCs w:val="20"/>
                <w:color w:val="auto"/>
              </w:rPr>
            </w:pPr>
            <w:r>
              <w:rPr>
                <w:rFonts w:ascii="Calibri" w:cs="Calibri" w:eastAsia="Calibri" w:hAnsi="Calibri"/>
                <w:sz w:val="20"/>
                <w:szCs w:val="20"/>
                <w:color w:val="auto"/>
              </w:rPr>
              <w:t>Total assets of discontinued operations, non-current</w:t>
            </w:r>
          </w:p>
        </w:tc>
        <w:tc>
          <w:tcPr>
            <w:tcW w:w="20" w:type="dxa"/>
            <w:vAlign w:val="bottom"/>
            <w:shd w:val="clear" w:color="auto" w:fill="E5E5E5"/>
          </w:tcPr>
          <w:p>
            <w:pPr>
              <w:spacing w:after="0"/>
              <w:rPr>
                <w:sz w:val="20"/>
                <w:szCs w:val="20"/>
                <w:color w:val="auto"/>
              </w:rPr>
            </w:pPr>
          </w:p>
        </w:tc>
        <w:tc>
          <w:tcPr>
            <w:tcW w:w="200" w:type="dxa"/>
            <w:vAlign w:val="bottom"/>
            <w:tcBorders>
              <w:bottom w:val="single" w:sz="8" w:color="auto"/>
            </w:tcBorders>
            <w:shd w:val="clear" w:color="auto" w:fill="E5E5E5"/>
          </w:tcPr>
          <w:p>
            <w:pPr>
              <w:spacing w:after="0"/>
              <w:rPr>
                <w:sz w:val="20"/>
                <w:szCs w:val="20"/>
                <w:color w:val="auto"/>
              </w:rPr>
            </w:pPr>
          </w:p>
        </w:tc>
        <w:tc>
          <w:tcPr>
            <w:tcW w:w="1240" w:type="dxa"/>
            <w:vAlign w:val="bottom"/>
            <w:tcBorders>
              <w:bottom w:val="single" w:sz="8" w:color="auto"/>
            </w:tcBorders>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44,243</w:t>
            </w:r>
          </w:p>
        </w:tc>
      </w:tr>
      <w:tr>
        <w:trPr>
          <w:trHeight w:val="244"/>
        </w:trPr>
        <w:tc>
          <w:tcPr>
            <w:tcW w:w="9700" w:type="dxa"/>
            <w:vAlign w:val="bottom"/>
          </w:tcPr>
          <w:p>
            <w:pPr>
              <w:spacing w:after="0" w:line="235" w:lineRule="exact"/>
              <w:rPr>
                <w:sz w:val="20"/>
                <w:szCs w:val="20"/>
                <w:color w:val="auto"/>
              </w:rPr>
            </w:pPr>
            <w:r>
              <w:rPr>
                <w:rFonts w:ascii="Calibri" w:cs="Calibri" w:eastAsia="Calibri" w:hAnsi="Calibri"/>
                <w:sz w:val="20"/>
                <w:szCs w:val="20"/>
                <w:color w:val="auto"/>
              </w:rPr>
              <w:t>Total assets of discontinued operations</w:t>
            </w:r>
          </w:p>
        </w:tc>
        <w:tc>
          <w:tcPr>
            <w:tcW w:w="220" w:type="dxa"/>
            <w:vAlign w:val="bottom"/>
            <w:tcBorders>
              <w:bottom w:val="single" w:sz="8" w:color="auto"/>
            </w:tcBorders>
            <w:gridSpan w:val="2"/>
          </w:tcPr>
          <w:p>
            <w:pPr>
              <w:jc w:val="right"/>
              <w:ind w:right="40"/>
              <w:spacing w:after="0"/>
              <w:rPr>
                <w:sz w:val="20"/>
                <w:szCs w:val="20"/>
                <w:color w:val="auto"/>
              </w:rPr>
            </w:pPr>
            <w:r>
              <w:rPr>
                <w:rFonts w:ascii="Calibri" w:cs="Calibri" w:eastAsia="Calibri" w:hAnsi="Calibri"/>
                <w:sz w:val="16"/>
                <w:szCs w:val="16"/>
                <w:color w:val="auto"/>
                <w:w w:val="97"/>
              </w:rPr>
              <w:t>$</w:t>
            </w:r>
          </w:p>
        </w:tc>
        <w:tc>
          <w:tcPr>
            <w:tcW w:w="1240" w:type="dxa"/>
            <w:vAlign w:val="bottom"/>
            <w:tcBorders>
              <w:bottom w:val="single" w:sz="8" w:color="auto"/>
            </w:tcBorders>
          </w:tcPr>
          <w:p>
            <w:pPr>
              <w:jc w:val="right"/>
              <w:spacing w:after="0" w:line="235" w:lineRule="exact"/>
              <w:rPr>
                <w:sz w:val="20"/>
                <w:szCs w:val="20"/>
                <w:color w:val="auto"/>
              </w:rPr>
            </w:pPr>
            <w:r>
              <w:rPr>
                <w:rFonts w:ascii="Calibri" w:cs="Calibri" w:eastAsia="Calibri" w:hAnsi="Calibri"/>
                <w:sz w:val="20"/>
                <w:szCs w:val="20"/>
                <w:color w:val="auto"/>
              </w:rPr>
              <w:t>116,423</w:t>
            </w:r>
          </w:p>
        </w:tc>
      </w:tr>
    </w:tbl>
    <w:p>
      <w:pPr>
        <w:spacing w:after="0" w:line="200" w:lineRule="exact"/>
        <w:rPr>
          <w:sz w:val="20"/>
          <w:szCs w:val="20"/>
          <w:color w:val="auto"/>
        </w:rPr>
      </w:pP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97</w:t>
      </w:r>
    </w:p>
    <w:p>
      <w:pPr>
        <w:sectPr>
          <w:pgSz w:w="12240" w:h="15840" w:orient="portrait"/>
          <w:cols w:equalWidth="0" w:num="1">
            <w:col w:w="11160"/>
          </w:cols>
          <w:pgMar w:left="540" w:top="532" w:right="540" w:bottom="9" w:gutter="0" w:footer="0" w:header="0"/>
          <w:type w:val="continuous"/>
        </w:sectPr>
      </w:pPr>
    </w:p>
    <w:bookmarkStart w:id="99" w:name="page100"/>
    <w:bookmarkEnd w:id="99"/>
    <w:p>
      <w:pPr>
        <w:ind w:right="20" w:firstLine="720"/>
        <w:spacing w:after="0" w:line="262" w:lineRule="auto"/>
        <w:rPr>
          <w:sz w:val="20"/>
          <w:szCs w:val="20"/>
          <w:color w:val="auto"/>
        </w:rPr>
      </w:pPr>
      <w:r>
        <w:rPr>
          <w:rFonts w:ascii="Calibri" w:cs="Calibri" w:eastAsia="Calibri" w:hAnsi="Calibri"/>
          <w:sz w:val="20"/>
          <w:szCs w:val="20"/>
          <w:color w:val="auto"/>
        </w:rPr>
        <w:t>During 2024, the Company recorded $14.1 million in charges for the write-down of UDENYCA inventory that did not meet acceptance criteria which was classified in cost of goods sold of discontinued operations.</w:t>
      </w:r>
    </w:p>
    <w:p>
      <w:pPr>
        <w:spacing w:after="0" w:line="195" w:lineRule="exact"/>
        <w:rPr>
          <w:sz w:val="20"/>
          <w:szCs w:val="20"/>
          <w:color w:val="auto"/>
        </w:rPr>
      </w:pPr>
    </w:p>
    <w:p>
      <w:pPr>
        <w:ind w:firstLine="720"/>
        <w:spacing w:after="0" w:line="287" w:lineRule="auto"/>
        <w:rPr>
          <w:sz w:val="20"/>
          <w:szCs w:val="20"/>
          <w:color w:val="auto"/>
        </w:rPr>
      </w:pPr>
      <w:r>
        <w:rPr>
          <w:rFonts w:ascii="Calibri" w:cs="Calibri" w:eastAsia="Calibri" w:hAnsi="Calibri"/>
          <w:sz w:val="19"/>
          <w:szCs w:val="19"/>
          <w:color w:val="auto"/>
        </w:rPr>
        <w:t>The following table presents the balance sheet classifications of assets and liabilities that were related to the Company’s biosimilar businesses but did not transfer to any of the buyers in the Sale Transactions, and thus were not classified as discontinued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6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2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Calibri" w:cs="Calibri" w:eastAsia="Calibri" w:hAnsi="Calibri"/>
                <w:sz w:val="16"/>
                <w:szCs w:val="16"/>
                <w:b w:val="1"/>
                <w:bCs w:val="1"/>
                <w:color w:val="auto"/>
              </w:rPr>
              <w:t>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860" w:type="dxa"/>
            <w:vAlign w:val="bottom"/>
            <w:vMerge w:val="continue"/>
          </w:tcPr>
          <w:p>
            <w:pPr>
              <w:spacing w:after="0"/>
              <w:rPr>
                <w:sz w:val="16"/>
                <w:szCs w:val="16"/>
                <w:color w:val="auto"/>
              </w:rPr>
            </w:pPr>
          </w:p>
        </w:tc>
        <w:tc>
          <w:tcPr>
            <w:tcW w:w="2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6"/>
              <w:spacing w:after="0" w:line="185" w:lineRule="exact"/>
              <w:rPr>
                <w:sz w:val="20"/>
                <w:szCs w:val="20"/>
                <w:color w:val="auto"/>
              </w:rPr>
            </w:pPr>
            <w:r>
              <w:rPr>
                <w:rFonts w:ascii="Calibri" w:cs="Calibri" w:eastAsia="Calibri" w:hAnsi="Calibri"/>
                <w:sz w:val="16"/>
                <w:szCs w:val="16"/>
                <w:b w:val="1"/>
                <w:bCs w:val="1"/>
                <w:color w:val="auto"/>
              </w:rPr>
              <w:t>2025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3"/>
              <w:spacing w:after="0" w:line="185" w:lineRule="exact"/>
              <w:rPr>
                <w:sz w:val="20"/>
                <w:szCs w:val="20"/>
                <w:color w:val="auto"/>
              </w:rPr>
            </w:pPr>
            <w:r>
              <w:rPr>
                <w:rFonts w:ascii="Calibri" w:cs="Calibri" w:eastAsia="Calibri" w:hAnsi="Calibri"/>
                <w:sz w:val="16"/>
                <w:szCs w:val="16"/>
                <w:b w:val="1"/>
                <w:bCs w:val="1"/>
                <w:color w:val="auto"/>
              </w:rPr>
              <w:t>2024</w:t>
            </w:r>
          </w:p>
        </w:tc>
        <w:tc>
          <w:tcPr>
            <w:tcW w:w="0" w:type="dxa"/>
            <w:vAlign w:val="bottom"/>
          </w:tcPr>
          <w:p>
            <w:pPr>
              <w:spacing w:after="0"/>
              <w:rPr>
                <w:sz w:val="1"/>
                <w:szCs w:val="1"/>
                <w:color w:val="auto"/>
              </w:rPr>
            </w:pPr>
          </w:p>
        </w:tc>
      </w:tr>
      <w:tr>
        <w:trPr>
          <w:trHeight w:val="185"/>
        </w:trPr>
        <w:tc>
          <w:tcPr>
            <w:tcW w:w="5860" w:type="dxa"/>
            <w:vAlign w:val="bottom"/>
          </w:tcPr>
          <w:p>
            <w:pPr>
              <w:spacing w:after="0" w:line="185" w:lineRule="exact"/>
              <w:rPr>
                <w:sz w:val="20"/>
                <w:szCs w:val="20"/>
                <w:color w:val="auto"/>
              </w:rPr>
            </w:pPr>
            <w:r>
              <w:rPr>
                <w:rFonts w:ascii="Calibri" w:cs="Calibri" w:eastAsia="Calibri" w:hAnsi="Calibri"/>
                <w:sz w:val="16"/>
                <w:szCs w:val="16"/>
                <w:b w:val="1"/>
                <w:bCs w:val="1"/>
                <w:color w:val="auto"/>
              </w:rPr>
              <w:t>Assets</w:t>
            </w:r>
          </w:p>
        </w:tc>
        <w:tc>
          <w:tcPr>
            <w:tcW w:w="2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860" w:type="dxa"/>
            <w:vAlign w:val="bottom"/>
            <w:shd w:val="clear" w:color="auto" w:fill="E5E5E5"/>
          </w:tcPr>
          <w:p>
            <w:pPr>
              <w:spacing w:after="0" w:line="243" w:lineRule="exact"/>
              <w:rPr>
                <w:sz w:val="20"/>
                <w:szCs w:val="20"/>
                <w:color w:val="auto"/>
              </w:rPr>
            </w:pPr>
            <w:r>
              <w:rPr>
                <w:rFonts w:ascii="Calibri" w:cs="Calibri" w:eastAsia="Calibri" w:hAnsi="Calibri"/>
                <w:sz w:val="20"/>
                <w:szCs w:val="20"/>
                <w:color w:val="auto"/>
              </w:rPr>
              <w:t xml:space="preserve">Trade receivables, net </w:t>
            </w:r>
            <w:r>
              <w:rPr>
                <w:rFonts w:ascii="Calibri" w:cs="Calibri" w:eastAsia="Calibri" w:hAnsi="Calibri"/>
                <w:sz w:val="25"/>
                <w:szCs w:val="25"/>
                <w:color w:val="auto"/>
                <w:vertAlign w:val="superscript"/>
              </w:rPr>
              <w:t>(1)</w:t>
            </w:r>
          </w:p>
        </w:tc>
        <w:tc>
          <w:tcPr>
            <w:tcW w:w="2560" w:type="dxa"/>
            <w:vAlign w:val="bottom"/>
            <w:gridSpan w:val="2"/>
            <w:shd w:val="clear" w:color="auto" w:fill="E5E5E5"/>
          </w:tcPr>
          <w:p>
            <w:pPr>
              <w:jc w:val="right"/>
              <w:ind w:right="220"/>
              <w:spacing w:after="0"/>
              <w:rPr>
                <w:sz w:val="20"/>
                <w:szCs w:val="20"/>
                <w:color w:val="auto"/>
              </w:rPr>
            </w:pPr>
            <w:r>
              <w:rPr>
                <w:rFonts w:ascii="Calibri" w:cs="Calibri" w:eastAsia="Calibri" w:hAnsi="Calibri"/>
                <w:sz w:val="20"/>
                <w:szCs w:val="20"/>
                <w:color w:val="auto"/>
              </w:rPr>
              <w:t>$</w:t>
            </w:r>
          </w:p>
        </w:tc>
        <w:tc>
          <w:tcPr>
            <w:tcW w:w="10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(3,199)</w:t>
            </w:r>
          </w:p>
        </w:tc>
        <w:tc>
          <w:tcPr>
            <w:tcW w:w="220" w:type="dxa"/>
            <w:vAlign w:val="bottom"/>
            <w:shd w:val="clear" w:color="auto" w:fill="E5E5E5"/>
          </w:tcPr>
          <w:p>
            <w:pPr>
              <w:spacing w:after="0"/>
              <w:rPr>
                <w:sz w:val="21"/>
                <w:szCs w:val="21"/>
                <w:color w:val="auto"/>
              </w:rPr>
            </w:pPr>
          </w:p>
        </w:tc>
        <w:tc>
          <w:tcPr>
            <w:tcW w:w="460" w:type="dxa"/>
            <w:vAlign w:val="bottom"/>
            <w:gridSpan w:val="2"/>
            <w:shd w:val="clear" w:color="auto" w:fill="E5E5E5"/>
          </w:tcPr>
          <w:p>
            <w:pPr>
              <w:jc w:val="right"/>
              <w:ind w:right="280"/>
              <w:spacing w:after="0"/>
              <w:rPr>
                <w:sz w:val="20"/>
                <w:szCs w:val="20"/>
                <w:color w:val="auto"/>
              </w:rPr>
            </w:pPr>
            <w:r>
              <w:rPr>
                <w:rFonts w:ascii="Calibri" w:cs="Calibri" w:eastAsia="Calibri" w:hAnsi="Calibri"/>
                <w:sz w:val="20"/>
                <w:szCs w:val="20"/>
                <w:color w:val="auto"/>
              </w:rPr>
              <w:t>$</w:t>
            </w:r>
          </w:p>
        </w:tc>
        <w:tc>
          <w:tcPr>
            <w:tcW w:w="9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102,365</w:t>
            </w:r>
          </w:p>
        </w:tc>
        <w:tc>
          <w:tcPr>
            <w:tcW w:w="0" w:type="dxa"/>
            <w:vAlign w:val="bottom"/>
          </w:tcPr>
          <w:p>
            <w:pPr>
              <w:spacing w:after="0"/>
              <w:rPr>
                <w:sz w:val="1"/>
                <w:szCs w:val="1"/>
                <w:color w:val="auto"/>
              </w:rPr>
            </w:pPr>
          </w:p>
        </w:tc>
      </w:tr>
      <w:tr>
        <w:trPr>
          <w:trHeight w:val="242"/>
        </w:trPr>
        <w:tc>
          <w:tcPr>
            <w:tcW w:w="5860" w:type="dxa"/>
            <w:vAlign w:val="bottom"/>
          </w:tcPr>
          <w:p>
            <w:pPr>
              <w:spacing w:after="0"/>
              <w:rPr>
                <w:sz w:val="20"/>
                <w:szCs w:val="20"/>
                <w:color w:val="auto"/>
              </w:rPr>
            </w:pPr>
            <w:r>
              <w:rPr>
                <w:rFonts w:ascii="Calibri" w:cs="Calibri" w:eastAsia="Calibri" w:hAnsi="Calibri"/>
                <w:sz w:val="16"/>
                <w:szCs w:val="16"/>
                <w:b w:val="1"/>
                <w:bCs w:val="1"/>
                <w:color w:val="auto"/>
              </w:rPr>
              <w:t>Liabilities</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586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860" w:type="dxa"/>
            <w:vAlign w:val="bottom"/>
            <w:shd w:val="clear" w:color="auto" w:fill="E5E5E5"/>
          </w:tcPr>
          <w:p>
            <w:pPr>
              <w:spacing w:after="0"/>
              <w:rPr>
                <w:sz w:val="20"/>
                <w:szCs w:val="20"/>
                <w:color w:val="auto"/>
              </w:rPr>
            </w:pPr>
            <w:r>
              <w:rPr>
                <w:rFonts w:ascii="Calibri" w:cs="Calibri" w:eastAsia="Calibri" w:hAnsi="Calibri"/>
                <w:sz w:val="20"/>
                <w:szCs w:val="20"/>
                <w:color w:val="auto"/>
              </w:rPr>
              <w:t>Accrued rebates, fees and reserves</w:t>
            </w:r>
          </w:p>
        </w:tc>
        <w:tc>
          <w:tcPr>
            <w:tcW w:w="2560" w:type="dxa"/>
            <w:vAlign w:val="bottom"/>
            <w:gridSpan w:val="2"/>
            <w:shd w:val="clear" w:color="auto" w:fill="E5E5E5"/>
          </w:tcPr>
          <w:p>
            <w:pPr>
              <w:jc w:val="right"/>
              <w:ind w:right="220"/>
              <w:spacing w:after="0"/>
              <w:rPr>
                <w:sz w:val="20"/>
                <w:szCs w:val="20"/>
                <w:color w:val="auto"/>
              </w:rPr>
            </w:pPr>
            <w:r>
              <w:rPr>
                <w:rFonts w:ascii="Calibri" w:cs="Calibri" w:eastAsia="Calibri" w:hAnsi="Calibri"/>
                <w:sz w:val="20"/>
                <w:szCs w:val="20"/>
                <w:color w:val="auto"/>
              </w:rPr>
              <w:t>$</w:t>
            </w:r>
          </w:p>
        </w:tc>
        <w:tc>
          <w:tcPr>
            <w:tcW w:w="10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27,781</w:t>
            </w:r>
          </w:p>
        </w:tc>
        <w:tc>
          <w:tcPr>
            <w:tcW w:w="220" w:type="dxa"/>
            <w:vAlign w:val="bottom"/>
            <w:shd w:val="clear" w:color="auto" w:fill="E5E5E5"/>
          </w:tcPr>
          <w:p>
            <w:pPr>
              <w:jc w:val="right"/>
              <w:ind w:right="15"/>
              <w:spacing w:after="0"/>
              <w:rPr>
                <w:sz w:val="20"/>
                <w:szCs w:val="20"/>
                <w:color w:val="auto"/>
              </w:rPr>
            </w:pPr>
            <w:r>
              <w:rPr>
                <w:rFonts w:ascii="Calibri" w:cs="Calibri" w:eastAsia="Calibri" w:hAnsi="Calibri"/>
                <w:sz w:val="13"/>
                <w:szCs w:val="13"/>
                <w:color w:val="auto"/>
                <w:w w:val="82"/>
              </w:rPr>
              <w:t>(2)</w:t>
            </w:r>
          </w:p>
        </w:tc>
        <w:tc>
          <w:tcPr>
            <w:tcW w:w="460" w:type="dxa"/>
            <w:vAlign w:val="bottom"/>
            <w:gridSpan w:val="2"/>
            <w:shd w:val="clear" w:color="auto" w:fill="E5E5E5"/>
          </w:tcPr>
          <w:p>
            <w:pPr>
              <w:jc w:val="right"/>
              <w:ind w:right="280"/>
              <w:spacing w:after="0"/>
              <w:rPr>
                <w:sz w:val="20"/>
                <w:szCs w:val="20"/>
                <w:color w:val="auto"/>
              </w:rPr>
            </w:pPr>
            <w:r>
              <w:rPr>
                <w:rFonts w:ascii="Calibri" w:cs="Calibri" w:eastAsia="Calibri" w:hAnsi="Calibri"/>
                <w:sz w:val="20"/>
                <w:szCs w:val="20"/>
                <w:color w:val="auto"/>
              </w:rPr>
              <w:t>$</w:t>
            </w:r>
          </w:p>
        </w:tc>
        <w:tc>
          <w:tcPr>
            <w:tcW w:w="9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163,771</w:t>
            </w:r>
          </w:p>
        </w:tc>
        <w:tc>
          <w:tcPr>
            <w:tcW w:w="0" w:type="dxa"/>
            <w:vAlign w:val="bottom"/>
          </w:tcPr>
          <w:p>
            <w:pPr>
              <w:spacing w:after="0"/>
              <w:rPr>
                <w:sz w:val="1"/>
                <w:szCs w:val="1"/>
                <w:color w:val="auto"/>
              </w:rPr>
            </w:pPr>
          </w:p>
        </w:tc>
      </w:tr>
      <w:tr>
        <w:trPr>
          <w:trHeight w:val="244"/>
        </w:trPr>
        <w:tc>
          <w:tcPr>
            <w:tcW w:w="5860" w:type="dxa"/>
            <w:vAlign w:val="bottom"/>
          </w:tcPr>
          <w:p>
            <w:pPr>
              <w:spacing w:after="0"/>
              <w:rPr>
                <w:sz w:val="20"/>
                <w:szCs w:val="20"/>
                <w:color w:val="auto"/>
              </w:rPr>
            </w:pPr>
            <w:r>
              <w:rPr>
                <w:rFonts w:ascii="Calibri" w:cs="Calibri" w:eastAsia="Calibri" w:hAnsi="Calibri"/>
                <w:sz w:val="16"/>
                <w:szCs w:val="16"/>
                <w:b w:val="1"/>
                <w:bCs w:val="1"/>
                <w:color w:val="auto"/>
              </w:rPr>
              <w:t>Liabilities to be paid in connection with UDENYCA Sale</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586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5860" w:type="dxa"/>
            <w:vAlign w:val="bottom"/>
            <w:shd w:val="clear" w:color="auto" w:fill="E5E5E5"/>
          </w:tcPr>
          <w:p>
            <w:pPr>
              <w:spacing w:after="0"/>
              <w:rPr>
                <w:sz w:val="20"/>
                <w:szCs w:val="20"/>
                <w:color w:val="auto"/>
              </w:rPr>
            </w:pPr>
            <w:r>
              <w:rPr>
                <w:rFonts w:ascii="Calibri" w:cs="Calibri" w:eastAsia="Calibri" w:hAnsi="Calibri"/>
                <w:sz w:val="20"/>
                <w:szCs w:val="20"/>
                <w:color w:val="auto"/>
              </w:rPr>
              <w:t>Accrued and other current liabilities</w:t>
            </w:r>
          </w:p>
        </w:tc>
        <w:tc>
          <w:tcPr>
            <w:tcW w:w="2560" w:type="dxa"/>
            <w:vAlign w:val="bottom"/>
            <w:gridSpan w:val="2"/>
            <w:shd w:val="clear" w:color="auto" w:fill="E5E5E5"/>
          </w:tcPr>
          <w:p>
            <w:pPr>
              <w:jc w:val="right"/>
              <w:ind w:right="220"/>
              <w:spacing w:after="0"/>
              <w:rPr>
                <w:sz w:val="20"/>
                <w:szCs w:val="20"/>
                <w:color w:val="auto"/>
              </w:rPr>
            </w:pPr>
            <w:r>
              <w:rPr>
                <w:rFonts w:ascii="Calibri" w:cs="Calibri" w:eastAsia="Calibri" w:hAnsi="Calibri"/>
                <w:sz w:val="20"/>
                <w:szCs w:val="20"/>
                <w:color w:val="auto"/>
              </w:rPr>
              <w:t>$</w:t>
            </w:r>
          </w:p>
        </w:tc>
        <w:tc>
          <w:tcPr>
            <w:tcW w:w="10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220" w:type="dxa"/>
            <w:vAlign w:val="bottom"/>
            <w:shd w:val="clear" w:color="auto" w:fill="E5E5E5"/>
          </w:tcPr>
          <w:p>
            <w:pPr>
              <w:spacing w:after="0"/>
              <w:rPr>
                <w:sz w:val="23"/>
                <w:szCs w:val="23"/>
                <w:color w:val="auto"/>
              </w:rPr>
            </w:pPr>
          </w:p>
        </w:tc>
        <w:tc>
          <w:tcPr>
            <w:tcW w:w="460" w:type="dxa"/>
            <w:vAlign w:val="bottom"/>
            <w:gridSpan w:val="2"/>
            <w:shd w:val="clear" w:color="auto" w:fill="E5E5E5"/>
          </w:tcPr>
          <w:p>
            <w:pPr>
              <w:jc w:val="right"/>
              <w:ind w:right="280"/>
              <w:spacing w:after="0"/>
              <w:rPr>
                <w:sz w:val="20"/>
                <w:szCs w:val="20"/>
                <w:color w:val="auto"/>
              </w:rPr>
            </w:pPr>
            <w:r>
              <w:rPr>
                <w:rFonts w:ascii="Calibri" w:cs="Calibri" w:eastAsia="Calibri" w:hAnsi="Calibri"/>
                <w:sz w:val="20"/>
                <w:szCs w:val="20"/>
                <w:color w:val="auto"/>
              </w:rPr>
              <w:t>$</w:t>
            </w:r>
          </w:p>
        </w:tc>
        <w:tc>
          <w:tcPr>
            <w:tcW w:w="9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14,816</w:t>
            </w:r>
          </w:p>
        </w:tc>
        <w:tc>
          <w:tcPr>
            <w:tcW w:w="0" w:type="dxa"/>
            <w:vAlign w:val="bottom"/>
          </w:tcPr>
          <w:p>
            <w:pPr>
              <w:spacing w:after="0"/>
              <w:rPr>
                <w:sz w:val="1"/>
                <w:szCs w:val="1"/>
                <w:color w:val="auto"/>
              </w:rPr>
            </w:pPr>
          </w:p>
        </w:tc>
      </w:tr>
      <w:tr>
        <w:trPr>
          <w:trHeight w:val="269"/>
        </w:trPr>
        <w:tc>
          <w:tcPr>
            <w:tcW w:w="5860" w:type="dxa"/>
            <w:vAlign w:val="bottom"/>
          </w:tcPr>
          <w:p>
            <w:pPr>
              <w:spacing w:after="0"/>
              <w:rPr>
                <w:sz w:val="20"/>
                <w:szCs w:val="20"/>
                <w:color w:val="auto"/>
              </w:rPr>
            </w:pPr>
            <w:r>
              <w:rPr>
                <w:rFonts w:ascii="Calibri" w:cs="Calibri" w:eastAsia="Calibri" w:hAnsi="Calibri"/>
                <w:sz w:val="20"/>
                <w:szCs w:val="20"/>
                <w:color w:val="auto"/>
              </w:rPr>
              <w:t>Other liabilities, non-current</w:t>
            </w:r>
          </w:p>
        </w:tc>
        <w:tc>
          <w:tcPr>
            <w:tcW w:w="2560" w:type="dxa"/>
            <w:vAlign w:val="bottom"/>
            <w:gridSpan w:val="2"/>
          </w:tcPr>
          <w:p>
            <w:pPr>
              <w:jc w:val="right"/>
              <w:ind w:right="220"/>
              <w:spacing w:after="0"/>
              <w:rPr>
                <w:sz w:val="20"/>
                <w:szCs w:val="20"/>
                <w:color w:val="auto"/>
              </w:rPr>
            </w:pPr>
            <w:r>
              <w:rPr>
                <w:rFonts w:ascii="Calibri" w:cs="Calibri" w:eastAsia="Calibri" w:hAnsi="Calibri"/>
                <w:sz w:val="20"/>
                <w:szCs w:val="20"/>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color w:val="auto"/>
              </w:rPr>
              <w:t>—</w:t>
            </w:r>
          </w:p>
        </w:tc>
        <w:tc>
          <w:tcPr>
            <w:tcW w:w="220" w:type="dxa"/>
            <w:vAlign w:val="bottom"/>
          </w:tcPr>
          <w:p>
            <w:pPr>
              <w:spacing w:after="0"/>
              <w:rPr>
                <w:sz w:val="23"/>
                <w:szCs w:val="23"/>
                <w:color w:val="auto"/>
              </w:rPr>
            </w:pPr>
          </w:p>
        </w:tc>
        <w:tc>
          <w:tcPr>
            <w:tcW w:w="460" w:type="dxa"/>
            <w:vAlign w:val="bottom"/>
            <w:gridSpan w:val="2"/>
          </w:tcPr>
          <w:p>
            <w:pPr>
              <w:jc w:val="right"/>
              <w:ind w:right="280"/>
              <w:spacing w:after="0"/>
              <w:rPr>
                <w:sz w:val="20"/>
                <w:szCs w:val="20"/>
                <w:color w:val="auto"/>
              </w:rPr>
            </w:pPr>
            <w:r>
              <w:rPr>
                <w:rFonts w:ascii="Calibri" w:cs="Calibri" w:eastAsia="Calibri" w:hAnsi="Calibri"/>
                <w:sz w:val="20"/>
                <w:szCs w:val="20"/>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color w:val="auto"/>
              </w:rPr>
              <w:t>15,667</w:t>
            </w:r>
          </w:p>
        </w:tc>
        <w:tc>
          <w:tcPr>
            <w:tcW w:w="0" w:type="dxa"/>
            <w:vAlign w:val="bottom"/>
          </w:tcPr>
          <w:p>
            <w:pPr>
              <w:spacing w:after="0"/>
              <w:rPr>
                <w:sz w:val="1"/>
                <w:szCs w:val="1"/>
                <w:color w:val="auto"/>
              </w:rPr>
            </w:pPr>
          </w:p>
        </w:tc>
      </w:tr>
      <w:tr>
        <w:trPr>
          <w:trHeight w:val="269"/>
        </w:trPr>
        <w:tc>
          <w:tcPr>
            <w:tcW w:w="5860" w:type="dxa"/>
            <w:vAlign w:val="bottom"/>
            <w:shd w:val="clear" w:color="auto" w:fill="E5E5E5"/>
          </w:tcPr>
          <w:p>
            <w:pPr>
              <w:spacing w:after="0"/>
              <w:rPr>
                <w:sz w:val="20"/>
                <w:szCs w:val="20"/>
                <w:color w:val="auto"/>
              </w:rPr>
            </w:pPr>
            <w:r>
              <w:rPr>
                <w:rFonts w:ascii="Calibri" w:cs="Calibri" w:eastAsia="Calibri" w:hAnsi="Calibri"/>
                <w:sz w:val="20"/>
                <w:szCs w:val="20"/>
                <w:color w:val="auto"/>
              </w:rPr>
              <w:t>Convertible notes (Note 8)</w:t>
            </w:r>
          </w:p>
        </w:tc>
        <w:tc>
          <w:tcPr>
            <w:tcW w:w="2560" w:type="dxa"/>
            <w:vAlign w:val="bottom"/>
            <w:gridSpan w:val="2"/>
            <w:shd w:val="clear" w:color="auto" w:fill="E5E5E5"/>
          </w:tcPr>
          <w:p>
            <w:pPr>
              <w:jc w:val="right"/>
              <w:ind w:right="220"/>
              <w:spacing w:after="0"/>
              <w:rPr>
                <w:sz w:val="20"/>
                <w:szCs w:val="20"/>
                <w:color w:val="auto"/>
              </w:rPr>
            </w:pPr>
            <w:r>
              <w:rPr>
                <w:rFonts w:ascii="Calibri" w:cs="Calibri" w:eastAsia="Calibri" w:hAnsi="Calibri"/>
                <w:sz w:val="20"/>
                <w:szCs w:val="20"/>
                <w:color w:val="auto"/>
              </w:rPr>
              <w:t>$</w:t>
            </w:r>
          </w:p>
        </w:tc>
        <w:tc>
          <w:tcPr>
            <w:tcW w:w="10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220" w:type="dxa"/>
            <w:vAlign w:val="bottom"/>
            <w:shd w:val="clear" w:color="auto" w:fill="E5E5E5"/>
          </w:tcPr>
          <w:p>
            <w:pPr>
              <w:spacing w:after="0"/>
              <w:rPr>
                <w:sz w:val="23"/>
                <w:szCs w:val="23"/>
                <w:color w:val="auto"/>
              </w:rPr>
            </w:pPr>
          </w:p>
        </w:tc>
        <w:tc>
          <w:tcPr>
            <w:tcW w:w="460" w:type="dxa"/>
            <w:vAlign w:val="bottom"/>
            <w:gridSpan w:val="2"/>
            <w:shd w:val="clear" w:color="auto" w:fill="E5E5E5"/>
          </w:tcPr>
          <w:p>
            <w:pPr>
              <w:jc w:val="right"/>
              <w:ind w:right="280"/>
              <w:spacing w:after="0"/>
              <w:rPr>
                <w:sz w:val="20"/>
                <w:szCs w:val="20"/>
                <w:color w:val="auto"/>
              </w:rPr>
            </w:pPr>
            <w:r>
              <w:rPr>
                <w:rFonts w:ascii="Calibri" w:cs="Calibri" w:eastAsia="Calibri" w:hAnsi="Calibri"/>
                <w:sz w:val="20"/>
                <w:szCs w:val="20"/>
                <w:color w:val="auto"/>
              </w:rPr>
              <w:t>$</w:t>
            </w:r>
          </w:p>
        </w:tc>
        <w:tc>
          <w:tcPr>
            <w:tcW w:w="9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228,229</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360" w:hanging="353"/>
        <w:spacing w:after="0"/>
        <w:tabs>
          <w:tab w:leader="none" w:pos="360" w:val="left"/>
        </w:tabs>
        <w:numPr>
          <w:ilvl w:val="0"/>
          <w:numId w:val="62"/>
        </w:numPr>
        <w:rPr>
          <w:rFonts w:ascii="Calibri" w:cs="Calibri" w:eastAsia="Calibri" w:hAnsi="Calibri"/>
          <w:sz w:val="16"/>
          <w:szCs w:val="16"/>
          <w:color w:val="auto"/>
        </w:rPr>
      </w:pPr>
      <w:r>
        <w:rPr>
          <w:rFonts w:ascii="Calibri" w:cs="Calibri" w:eastAsia="Calibri" w:hAnsi="Calibri"/>
          <w:sz w:val="16"/>
          <w:szCs w:val="16"/>
          <w:color w:val="auto"/>
        </w:rPr>
        <w:t>Chargebacks and discounts for prompt payment are classified as a reduction in trade receivables.</w:t>
      </w:r>
    </w:p>
    <w:p>
      <w:pPr>
        <w:spacing w:after="0" w:line="16" w:lineRule="exact"/>
        <w:rPr>
          <w:rFonts w:ascii="Calibri" w:cs="Calibri" w:eastAsia="Calibri" w:hAnsi="Calibri"/>
          <w:sz w:val="16"/>
          <w:szCs w:val="16"/>
          <w:color w:val="auto"/>
        </w:rPr>
      </w:pPr>
    </w:p>
    <w:p>
      <w:pPr>
        <w:ind w:left="360" w:hanging="353"/>
        <w:spacing w:after="0"/>
        <w:tabs>
          <w:tab w:leader="none" w:pos="360" w:val="left"/>
        </w:tabs>
        <w:numPr>
          <w:ilvl w:val="0"/>
          <w:numId w:val="62"/>
        </w:numPr>
        <w:rPr>
          <w:rFonts w:ascii="Calibri" w:cs="Calibri" w:eastAsia="Calibri" w:hAnsi="Calibri"/>
          <w:sz w:val="16"/>
          <w:szCs w:val="16"/>
          <w:color w:val="auto"/>
        </w:rPr>
      </w:pPr>
      <w:r>
        <w:rPr>
          <w:rFonts w:ascii="Calibri" w:cs="Calibri" w:eastAsia="Calibri" w:hAnsi="Calibri"/>
          <w:sz w:val="16"/>
          <w:szCs w:val="16"/>
          <w:color w:val="auto"/>
        </w:rPr>
        <w:t>This balance is expected to be settled in a front-weighted fashion in 2026.</w:t>
      </w:r>
    </w:p>
    <w:p>
      <w:pPr>
        <w:spacing w:after="0" w:line="221"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Cash flows from continuing operations and discontinued operations have been presented together in the consolidated statements of cash flows. During the year ended December 31, 2025, operating cash flows of discontinued operations were primarily related to the adjustment for the net gain on UDENYCA Sale of $338.3 million, partially offset by the $11.8 million change in fair value for the UDENYCA portion of the Royalty Fee Derivative Liability and a loss on debt extinguishment of $10.3 million. During the year ended December 31, 2024, operating cash flows of discontinued operations were primarily related to the adjustment for the net gain on Sale Transactions of $176.6 million and an increase in UDENYCA inventory which resulted in a net cash outflow of $15.5 million.</w:t>
      </w:r>
    </w:p>
    <w:p>
      <w:pPr>
        <w:spacing w:after="0" w:line="215"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In connection with the Sale Transactions, the Company entered into separate TSAs with each of the buyers pursuant to which the Company is providing certain business support services including billings, collections, and the remittance of rebates, to ensure business continuity for patients and customers for specified periods. Under each of the TSAs, the Company is entitled to be reimbursed for its costs. Such reimbursements were $2.4 million and $2.5 million for the years ended December 31, 2025 and 2024, respectively, and were recorded as a reduction to operating expenses or in other income (expense), net in the consolidated statements of operations.</w:t>
      </w:r>
    </w:p>
    <w:p>
      <w:pPr>
        <w:spacing w:after="0" w:line="215" w:lineRule="exact"/>
        <w:rPr>
          <w:sz w:val="20"/>
          <w:szCs w:val="20"/>
          <w:color w:val="auto"/>
        </w:rPr>
      </w:pPr>
    </w:p>
    <w:p>
      <w:pPr>
        <w:ind w:left="720" w:hanging="713"/>
        <w:spacing w:after="0"/>
        <w:tabs>
          <w:tab w:leader="none" w:pos="720" w:val="left"/>
        </w:tabs>
        <w:numPr>
          <w:ilvl w:val="0"/>
          <w:numId w:val="6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Collaborations and Other Arrangements</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i w:val="1"/>
          <w:iCs w:val="1"/>
          <w:color w:val="auto"/>
        </w:rPr>
        <w:t>In-Licensing Agreements</w:t>
      </w:r>
    </w:p>
    <w:p>
      <w:pPr>
        <w:spacing w:after="0" w:line="23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Junshi Biosciences</w:t>
      </w:r>
    </w:p>
    <w:p>
      <w:pPr>
        <w:spacing w:after="0" w:line="241"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On February 1, 2021, the Company entered into the Collaboration Agreement with Junshi Biosciences for the co-development and commercialization of LOQTORZI, Junshi Biosciences’ anti-PD-1 antibody, in the United States and Canada.</w:t>
      </w:r>
    </w:p>
    <w:p>
      <w:pPr>
        <w:spacing w:after="0" w:line="195"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Under the terms of the Collaboration Agreement, the Company paid $150.0 million upfront for exclusive rights to LOQTORZI in the United States and Canada, an option in these territories to Junshi Biosciences’ anti-TIGIT antibody CHS-006, an option in these territories to a next-generation engineered IL-2 cytokine, and certain negotiation rights to two undisclosed preclinical immuno-oncology drug candidates. The Company became obligated to pay Junshi Biosciences a royalty in the low twenty percent range on net sales of LOQTORZI and potentially up to an aggregate $380.0 million in one-time payments for the achievement of various regulatory and sales milestones, of which $25.0 million has already been paid.</w:t>
      </w:r>
    </w:p>
    <w:p>
      <w:pPr>
        <w:spacing w:after="0" w:line="215" w:lineRule="exact"/>
        <w:rPr>
          <w:sz w:val="20"/>
          <w:szCs w:val="20"/>
          <w:color w:val="auto"/>
        </w:rPr>
      </w:pPr>
    </w:p>
    <w:p>
      <w:pPr>
        <w:jc w:val="both"/>
        <w:ind w:firstLine="720"/>
        <w:spacing w:after="0" w:line="258" w:lineRule="auto"/>
        <w:rPr>
          <w:sz w:val="20"/>
          <w:szCs w:val="20"/>
          <w:color w:val="auto"/>
        </w:rPr>
      </w:pPr>
      <w:r>
        <w:rPr>
          <w:rFonts w:ascii="Calibri" w:cs="Calibri" w:eastAsia="Calibri" w:hAnsi="Calibri"/>
          <w:sz w:val="19"/>
          <w:szCs w:val="19"/>
          <w:color w:val="auto"/>
        </w:rPr>
        <w:t>In March 2022, the Company paid $35.0 million to exercise its option to license CHS-006. Thereafter, Junshi Biosciences and the Company jointly developed CHS-006 with each party responsible for the associated development costs as set forth in the Collaboration Agreement. However, on January 10, 2024, the Company announced that it delivered a notice of termination of the TIGIT Program (as defined in the Collaboration Agreement) to Junshi Biosciences and subsequently wound down related work following the termination. Under the Collaboration Agreement, the Company retains the right to collaborate in the development of LOQTORZI and the other licensed compounds and would pay for a portion of these co-development activities. Additionally, the Company is responsible for certain associated regulatory and technology transfer costs for LOQTORZI and other licensed compounds and will reimburse Junshi Biosciences for such costs.</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98</w:t>
      </w:r>
    </w:p>
    <w:p>
      <w:pPr>
        <w:sectPr>
          <w:pgSz w:w="12240" w:h="15840" w:orient="portrait"/>
          <w:cols w:equalWidth="0" w:num="1">
            <w:col w:w="11160"/>
          </w:cols>
          <w:pgMar w:left="540" w:top="532" w:right="540" w:bottom="9" w:gutter="0" w:footer="0" w:header="0"/>
          <w:type w:val="continuous"/>
        </w:sectPr>
      </w:pPr>
    </w:p>
    <w:bookmarkStart w:id="100" w:name="page101"/>
    <w:bookmarkEnd w:id="100"/>
    <w:p>
      <w:pPr>
        <w:jc w:val="both"/>
        <w:ind w:firstLine="720"/>
        <w:spacing w:after="0" w:line="238" w:lineRule="auto"/>
        <w:rPr>
          <w:sz w:val="20"/>
          <w:szCs w:val="20"/>
          <w:color w:val="auto"/>
        </w:rPr>
      </w:pPr>
      <w:r>
        <w:rPr>
          <w:rFonts w:ascii="Calibri" w:cs="Calibri" w:eastAsia="Calibri" w:hAnsi="Calibri"/>
          <w:sz w:val="19"/>
          <w:szCs w:val="19"/>
          <w:color w:val="auto"/>
        </w:rPr>
        <w:t>On October 27, 2023, LOQTORZI was approved by the FDA in combination with cisplatin and gemcitabine for the first-line treatment of adults with metastatic or recurrent locally advanced NPC, and as monotherapy for the treatment of adults with recurrent, unresectable, or metastatic NPC with disease progression on or after platinum-containing chemotherapy. As a result, a $25.0 million milestone payment became due to Junshi Biosciences in the first quarter of 2024 pursuant to the Collaboration Agreement. In March 2024, the Company entered into an Amendment No. 2 to the Collaboration Agreement (the “2</w:t>
      </w:r>
      <w:r>
        <w:rPr>
          <w:rFonts w:ascii="Calibri" w:cs="Calibri" w:eastAsia="Calibri" w:hAnsi="Calibri"/>
          <w:sz w:val="24"/>
          <w:szCs w:val="24"/>
          <w:color w:val="auto"/>
          <w:vertAlign w:val="superscript"/>
        </w:rPr>
        <w:t>nd</w:t>
      </w:r>
      <w:r>
        <w:rPr>
          <w:rFonts w:ascii="Calibri" w:cs="Calibri" w:eastAsia="Calibri" w:hAnsi="Calibri"/>
          <w:sz w:val="19"/>
          <w:szCs w:val="19"/>
          <w:color w:val="auto"/>
        </w:rPr>
        <w:t xml:space="preserve"> Amendment”) with Junshi Biosciences to revise the timing of the $25.0 million milestone payment. Under the terms of the 2</w:t>
      </w:r>
      <w:r>
        <w:rPr>
          <w:rFonts w:ascii="Calibri" w:cs="Calibri" w:eastAsia="Calibri" w:hAnsi="Calibri"/>
          <w:sz w:val="24"/>
          <w:szCs w:val="24"/>
          <w:color w:val="auto"/>
          <w:vertAlign w:val="superscript"/>
        </w:rPr>
        <w:t>nd</w:t>
      </w:r>
      <w:r>
        <w:rPr>
          <w:rFonts w:ascii="Calibri" w:cs="Calibri" w:eastAsia="Calibri" w:hAnsi="Calibri"/>
          <w:sz w:val="19"/>
          <w:szCs w:val="19"/>
          <w:color w:val="auto"/>
        </w:rPr>
        <w:t xml:space="preserve"> Amendment, the $25.0 million milestone payment was split into two installments of $12.5 million each, with one paid in the second quarter of 2024 and one paid in January of 2025.</w:t>
      </w:r>
    </w:p>
    <w:p>
      <w:pPr>
        <w:spacing w:after="0" w:line="218"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The licensing transaction and the exercise of the option were accounted for as asset acquisitions under the relevant accounting</w:t>
      </w:r>
    </w:p>
    <w:p>
      <w:pPr>
        <w:spacing w:after="0" w:line="22" w:lineRule="exact"/>
        <w:rPr>
          <w:sz w:val="20"/>
          <w:szCs w:val="20"/>
          <w:color w:val="auto"/>
        </w:rPr>
      </w:pPr>
    </w:p>
    <w:p>
      <w:pPr>
        <w:jc w:val="both"/>
        <w:spacing w:after="0" w:line="246" w:lineRule="auto"/>
        <w:rPr>
          <w:sz w:val="20"/>
          <w:szCs w:val="20"/>
          <w:color w:val="auto"/>
        </w:rPr>
      </w:pPr>
      <w:r>
        <w:rPr>
          <w:rFonts w:ascii="Calibri" w:cs="Calibri" w:eastAsia="Calibri" w:hAnsi="Calibri"/>
          <w:sz w:val="19"/>
          <w:szCs w:val="19"/>
          <w:color w:val="auto"/>
        </w:rPr>
        <w:t xml:space="preserve">rules. During the year ended December 31, 2025, the research and development expense recognized for obligations to Junshi Biosciences, </w:t>
      </w:r>
      <w:r>
        <w:rPr>
          <w:rFonts w:ascii="Segoe UI" w:cs="Segoe UI" w:eastAsia="Segoe UI" w:hAnsi="Segoe UI"/>
          <w:sz w:val="17"/>
          <w:szCs w:val="17"/>
          <w:color w:val="auto"/>
        </w:rPr>
        <w:t xml:space="preserve">as well as the related balance sheet position as of that date, </w:t>
      </w:r>
      <w:r>
        <w:rPr>
          <w:rFonts w:ascii="Calibri" w:cs="Calibri" w:eastAsia="Calibri" w:hAnsi="Calibri"/>
          <w:sz w:val="19"/>
          <w:szCs w:val="19"/>
          <w:color w:val="auto"/>
        </w:rPr>
        <w:t>were not material. During December 31, 2024, the Company recognized a</w:t>
      </w:r>
    </w:p>
    <w:p>
      <w:pPr>
        <w:jc w:val="both"/>
        <w:spacing w:after="0" w:line="223" w:lineRule="auto"/>
        <w:rPr>
          <w:sz w:val="20"/>
          <w:szCs w:val="20"/>
          <w:color w:val="auto"/>
        </w:rPr>
      </w:pPr>
      <w:r>
        <w:rPr>
          <w:rFonts w:ascii="Calibri" w:cs="Calibri" w:eastAsia="Calibri" w:hAnsi="Calibri"/>
          <w:sz w:val="20"/>
          <w:szCs w:val="20"/>
          <w:color w:val="auto"/>
        </w:rPr>
        <w:t>reduction in research and development expenses for the release of certain liabilities of $4.8 million pursuant to the 2</w:t>
      </w:r>
      <w:r>
        <w:rPr>
          <w:rFonts w:ascii="Calibri" w:cs="Calibri" w:eastAsia="Calibri" w:hAnsi="Calibri"/>
          <w:sz w:val="25"/>
          <w:szCs w:val="25"/>
          <w:color w:val="auto"/>
          <w:vertAlign w:val="superscript"/>
        </w:rPr>
        <w:t>nd</w:t>
      </w:r>
      <w:r>
        <w:rPr>
          <w:rFonts w:ascii="Calibri" w:cs="Calibri" w:eastAsia="Calibri" w:hAnsi="Calibri"/>
          <w:sz w:val="20"/>
          <w:szCs w:val="20"/>
          <w:color w:val="auto"/>
        </w:rPr>
        <w:t xml:space="preserve"> Amendment with Junshi Biosciences. In the consolidated balance sheets as of December 31, 2024, the Company classified $12.5 million in accrued and other current liabilities, as well as $0.4 million in accounts payable, related to the co-development, regulatory and technology transfer costs related to these programs.</w:t>
      </w:r>
    </w:p>
    <w:p>
      <w:pPr>
        <w:spacing w:after="0" w:line="219"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The accrued royalty obligation to Junshi Biosciences was $4.7 million and $1.5 million as of December 31, 2025 and 2024, respectively. The additional milestone payments, option fee for the IL-2 cytokine and royalties are contingent upon future events and, therefore, will be recorded if and when it becomes probable that a milestone will be achieved, or when an option fee or royalties are contractually payable.</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Apotex</w:t>
      </w:r>
    </w:p>
    <w:p>
      <w:pPr>
        <w:spacing w:after="0" w:line="241" w:lineRule="exact"/>
        <w:rPr>
          <w:sz w:val="20"/>
          <w:szCs w:val="20"/>
          <w:color w:val="auto"/>
        </w:rPr>
      </w:pPr>
    </w:p>
    <w:p>
      <w:pPr>
        <w:jc w:val="both"/>
        <w:ind w:firstLine="490"/>
        <w:spacing w:after="0" w:line="242" w:lineRule="auto"/>
        <w:rPr>
          <w:sz w:val="20"/>
          <w:szCs w:val="20"/>
          <w:color w:val="auto"/>
        </w:rPr>
      </w:pPr>
      <w:r>
        <w:rPr>
          <w:rFonts w:ascii="Calibri" w:cs="Calibri" w:eastAsia="Calibri" w:hAnsi="Calibri"/>
          <w:sz w:val="20"/>
          <w:szCs w:val="20"/>
          <w:color w:val="auto"/>
        </w:rPr>
        <w:t>On June 27, 2024, the Company entered into the Canada License Agreement with Apotex, pursuant to which, the Company granted to Apotex an exclusive license under the Company’s rights to toripalimab to commercialize toripalimab within Canada. Pursuant to the Canada License Agreement, Apotex paid the Company an upfront payment of $6.3 million United States Dollars which was classified as net revenue in the consolidated statements of operations for the year ended December 31, 2024. In addition, Apotex agreed to pay the Company up to an aggregate of $51.5 million Canadian Dollars in milestone payments in connection with the achievement of certain regulatory and sales milestones with respect to toripalimab in Canada. Apotex also agreed to pay the Company a low twenty percent range on future net sales of toripalimab in Canada as running royalties, which the Company subsequently pays through to Junshi Biosciences pursuant to the Collaboration Agreement. Net sales in Canada are also included in calculating sales milestones payable by the Company to Junshi Biosciences under the Collaboration Agreement, although any actual milestone payments received from Apotex are retained by the Company.</w:t>
      </w:r>
    </w:p>
    <w:p>
      <w:pPr>
        <w:spacing w:after="0" w:line="219" w:lineRule="exact"/>
        <w:rPr>
          <w:sz w:val="20"/>
          <w:szCs w:val="20"/>
          <w:color w:val="auto"/>
        </w:rPr>
      </w:pPr>
    </w:p>
    <w:p>
      <w:pPr>
        <w:jc w:val="both"/>
        <w:ind w:firstLine="490"/>
        <w:spacing w:after="0" w:line="244" w:lineRule="auto"/>
        <w:rPr>
          <w:sz w:val="20"/>
          <w:szCs w:val="20"/>
          <w:color w:val="auto"/>
        </w:rPr>
      </w:pPr>
      <w:r>
        <w:rPr>
          <w:rFonts w:ascii="Calibri" w:cs="Calibri" w:eastAsia="Calibri" w:hAnsi="Calibri"/>
          <w:sz w:val="20"/>
          <w:szCs w:val="20"/>
          <w:color w:val="auto"/>
        </w:rPr>
        <w:t>Apotex received Health Canada approval for LOQTORZI for the treatment of recurrent unresectable or metastatic nasopharyngeal cancer in October 2025. The Canada License Agreement term continues until the tenth year after the first commercial sales of toripalimab in Canada, which occurred in January 2026, subject to an extension for a subsequent ten-year term at the option of Apotex. Apotex may terminate the Canada License Agreement for any reason after a specified notice period. The Canada License Agreement will terminate automatically if the rights granted to the Company by the Collaboration Agreement are terminated, if there is a material breach that is not cured, if there are certain challenges to licensed patents by Apotex and in the case of certain insolvency events.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Adimab Development and Option Agreement</w:t>
      </w:r>
    </w:p>
    <w:p>
      <w:pPr>
        <w:spacing w:after="0" w:line="240"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In October 2018, Surface and Adimab entered into the A&amp;R Adimab Agreement, which amended and restated the Original Adimab Agreement, for the discovery and optimization of proprietary antibodies as potential therapeutic product candidates. Under the A&amp;R Adimab Agreement, the Company will select biological targets against which Adimab will use its proprietary platform technology to research and develop antibody proteins using a mutually agreed upon research plan. The A&amp;R Adimab Agreement, among other things, provided access to additional antibodies and expanded the Company’s right to evaluate and use antibodies that were modified or derived using Adimab technology for diagnostic purposes.</w:t>
      </w:r>
    </w:p>
    <w:p>
      <w:pPr>
        <w:spacing w:after="0" w:line="216"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Adimab granted the Company the Research Option. In addition, Adimab granted the Company the Commercialization Option. Upon the exercise of a Commercialization Option, and payment of the applicable option fee to Adimab, Adimab will assign the Company the patents that cover the antibodies selected by such Commercialization Option. The Company will be required to use commercially reasonable efforts to develop, seek market approval of, and commercialize at least one antibody against the target covered by the Commercialization Option in specified markets upon the exercise of a Commercialization Option.</w:t>
      </w:r>
    </w:p>
    <w:p>
      <w:pPr>
        <w:sectPr>
          <w:pgSz w:w="12240" w:h="15840" w:orient="portrait"/>
          <w:cols w:equalWidth="0" w:num="1">
            <w:col w:w="11160"/>
          </w:cols>
          <w:pgMar w:left="540" w:top="532" w:right="540" w:bottom="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99</w:t>
      </w:r>
    </w:p>
    <w:p>
      <w:pPr>
        <w:sectPr>
          <w:pgSz w:w="12240" w:h="15840" w:orient="portrait"/>
          <w:cols w:equalWidth="0" w:num="1">
            <w:col w:w="11160"/>
          </w:cols>
          <w:pgMar w:left="540" w:top="532" w:right="540" w:bottom="9" w:gutter="0" w:footer="0" w:header="0"/>
          <w:type w:val="continuous"/>
        </w:sectPr>
      </w:pPr>
    </w:p>
    <w:bookmarkStart w:id="101" w:name="page102"/>
    <w:bookmarkEnd w:id="101"/>
    <w:p>
      <w:pPr>
        <w:jc w:val="both"/>
        <w:ind w:firstLine="720"/>
        <w:spacing w:after="0" w:line="241" w:lineRule="auto"/>
        <w:rPr>
          <w:sz w:val="20"/>
          <w:szCs w:val="20"/>
          <w:color w:val="auto"/>
        </w:rPr>
      </w:pPr>
      <w:r>
        <w:rPr>
          <w:rFonts w:ascii="Calibri" w:cs="Calibri" w:eastAsia="Calibri" w:hAnsi="Calibri"/>
          <w:sz w:val="20"/>
          <w:szCs w:val="20"/>
          <w:color w:val="auto"/>
        </w:rPr>
        <w:t>Under the A&amp;R Adimab Agreement, the Company is obligated to make milestone payments and to pay specified fees upon the exercise of the Research Option or Commercialization Option. Upon exercise of a Research Option, the Company is obligated to pay a nominal research maintenance fee on each of the next four anniversaries of the exercise. Upon the exercise of each Commercialization Option, the Company will be required to pay an option exercise fee of a low seven-digit dollar amount, and the Company may be responsible for remaining potential milestone payments up to an aggregate of $10.5 million for each licensed product that receives marketing approval. For any licensed product that is commercialized, the Company is obligated to pay Adimab tiered royalties of a low to mid single-digit percentage on worldwide net sales of such product. The Company may also partially exercise a Commercialization Option with respect to ten antibodies against a biological target by paying 65% of the option fee and later either (i) paying the balance and choosing additional antibodies for commercialization, up to the maximum number under the Commercialization Option, or (ii) foregoing the Commercialization Option entirely. For any Adimab diagnostic product that is used with or in connection with any compound or product other than a licensed antibody or licensed product, the Company is obligated to pay Adimab up to a low seven digits in regulatory milestone payments and low single-digit royalties on net sales. No additional payment is due with respect to any companion diagnostic or any diagnostic product that does not contain any licensed antibody.</w:t>
      </w:r>
    </w:p>
    <w:p>
      <w:pPr>
        <w:spacing w:after="0" w:line="22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Vaccinex License Agreement</w:t>
      </w:r>
    </w:p>
    <w:p>
      <w:pPr>
        <w:spacing w:after="0" w:line="240"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On March 23, 2021, Surface and Vaccinex entered into the Vaccinex License Agreement which provides the Company a worldwide, exclusive, sublicensable license to make, have made, use, sell, offer to sell, have sold, import, and otherwise exploit Vaccinex Licensed Products, including the antibody tagmokitug, targeting CCR8. Under the Vaccinex License Agreement, the Company is obligated to use commercially reasonable efforts to develop, clinically test, achieve regulatory approval, manufacture, market and commercialize at least one Vaccinex Licensed Product.</w:t>
      </w:r>
    </w:p>
    <w:p>
      <w:pPr>
        <w:spacing w:after="0" w:line="214"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The Company is responsible for all costs and expenses of such development, manufacturing and commercialization. Vaccinex is eligible to receive potential remaining milestones up to $2.0 million based on achievement of certain clinical milestones, excluding a $1.0 million milestone payment accrued at December 31, 2025, and up to $11.5 million based on achievement of certain regulatory milestones per Vaccinex Licensed Product, and low single-digit royalties on global net sales of any approved licensed products.</w:t>
      </w:r>
    </w:p>
    <w:p>
      <w:pPr>
        <w:spacing w:after="0" w:line="212"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As of December 31, 2025, the Company has accrued a $1.0 million milestone payment to Vaccinex related to the achievement of a clinical milestone, which was paid in January 2026. Any additional milestone payments and royalties under the Vaccinex License Agreement are contingent upon the achievement of future development, regulatory, or commercial events and will be recorded if and when it becomes probable that a milestone will be achieved, or when royalties are contractually payable.</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GSK Agreement</w:t>
      </w:r>
    </w:p>
    <w:p>
      <w:pPr>
        <w:spacing w:after="0" w:line="240"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In December 2020, Surface entered into the GSK Agreement. Pursuant to the GSK Agreement, Surface granted GSK a worldwide exclusive, sublicensable license to develop, manufacture and commercialize antibodies that target PVRIG, including the antibody GSK4381562 (the “Licensed Antibodies”). GSK was responsible for the development, manufacturing and commercialization of the Licensed Antibodies and a joint development committee was formed to facilitate information sharing. GSK was responsible for all costs and expenses of such development, manufacturing and commercialization and was obligated to provide us with updates on its development, manufacturing and commercialization activities through the joint development committee. In March 2022, Surface earned a $30.0 million milestone payment from GSK upon the dosing of the first patient in the Phase 1 trial of GSK4381562. GSK terminated the GSK Agreement effective December 16, 2025, and the Company recorded a net charge of $1.6 million in selling, general and administrative expenses in the consolidated statements of operations during the year ended December 31, 2025 (see Note 5. Balance Sheet Components). Coherus has elected not to pursue further development of the Licensed Antibodies.</w:t>
      </w:r>
    </w:p>
    <w:p>
      <w:pPr>
        <w:spacing w:after="0" w:line="22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Memorial Sloan Kettering Cancer Center License Agreement</w:t>
      </w:r>
    </w:p>
    <w:p>
      <w:pPr>
        <w:spacing w:after="0" w:line="240"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In November 2020, Surface entered into a license agreement (the “MSK Agreement”) with Memorial Sloan Kettering Cancer Center (“MSK”). Under the agreement, MSK granted the Company a non-exclusive license to certain U.S. patent rights relating to methods of treating cancer with CCR8 antibodies to research, develop, make, use, sell, offer for sale, and import CCR8 antibodies intended to treat cancer. Under the MSK Agreement, each of the CCR8 antibodies is a licensed product and the Company may be responsible for remaining potential milestone payments up to an aggregate of $7.2 million for each licensed product, as well as reimburse MSK for a portion of past and future patent-related expenses. For any licensed product that is commercialized, the Company is obligated to pay MSK a low single-digit percentage royalty on net U.S. sales of such product.</w:t>
      </w:r>
    </w:p>
    <w:p>
      <w:pPr>
        <w:spacing w:after="0" w:line="220" w:lineRule="exact"/>
        <w:rPr>
          <w:sz w:val="20"/>
          <w:szCs w:val="20"/>
          <w:color w:val="auto"/>
        </w:rPr>
      </w:pPr>
    </w:p>
    <w:p>
      <w:pPr>
        <w:jc w:val="both"/>
        <w:ind w:firstLine="720"/>
        <w:spacing w:after="0" w:line="287" w:lineRule="auto"/>
        <w:rPr>
          <w:sz w:val="20"/>
          <w:szCs w:val="20"/>
          <w:color w:val="auto"/>
        </w:rPr>
      </w:pPr>
      <w:r>
        <w:rPr>
          <w:rFonts w:ascii="Calibri" w:cs="Calibri" w:eastAsia="Calibri" w:hAnsi="Calibri"/>
          <w:sz w:val="19"/>
          <w:szCs w:val="19"/>
          <w:color w:val="auto"/>
        </w:rPr>
        <w:t>The MSK Agreement will remain in effect on a licensed product-by-licensed product basis until the later of when there is no longer a valid patent claim covering the composition, manufacture or use of such licensed product or ten years from the date of first commercial</w:t>
      </w:r>
    </w:p>
    <w:p>
      <w:pPr>
        <w:sectPr>
          <w:pgSz w:w="12240" w:h="15840" w:orient="portrait"/>
          <w:cols w:equalWidth="0" w:num="1">
            <w:col w:w="11160"/>
          </w:cols>
          <w:pgMar w:left="540" w:top="532" w:right="54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100</w:t>
      </w:r>
    </w:p>
    <w:p>
      <w:pPr>
        <w:sectPr>
          <w:pgSz w:w="12240" w:h="15840" w:orient="portrait"/>
          <w:cols w:equalWidth="0" w:num="1">
            <w:col w:w="11160"/>
          </w:cols>
          <w:pgMar w:left="540" w:top="532" w:right="540" w:bottom="0" w:gutter="0" w:footer="0" w:header="0"/>
          <w:type w:val="continuous"/>
        </w:sectPr>
      </w:pPr>
    </w:p>
    <w:bookmarkStart w:id="102" w:name="page103"/>
    <w:bookmarkEnd w:id="102"/>
    <w:p>
      <w:pPr>
        <w:jc w:val="both"/>
        <w:spacing w:after="0" w:line="244" w:lineRule="auto"/>
        <w:rPr>
          <w:sz w:val="20"/>
          <w:szCs w:val="20"/>
          <w:color w:val="auto"/>
        </w:rPr>
      </w:pPr>
      <w:r>
        <w:rPr>
          <w:rFonts w:ascii="Calibri" w:cs="Calibri" w:eastAsia="Calibri" w:hAnsi="Calibri"/>
          <w:sz w:val="20"/>
          <w:szCs w:val="20"/>
          <w:color w:val="auto"/>
        </w:rPr>
        <w:t>sale of such licensed product in the U.S. The Company may terminate the MSK Agreement for any reason with thirty days prior written notice to MSK. MSK may terminate the MSK Agreement immediately upon written notice if the Company is convicted of a felony relating to the manufacture, use or sale of a licensed product anywhere the Company may manufacture, use or sell the licensed product, or, with a specified notice period, in the event of our insolvency, bankruptcy, or cessation of business operations. MSK may also terminate the MSK Agreement for nonpayment of any fees, milestones or royalties if such payment(s) remain past due for a specified period of time, and for an uncured material breach.</w:t>
      </w:r>
    </w:p>
    <w:p>
      <w:pPr>
        <w:spacing w:after="0" w:line="216" w:lineRule="exact"/>
        <w:rPr>
          <w:sz w:val="20"/>
          <w:szCs w:val="20"/>
          <w:color w:val="auto"/>
        </w:rPr>
      </w:pPr>
    </w:p>
    <w:p>
      <w:pPr>
        <w:jc w:val="both"/>
        <w:ind w:firstLine="720"/>
        <w:spacing w:after="0" w:line="250" w:lineRule="auto"/>
        <w:rPr>
          <w:sz w:val="20"/>
          <w:szCs w:val="20"/>
          <w:color w:val="auto"/>
        </w:rPr>
      </w:pPr>
      <w:r>
        <w:rPr>
          <w:rFonts w:ascii="Calibri" w:cs="Calibri" w:eastAsia="Calibri" w:hAnsi="Calibri"/>
          <w:sz w:val="20"/>
          <w:szCs w:val="20"/>
          <w:color w:val="auto"/>
        </w:rPr>
        <w:t>As of December 31, 2025, the Company has accrued an immaterial milestone payment to MSK related to the achievement of a milestone. Any additional milestone payments under the applicable agreement are contingent upon the achievement of future events and will be recorded if and when it becomes probable that a milestone will be achieved.</w:t>
      </w:r>
    </w:p>
    <w:p>
      <w:pPr>
        <w:spacing w:after="0" w:line="208" w:lineRule="exact"/>
        <w:rPr>
          <w:sz w:val="20"/>
          <w:szCs w:val="20"/>
          <w:color w:val="auto"/>
        </w:rPr>
      </w:pPr>
    </w:p>
    <w:p>
      <w:pPr>
        <w:ind w:left="720" w:hanging="713"/>
        <w:spacing w:after="0"/>
        <w:tabs>
          <w:tab w:leader="none" w:pos="720" w:val="left"/>
        </w:tabs>
        <w:numPr>
          <w:ilvl w:val="0"/>
          <w:numId w:val="6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Financial Liabilities</w:t>
      </w:r>
    </w:p>
    <w:p>
      <w:pPr>
        <w:spacing w:after="0" w:line="240" w:lineRule="exact"/>
        <w:rPr>
          <w:sz w:val="20"/>
          <w:szCs w:val="20"/>
          <w:color w:val="auto"/>
        </w:rPr>
      </w:pPr>
    </w:p>
    <w:p>
      <w:pPr>
        <w:ind w:firstLine="720"/>
        <w:spacing w:after="0" w:line="263" w:lineRule="auto"/>
        <w:rPr>
          <w:sz w:val="20"/>
          <w:szCs w:val="20"/>
          <w:color w:val="auto"/>
        </w:rPr>
      </w:pPr>
      <w:r>
        <w:rPr>
          <w:rFonts w:ascii="Calibri" w:cs="Calibri" w:eastAsia="Calibri" w:hAnsi="Calibri"/>
          <w:sz w:val="20"/>
          <w:szCs w:val="20"/>
          <w:color w:val="auto"/>
        </w:rPr>
        <w:t>A summary of the Company’s debt obligations as of the dates indicated, including level within the fair value hierarchy (see Note 3. Fair Value Measurements),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jc w:val="right"/>
              <w:ind w:right="230"/>
              <w:spacing w:after="0"/>
              <w:rPr>
                <w:sz w:val="20"/>
                <w:szCs w:val="20"/>
                <w:color w:val="auto"/>
              </w:rPr>
            </w:pPr>
            <w:r>
              <w:rPr>
                <w:rFonts w:ascii="Calibri" w:cs="Calibri" w:eastAsia="Calibri" w:hAnsi="Calibri"/>
                <w:sz w:val="16"/>
                <w:szCs w:val="16"/>
                <w:b w:val="1"/>
                <w:bCs w:val="1"/>
                <w:color w:val="auto"/>
              </w:rPr>
              <w:t>At December 31, 2025</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300"/>
              <w:spacing w:after="0" w:line="172" w:lineRule="exact"/>
              <w:rPr>
                <w:sz w:val="20"/>
                <w:szCs w:val="20"/>
                <w:color w:val="auto"/>
              </w:rPr>
            </w:pPr>
            <w:r>
              <w:rPr>
                <w:rFonts w:ascii="Calibri" w:cs="Calibri" w:eastAsia="Calibri" w:hAnsi="Calibri"/>
                <w:sz w:val="16"/>
                <w:szCs w:val="16"/>
                <w:b w:val="1"/>
                <w:bCs w:val="1"/>
                <w:color w:val="auto"/>
                <w:w w:val="99"/>
              </w:rPr>
              <w:t>Unamortized Debt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0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1060" w:type="dxa"/>
            <w:vAlign w:val="bottom"/>
          </w:tcPr>
          <w:p>
            <w:pPr>
              <w:spacing w:after="0"/>
              <w:rPr>
                <w:sz w:val="17"/>
                <w:szCs w:val="17"/>
                <w:color w:val="auto"/>
              </w:rPr>
            </w:pPr>
          </w:p>
        </w:tc>
        <w:tc>
          <w:tcPr>
            <w:tcW w:w="1160" w:type="dxa"/>
            <w:vAlign w:val="bottom"/>
            <w:gridSpan w:val="2"/>
            <w:vMerge w:val="restart"/>
          </w:tcPr>
          <w:p>
            <w:pPr>
              <w:spacing w:after="0"/>
              <w:rPr>
                <w:sz w:val="20"/>
                <w:szCs w:val="20"/>
                <w:color w:val="auto"/>
              </w:rPr>
            </w:pPr>
            <w:r>
              <w:rPr>
                <w:rFonts w:ascii="Calibri" w:cs="Calibri" w:eastAsia="Calibri" w:hAnsi="Calibri"/>
                <w:sz w:val="16"/>
                <w:szCs w:val="16"/>
                <w:b w:val="1"/>
                <w:bCs w:val="1"/>
                <w:color w:val="auto"/>
                <w:w w:val="98"/>
              </w:rPr>
              <w:t>Principal Amount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320"/>
              <w:spacing w:after="0"/>
              <w:rPr>
                <w:sz w:val="20"/>
                <w:szCs w:val="20"/>
                <w:color w:val="auto"/>
              </w:rPr>
            </w:pPr>
            <w:r>
              <w:rPr>
                <w:rFonts w:ascii="Calibri" w:cs="Calibri" w:eastAsia="Calibri" w:hAnsi="Calibri"/>
                <w:sz w:val="16"/>
                <w:szCs w:val="16"/>
                <w:b w:val="1"/>
                <w:bCs w:val="1"/>
                <w:color w:val="auto"/>
              </w:rPr>
              <w:t>Discount and Debt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0"/>
              <w:spacing w:after="0"/>
              <w:rPr>
                <w:sz w:val="20"/>
                <w:szCs w:val="20"/>
                <w:color w:val="auto"/>
              </w:rPr>
            </w:pPr>
            <w:r>
              <w:rPr>
                <w:rFonts w:ascii="Calibri" w:cs="Calibri" w:eastAsia="Calibri" w:hAnsi="Calibri"/>
                <w:sz w:val="16"/>
                <w:szCs w:val="16"/>
                <w:b w:val="1"/>
                <w:bCs w:val="1"/>
                <w:color w:val="auto"/>
              </w:rPr>
              <w:t>Net Carrying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0"/>
              <w:spacing w:after="0"/>
              <w:rPr>
                <w:sz w:val="20"/>
                <w:szCs w:val="20"/>
                <w:color w:val="auto"/>
              </w:rPr>
            </w:pPr>
            <w:r>
              <w:rPr>
                <w:rFonts w:ascii="Calibri" w:cs="Calibri" w:eastAsia="Calibri" w:hAnsi="Calibri"/>
                <w:sz w:val="16"/>
                <w:szCs w:val="16"/>
                <w:b w:val="1"/>
                <w:bCs w:val="1"/>
                <w:color w:val="auto"/>
              </w:rPr>
              <w:t>Estimated Fair</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Calibri" w:cs="Calibri" w:eastAsia="Calibri" w:hAnsi="Calibri"/>
                <w:sz w:val="16"/>
                <w:szCs w:val="16"/>
                <w:b w:val="1"/>
                <w:bCs w:val="1"/>
                <w:color w:val="auto"/>
              </w:rPr>
              <w:t>Issuance Costs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Calibri" w:cs="Calibri" w:eastAsia="Calibri" w:hAnsi="Calibri"/>
                <w:sz w:val="16"/>
                <w:szCs w:val="16"/>
                <w:b w:val="1"/>
                <w:bCs w:val="1"/>
                <w:color w:val="auto"/>
              </w:rPr>
              <w:t>Value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Calibri" w:cs="Calibri" w:eastAsia="Calibri" w:hAnsi="Calibri"/>
                <w:sz w:val="16"/>
                <w:szCs w:val="16"/>
                <w:b w:val="1"/>
                <w:bCs w:val="1"/>
                <w:color w:val="auto"/>
              </w:rPr>
              <w:t>Value</w:t>
            </w:r>
          </w:p>
        </w:tc>
        <w:tc>
          <w:tcPr>
            <w:tcW w:w="160" w:type="dxa"/>
            <w:vAlign w:val="bottom"/>
          </w:tcPr>
          <w:p>
            <w:pPr>
              <w:spacing w:after="0"/>
              <w:rPr>
                <w:sz w:val="18"/>
                <w:szCs w:val="18"/>
                <w:color w:val="auto"/>
              </w:rPr>
            </w:pPr>
          </w:p>
        </w:tc>
        <w:tc>
          <w:tcPr>
            <w:tcW w:w="920" w:type="dxa"/>
            <w:vAlign w:val="bottom"/>
          </w:tcPr>
          <w:p>
            <w:pPr>
              <w:ind w:left="280"/>
              <w:spacing w:after="0"/>
              <w:rPr>
                <w:sz w:val="20"/>
                <w:szCs w:val="20"/>
                <w:color w:val="auto"/>
              </w:rPr>
            </w:pPr>
            <w:r>
              <w:rPr>
                <w:rFonts w:ascii="Calibri" w:cs="Calibri" w:eastAsia="Calibri" w:hAnsi="Calibri"/>
                <w:sz w:val="16"/>
                <w:szCs w:val="16"/>
                <w:b w:val="1"/>
                <w:bCs w:val="1"/>
                <w:color w:val="auto"/>
              </w:rPr>
              <w:t>Level</w:t>
            </w:r>
          </w:p>
        </w:tc>
        <w:tc>
          <w:tcPr>
            <w:tcW w:w="0" w:type="dxa"/>
            <w:vAlign w:val="bottom"/>
          </w:tcPr>
          <w:p>
            <w:pPr>
              <w:spacing w:after="0"/>
              <w:rPr>
                <w:sz w:val="1"/>
                <w:szCs w:val="1"/>
                <w:color w:val="auto"/>
              </w:rPr>
            </w:pPr>
          </w:p>
        </w:tc>
      </w:tr>
      <w:tr>
        <w:trPr>
          <w:trHeight w:val="234"/>
        </w:trPr>
        <w:tc>
          <w:tcPr>
            <w:tcW w:w="3100" w:type="dxa"/>
            <w:vAlign w:val="bottom"/>
            <w:tcBorders>
              <w:top w:val="single" w:sz="8" w:color="E5E5E5"/>
            </w:tcBorders>
            <w:shd w:val="clear" w:color="auto" w:fill="E5E5E5"/>
          </w:tcPr>
          <w:p>
            <w:pPr>
              <w:spacing w:after="0" w:line="234" w:lineRule="exact"/>
              <w:rPr>
                <w:sz w:val="20"/>
                <w:szCs w:val="20"/>
                <w:color w:val="auto"/>
              </w:rPr>
            </w:pPr>
            <w:r>
              <w:rPr>
                <w:rFonts w:ascii="Calibri" w:cs="Calibri" w:eastAsia="Calibri" w:hAnsi="Calibri"/>
                <w:sz w:val="20"/>
                <w:szCs w:val="20"/>
                <w:color w:val="auto"/>
              </w:rPr>
              <w:t>Financial Liabilities:</w:t>
            </w:r>
          </w:p>
        </w:tc>
        <w:tc>
          <w:tcPr>
            <w:tcW w:w="1060" w:type="dxa"/>
            <w:vAlign w:val="bottom"/>
            <w:tcBorders>
              <w:top w:val="single" w:sz="8" w:color="E5E5E5"/>
            </w:tcBorders>
            <w:shd w:val="clear" w:color="auto" w:fill="E5E5E5"/>
          </w:tcPr>
          <w:p>
            <w:pPr>
              <w:spacing w:after="0"/>
              <w:rPr>
                <w:sz w:val="20"/>
                <w:szCs w:val="20"/>
                <w:color w:val="auto"/>
              </w:rPr>
            </w:pPr>
          </w:p>
        </w:tc>
        <w:tc>
          <w:tcPr>
            <w:tcW w:w="280" w:type="dxa"/>
            <w:vAlign w:val="bottom"/>
            <w:tcBorders>
              <w:top w:val="single" w:sz="8" w:color="auto"/>
            </w:tcBorders>
            <w:shd w:val="clear" w:color="auto" w:fill="E5E5E5"/>
          </w:tcPr>
          <w:p>
            <w:pPr>
              <w:spacing w:after="0"/>
              <w:rPr>
                <w:sz w:val="20"/>
                <w:szCs w:val="20"/>
                <w:color w:val="auto"/>
              </w:rPr>
            </w:pPr>
          </w:p>
        </w:tc>
        <w:tc>
          <w:tcPr>
            <w:tcW w:w="880" w:type="dxa"/>
            <w:vAlign w:val="bottom"/>
            <w:tcBorders>
              <w:top w:val="single" w:sz="8" w:color="auto"/>
            </w:tcBorders>
            <w:shd w:val="clear" w:color="auto" w:fill="E5E5E5"/>
          </w:tcPr>
          <w:p>
            <w:pPr>
              <w:spacing w:after="0"/>
              <w:rPr>
                <w:sz w:val="20"/>
                <w:szCs w:val="20"/>
                <w:color w:val="auto"/>
              </w:rPr>
            </w:pPr>
          </w:p>
        </w:tc>
        <w:tc>
          <w:tcPr>
            <w:tcW w:w="260" w:type="dxa"/>
            <w:vAlign w:val="bottom"/>
            <w:tcBorders>
              <w:top w:val="single" w:sz="8" w:color="E5E5E5"/>
            </w:tcBorders>
            <w:shd w:val="clear" w:color="auto" w:fill="E5E5E5"/>
          </w:tcPr>
          <w:p>
            <w:pPr>
              <w:spacing w:after="0"/>
              <w:rPr>
                <w:sz w:val="20"/>
                <w:szCs w:val="20"/>
                <w:color w:val="auto"/>
              </w:rPr>
            </w:pPr>
          </w:p>
        </w:tc>
        <w:tc>
          <w:tcPr>
            <w:tcW w:w="180" w:type="dxa"/>
            <w:vAlign w:val="bottom"/>
            <w:tcBorders>
              <w:top w:val="single" w:sz="8" w:color="auto"/>
            </w:tcBorders>
            <w:shd w:val="clear" w:color="auto" w:fill="E5E5E5"/>
          </w:tcPr>
          <w:p>
            <w:pPr>
              <w:spacing w:after="0"/>
              <w:rPr>
                <w:sz w:val="20"/>
                <w:szCs w:val="20"/>
                <w:color w:val="auto"/>
              </w:rPr>
            </w:pPr>
          </w:p>
        </w:tc>
        <w:tc>
          <w:tcPr>
            <w:tcW w:w="1560" w:type="dxa"/>
            <w:vAlign w:val="bottom"/>
            <w:tcBorders>
              <w:top w:val="single" w:sz="8" w:color="auto"/>
            </w:tcBorders>
            <w:shd w:val="clear" w:color="auto" w:fill="E5E5E5"/>
          </w:tcPr>
          <w:p>
            <w:pPr>
              <w:spacing w:after="0"/>
              <w:rPr>
                <w:sz w:val="20"/>
                <w:szCs w:val="20"/>
                <w:color w:val="auto"/>
              </w:rPr>
            </w:pPr>
          </w:p>
        </w:tc>
        <w:tc>
          <w:tcPr>
            <w:tcW w:w="120" w:type="dxa"/>
            <w:vAlign w:val="bottom"/>
            <w:tcBorders>
              <w:top w:val="single" w:sz="8" w:color="E5E5E5"/>
            </w:tcBorders>
            <w:shd w:val="clear" w:color="auto" w:fill="E5E5E5"/>
          </w:tcPr>
          <w:p>
            <w:pPr>
              <w:spacing w:after="0"/>
              <w:rPr>
                <w:sz w:val="20"/>
                <w:szCs w:val="20"/>
                <w:color w:val="auto"/>
              </w:rPr>
            </w:pPr>
          </w:p>
        </w:tc>
        <w:tc>
          <w:tcPr>
            <w:tcW w:w="120" w:type="dxa"/>
            <w:vAlign w:val="bottom"/>
            <w:tcBorders>
              <w:top w:val="single" w:sz="8" w:color="E5E5E5"/>
            </w:tcBorders>
            <w:shd w:val="clear" w:color="auto" w:fill="E5E5E5"/>
          </w:tcPr>
          <w:p>
            <w:pPr>
              <w:spacing w:after="0"/>
              <w:rPr>
                <w:sz w:val="20"/>
                <w:szCs w:val="20"/>
                <w:color w:val="auto"/>
              </w:rPr>
            </w:pPr>
          </w:p>
        </w:tc>
        <w:tc>
          <w:tcPr>
            <w:tcW w:w="140" w:type="dxa"/>
            <w:vAlign w:val="bottom"/>
            <w:tcBorders>
              <w:top w:val="single" w:sz="8" w:color="auto"/>
            </w:tcBorders>
            <w:shd w:val="clear" w:color="auto" w:fill="E5E5E5"/>
          </w:tcPr>
          <w:p>
            <w:pPr>
              <w:spacing w:after="0"/>
              <w:rPr>
                <w:sz w:val="20"/>
                <w:szCs w:val="20"/>
                <w:color w:val="auto"/>
              </w:rPr>
            </w:pPr>
          </w:p>
        </w:tc>
        <w:tc>
          <w:tcPr>
            <w:tcW w:w="1020" w:type="dxa"/>
            <w:vAlign w:val="bottom"/>
            <w:tcBorders>
              <w:top w:val="single" w:sz="8" w:color="auto"/>
            </w:tcBorders>
            <w:shd w:val="clear" w:color="auto" w:fill="E5E5E5"/>
          </w:tcPr>
          <w:p>
            <w:pPr>
              <w:spacing w:after="0"/>
              <w:rPr>
                <w:sz w:val="20"/>
                <w:szCs w:val="20"/>
                <w:color w:val="auto"/>
              </w:rPr>
            </w:pPr>
          </w:p>
        </w:tc>
        <w:tc>
          <w:tcPr>
            <w:tcW w:w="200" w:type="dxa"/>
            <w:vAlign w:val="bottom"/>
            <w:tcBorders>
              <w:top w:val="single" w:sz="8" w:color="E5E5E5"/>
            </w:tcBorders>
            <w:shd w:val="clear" w:color="auto" w:fill="E5E5E5"/>
          </w:tcPr>
          <w:p>
            <w:pPr>
              <w:spacing w:after="0"/>
              <w:rPr>
                <w:sz w:val="20"/>
                <w:szCs w:val="20"/>
                <w:color w:val="auto"/>
              </w:rPr>
            </w:pPr>
          </w:p>
        </w:tc>
        <w:tc>
          <w:tcPr>
            <w:tcW w:w="100" w:type="dxa"/>
            <w:vAlign w:val="bottom"/>
            <w:tcBorders>
              <w:top w:val="single" w:sz="8" w:color="auto"/>
            </w:tcBorders>
            <w:shd w:val="clear" w:color="auto" w:fill="E5E5E5"/>
          </w:tcPr>
          <w:p>
            <w:pPr>
              <w:spacing w:after="0"/>
              <w:rPr>
                <w:sz w:val="20"/>
                <w:szCs w:val="20"/>
                <w:color w:val="auto"/>
              </w:rPr>
            </w:pPr>
          </w:p>
        </w:tc>
        <w:tc>
          <w:tcPr>
            <w:tcW w:w="1060" w:type="dxa"/>
            <w:vAlign w:val="bottom"/>
            <w:tcBorders>
              <w:top w:val="single" w:sz="8" w:color="auto"/>
            </w:tcBorders>
            <w:shd w:val="clear" w:color="auto" w:fill="E5E5E5"/>
          </w:tcPr>
          <w:p>
            <w:pPr>
              <w:spacing w:after="0"/>
              <w:rPr>
                <w:sz w:val="20"/>
                <w:szCs w:val="20"/>
                <w:color w:val="auto"/>
              </w:rPr>
            </w:pPr>
          </w:p>
        </w:tc>
        <w:tc>
          <w:tcPr>
            <w:tcW w:w="160" w:type="dxa"/>
            <w:vAlign w:val="bottom"/>
            <w:tcBorders>
              <w:top w:val="single" w:sz="8" w:color="E5E5E5"/>
            </w:tcBorders>
            <w:shd w:val="clear" w:color="auto" w:fill="E5E5E5"/>
          </w:tcPr>
          <w:p>
            <w:pPr>
              <w:spacing w:after="0"/>
              <w:rPr>
                <w:sz w:val="20"/>
                <w:szCs w:val="20"/>
                <w:color w:val="auto"/>
              </w:rPr>
            </w:pPr>
          </w:p>
        </w:tc>
        <w:tc>
          <w:tcPr>
            <w:tcW w:w="920" w:type="dxa"/>
            <w:vAlign w:val="bottom"/>
            <w:tcBorders>
              <w:top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100" w:type="dxa"/>
            <w:vAlign w:val="bottom"/>
          </w:tcPr>
          <w:p>
            <w:pPr>
              <w:ind w:left="120"/>
              <w:spacing w:after="0"/>
              <w:rPr>
                <w:sz w:val="20"/>
                <w:szCs w:val="20"/>
                <w:color w:val="auto"/>
              </w:rPr>
            </w:pPr>
            <w:r>
              <w:rPr>
                <w:rFonts w:ascii="Calibri" w:cs="Calibri" w:eastAsia="Calibri" w:hAnsi="Calibri"/>
                <w:sz w:val="20"/>
                <w:szCs w:val="20"/>
                <w:color w:val="auto"/>
              </w:rPr>
              <w:t>2029 Term Loan</w:t>
            </w:r>
          </w:p>
        </w:tc>
        <w:tc>
          <w:tcPr>
            <w:tcW w:w="1340" w:type="dxa"/>
            <w:vAlign w:val="bottom"/>
            <w:gridSpan w:val="2"/>
          </w:tcPr>
          <w:p>
            <w:pPr>
              <w:ind w:left="1060"/>
              <w:spacing w:after="0"/>
              <w:rPr>
                <w:sz w:val="20"/>
                <w:szCs w:val="20"/>
                <w:color w:val="auto"/>
              </w:rPr>
            </w:pPr>
            <w:r>
              <w:rPr>
                <w:rFonts w:ascii="Calibri" w:cs="Calibri" w:eastAsia="Calibri" w:hAnsi="Calibri"/>
                <w:sz w:val="20"/>
                <w:szCs w:val="20"/>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color w:val="auto"/>
              </w:rPr>
              <w:t>38,660</w:t>
            </w:r>
          </w:p>
        </w:tc>
        <w:tc>
          <w:tcPr>
            <w:tcW w:w="44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680" w:type="dxa"/>
            <w:vAlign w:val="bottom"/>
            <w:gridSpan w:val="2"/>
          </w:tcPr>
          <w:p>
            <w:pPr>
              <w:jc w:val="right"/>
              <w:ind w:right="120"/>
              <w:spacing w:after="0"/>
              <w:rPr>
                <w:sz w:val="20"/>
                <w:szCs w:val="20"/>
                <w:color w:val="auto"/>
              </w:rPr>
            </w:pPr>
            <w:r>
              <w:rPr>
                <w:rFonts w:ascii="Calibri" w:cs="Calibri" w:eastAsia="Calibri" w:hAnsi="Calibri"/>
                <w:sz w:val="20"/>
                <w:szCs w:val="20"/>
                <w:color w:val="auto"/>
              </w:rPr>
              <w:t>(1,609)</w:t>
            </w:r>
          </w:p>
        </w:tc>
        <w:tc>
          <w:tcPr>
            <w:tcW w:w="260" w:type="dxa"/>
            <w:vAlign w:val="bottom"/>
            <w:gridSpan w:val="2"/>
          </w:tcPr>
          <w:p>
            <w:pPr>
              <w:jc w:val="right"/>
              <w:ind w:right="40"/>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color w:val="auto"/>
              </w:rPr>
              <w:t>37,051</w:t>
            </w:r>
          </w:p>
        </w:tc>
        <w:tc>
          <w:tcPr>
            <w:tcW w:w="30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color w:val="auto"/>
              </w:rPr>
              <w:t>37,051</w:t>
            </w:r>
          </w:p>
        </w:tc>
        <w:tc>
          <w:tcPr>
            <w:tcW w:w="16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Calibri" w:cs="Calibri" w:eastAsia="Calibri" w:hAnsi="Calibri"/>
                <w:sz w:val="20"/>
                <w:szCs w:val="20"/>
                <w:color w:val="auto"/>
              </w:rPr>
              <w:t>Level 2*</w:t>
            </w:r>
          </w:p>
        </w:tc>
        <w:tc>
          <w:tcPr>
            <w:tcW w:w="0" w:type="dxa"/>
            <w:vAlign w:val="bottom"/>
          </w:tcPr>
          <w:p>
            <w:pPr>
              <w:spacing w:after="0"/>
              <w:rPr>
                <w:sz w:val="1"/>
                <w:szCs w:val="1"/>
                <w:color w:val="auto"/>
              </w:rPr>
            </w:pPr>
          </w:p>
        </w:tc>
      </w:tr>
      <w:tr>
        <w:trPr>
          <w:trHeight w:val="245"/>
        </w:trPr>
        <w:tc>
          <w:tcPr>
            <w:tcW w:w="310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2026 Convertible Notes</w:t>
            </w:r>
          </w:p>
        </w:tc>
        <w:tc>
          <w:tcPr>
            <w:tcW w:w="1340" w:type="dxa"/>
            <w:vAlign w:val="bottom"/>
            <w:gridSpan w:val="2"/>
            <w:shd w:val="clear" w:color="auto" w:fill="E5E5E5"/>
          </w:tcPr>
          <w:p>
            <w:pPr>
              <w:ind w:left="1060"/>
              <w:spacing w:after="0"/>
              <w:rPr>
                <w:sz w:val="20"/>
                <w:szCs w:val="20"/>
                <w:color w:val="auto"/>
              </w:rPr>
            </w:pPr>
            <w:r>
              <w:rPr>
                <w:rFonts w:ascii="Calibri" w:cs="Calibri" w:eastAsia="Calibri" w:hAnsi="Calibri"/>
                <w:sz w:val="20"/>
                <w:szCs w:val="20"/>
                <w:color w:val="auto"/>
              </w:rPr>
              <w:t>$</w:t>
            </w:r>
          </w:p>
        </w:tc>
        <w:tc>
          <w:tcPr>
            <w:tcW w:w="8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121</w:t>
            </w:r>
          </w:p>
        </w:tc>
        <w:tc>
          <w:tcPr>
            <w:tcW w:w="440" w:type="dxa"/>
            <w:vAlign w:val="bottom"/>
            <w:gridSpan w:val="2"/>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1680" w:type="dxa"/>
            <w:vAlign w:val="bottom"/>
            <w:gridSpan w:val="2"/>
            <w:shd w:val="clear" w:color="auto" w:fill="E5E5E5"/>
          </w:tcPr>
          <w:p>
            <w:pPr>
              <w:jc w:val="right"/>
              <w:ind w:right="180"/>
              <w:spacing w:after="0"/>
              <w:rPr>
                <w:sz w:val="20"/>
                <w:szCs w:val="20"/>
                <w:color w:val="auto"/>
              </w:rPr>
            </w:pPr>
            <w:r>
              <w:rPr>
                <w:rFonts w:ascii="Calibri" w:cs="Calibri" w:eastAsia="Calibri" w:hAnsi="Calibri"/>
                <w:sz w:val="20"/>
                <w:szCs w:val="20"/>
                <w:color w:val="auto"/>
              </w:rPr>
              <w:t>—</w:t>
            </w:r>
          </w:p>
        </w:tc>
        <w:tc>
          <w:tcPr>
            <w:tcW w:w="260" w:type="dxa"/>
            <w:vAlign w:val="bottom"/>
            <w:gridSpan w:val="2"/>
            <w:shd w:val="clear" w:color="auto" w:fill="E5E5E5"/>
          </w:tcPr>
          <w:p>
            <w:pPr>
              <w:jc w:val="right"/>
              <w:ind w:right="40"/>
              <w:spacing w:after="0"/>
              <w:rPr>
                <w:sz w:val="20"/>
                <w:szCs w:val="20"/>
                <w:color w:val="auto"/>
              </w:rPr>
            </w:pPr>
            <w:r>
              <w:rPr>
                <w:rFonts w:ascii="Calibri" w:cs="Calibri" w:eastAsia="Calibri" w:hAnsi="Calibri"/>
                <w:sz w:val="20"/>
                <w:szCs w:val="20"/>
                <w:color w:val="auto"/>
              </w:rPr>
              <w:t>$</w:t>
            </w:r>
          </w:p>
        </w:tc>
        <w:tc>
          <w:tcPr>
            <w:tcW w:w="102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121</w:t>
            </w:r>
          </w:p>
        </w:tc>
        <w:tc>
          <w:tcPr>
            <w:tcW w:w="300" w:type="dxa"/>
            <w:vAlign w:val="bottom"/>
            <w:gridSpan w:val="2"/>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119</w:t>
            </w:r>
          </w:p>
        </w:tc>
        <w:tc>
          <w:tcPr>
            <w:tcW w:w="1080" w:type="dxa"/>
            <w:vAlign w:val="bottom"/>
            <w:gridSpan w:val="2"/>
            <w:shd w:val="clear" w:color="auto" w:fill="E5E5E5"/>
          </w:tcPr>
          <w:p>
            <w:pPr>
              <w:ind w:left="160"/>
              <w:spacing w:after="0"/>
              <w:rPr>
                <w:sz w:val="20"/>
                <w:szCs w:val="20"/>
                <w:color w:val="auto"/>
              </w:rPr>
            </w:pPr>
            <w:r>
              <w:rPr>
                <w:rFonts w:ascii="Calibri" w:cs="Calibri" w:eastAsia="Calibri" w:hAnsi="Calibri"/>
                <w:sz w:val="20"/>
                <w:szCs w:val="20"/>
                <w:color w:val="auto"/>
              </w:rPr>
              <w:t>Level 2**</w:t>
            </w:r>
          </w:p>
        </w:tc>
        <w:tc>
          <w:tcPr>
            <w:tcW w:w="0" w:type="dxa"/>
            <w:vAlign w:val="bottom"/>
          </w:tcPr>
          <w:p>
            <w:pPr>
              <w:spacing w:after="0"/>
              <w:rPr>
                <w:sz w:val="1"/>
                <w:szCs w:val="1"/>
                <w:color w:val="auto"/>
              </w:rPr>
            </w:pPr>
          </w:p>
        </w:tc>
      </w:tr>
      <w:tr>
        <w:trPr>
          <w:trHeight w:val="539"/>
        </w:trPr>
        <w:tc>
          <w:tcPr>
            <w:tcW w:w="3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right"/>
              <w:ind w:right="230"/>
              <w:spacing w:after="0"/>
              <w:rPr>
                <w:sz w:val="20"/>
                <w:szCs w:val="20"/>
                <w:color w:val="auto"/>
              </w:rPr>
            </w:pPr>
            <w:r>
              <w:rPr>
                <w:rFonts w:ascii="Calibri" w:cs="Calibri" w:eastAsia="Calibri" w:hAnsi="Calibri"/>
                <w:sz w:val="16"/>
                <w:szCs w:val="16"/>
                <w:b w:val="1"/>
                <w:bCs w:val="1"/>
                <w:color w:val="auto"/>
              </w:rPr>
              <w:t>At December 31, 2024</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center"/>
              <w:ind w:right="300"/>
              <w:spacing w:after="0" w:line="172" w:lineRule="exact"/>
              <w:rPr>
                <w:sz w:val="20"/>
                <w:szCs w:val="20"/>
                <w:color w:val="auto"/>
              </w:rPr>
            </w:pPr>
            <w:r>
              <w:rPr>
                <w:rFonts w:ascii="Calibri" w:cs="Calibri" w:eastAsia="Calibri" w:hAnsi="Calibri"/>
                <w:sz w:val="16"/>
                <w:szCs w:val="16"/>
                <w:b w:val="1"/>
                <w:bCs w:val="1"/>
                <w:color w:val="auto"/>
                <w:w w:val="99"/>
              </w:rPr>
              <w:t>Unamortized Debt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0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1060" w:type="dxa"/>
            <w:vAlign w:val="bottom"/>
          </w:tcPr>
          <w:p>
            <w:pPr>
              <w:spacing w:after="0"/>
              <w:rPr>
                <w:sz w:val="17"/>
                <w:szCs w:val="17"/>
                <w:color w:val="auto"/>
              </w:rPr>
            </w:pPr>
          </w:p>
        </w:tc>
        <w:tc>
          <w:tcPr>
            <w:tcW w:w="1160" w:type="dxa"/>
            <w:vAlign w:val="bottom"/>
            <w:gridSpan w:val="2"/>
            <w:vMerge w:val="restart"/>
          </w:tcPr>
          <w:p>
            <w:pPr>
              <w:spacing w:after="0"/>
              <w:rPr>
                <w:sz w:val="20"/>
                <w:szCs w:val="20"/>
                <w:color w:val="auto"/>
              </w:rPr>
            </w:pPr>
            <w:r>
              <w:rPr>
                <w:rFonts w:ascii="Calibri" w:cs="Calibri" w:eastAsia="Calibri" w:hAnsi="Calibri"/>
                <w:sz w:val="16"/>
                <w:szCs w:val="16"/>
                <w:b w:val="1"/>
                <w:bCs w:val="1"/>
                <w:color w:val="auto"/>
                <w:w w:val="98"/>
              </w:rPr>
              <w:t>Principal Amount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320"/>
              <w:spacing w:after="0"/>
              <w:rPr>
                <w:sz w:val="20"/>
                <w:szCs w:val="20"/>
                <w:color w:val="auto"/>
              </w:rPr>
            </w:pPr>
            <w:r>
              <w:rPr>
                <w:rFonts w:ascii="Calibri" w:cs="Calibri" w:eastAsia="Calibri" w:hAnsi="Calibri"/>
                <w:sz w:val="16"/>
                <w:szCs w:val="16"/>
                <w:b w:val="1"/>
                <w:bCs w:val="1"/>
                <w:color w:val="auto"/>
              </w:rPr>
              <w:t>Discount and Debt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50"/>
              <w:spacing w:after="0"/>
              <w:rPr>
                <w:sz w:val="20"/>
                <w:szCs w:val="20"/>
                <w:color w:val="auto"/>
              </w:rPr>
            </w:pPr>
            <w:r>
              <w:rPr>
                <w:rFonts w:ascii="Calibri" w:cs="Calibri" w:eastAsia="Calibri" w:hAnsi="Calibri"/>
                <w:sz w:val="16"/>
                <w:szCs w:val="16"/>
                <w:b w:val="1"/>
                <w:bCs w:val="1"/>
                <w:color w:val="auto"/>
              </w:rPr>
              <w:t>Net Carrying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0"/>
              <w:spacing w:after="0"/>
              <w:rPr>
                <w:sz w:val="20"/>
                <w:szCs w:val="20"/>
                <w:color w:val="auto"/>
              </w:rPr>
            </w:pPr>
            <w:r>
              <w:rPr>
                <w:rFonts w:ascii="Calibri" w:cs="Calibri" w:eastAsia="Calibri" w:hAnsi="Calibri"/>
                <w:sz w:val="16"/>
                <w:szCs w:val="16"/>
                <w:b w:val="1"/>
                <w:bCs w:val="1"/>
                <w:color w:val="auto"/>
              </w:rPr>
              <w:t>Estimated Fair</w:t>
            </w:r>
          </w:p>
        </w:tc>
        <w:tc>
          <w:tcPr>
            <w:tcW w:w="160" w:type="dxa"/>
            <w:vAlign w:val="bottom"/>
          </w:tcPr>
          <w:p>
            <w:pPr>
              <w:spacing w:after="0"/>
              <w:rPr>
                <w:sz w:val="17"/>
                <w:szCs w:val="17"/>
                <w:color w:val="auto"/>
              </w:rPr>
            </w:pPr>
          </w:p>
        </w:tc>
        <w:tc>
          <w:tcPr>
            <w:tcW w:w="920" w:type="dxa"/>
            <w:vAlign w:val="bottom"/>
            <w:vMerge w:val="restart"/>
          </w:tcPr>
          <w:p>
            <w:pPr>
              <w:ind w:left="280"/>
              <w:spacing w:after="0"/>
              <w:rPr>
                <w:sz w:val="20"/>
                <w:szCs w:val="20"/>
                <w:color w:val="auto"/>
              </w:rPr>
            </w:pPr>
            <w:r>
              <w:rPr>
                <w:rFonts w:ascii="Calibri" w:cs="Calibri" w:eastAsia="Calibri" w:hAnsi="Calibri"/>
                <w:sz w:val="16"/>
                <w:szCs w:val="16"/>
                <w:b w:val="1"/>
                <w:bCs w:val="1"/>
                <w:color w:val="auto"/>
              </w:rPr>
              <w:t>Level</w:t>
            </w:r>
          </w:p>
        </w:tc>
        <w:tc>
          <w:tcPr>
            <w:tcW w:w="0" w:type="dxa"/>
            <w:vAlign w:val="bottom"/>
          </w:tcPr>
          <w:p>
            <w:pPr>
              <w:spacing w:after="0"/>
              <w:rPr>
                <w:sz w:val="1"/>
                <w:szCs w:val="1"/>
                <w:color w:val="auto"/>
              </w:rPr>
            </w:pPr>
          </w:p>
        </w:tc>
      </w:tr>
      <w:tr>
        <w:trPr>
          <w:trHeight w:val="210"/>
        </w:trPr>
        <w:tc>
          <w:tcPr>
            <w:tcW w:w="31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Calibri" w:cs="Calibri" w:eastAsia="Calibri" w:hAnsi="Calibri"/>
                <w:sz w:val="16"/>
                <w:szCs w:val="16"/>
                <w:b w:val="1"/>
                <w:bCs w:val="1"/>
                <w:color w:val="auto"/>
              </w:rPr>
              <w:t>Issuance Costs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Calibri" w:cs="Calibri" w:eastAsia="Calibri" w:hAnsi="Calibri"/>
                <w:sz w:val="16"/>
                <w:szCs w:val="16"/>
                <w:b w:val="1"/>
                <w:bCs w:val="1"/>
                <w:color w:val="auto"/>
              </w:rPr>
              <w:t>Value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Calibri" w:cs="Calibri" w:eastAsia="Calibri" w:hAnsi="Calibri"/>
                <w:sz w:val="16"/>
                <w:szCs w:val="16"/>
                <w:b w:val="1"/>
                <w:bCs w:val="1"/>
                <w:color w:val="auto"/>
              </w:rPr>
              <w:t>Value</w:t>
            </w: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100" w:type="dxa"/>
            <w:vAlign w:val="bottom"/>
            <w:tcBorders>
              <w:top w:val="single" w:sz="8" w:color="E5E5E5"/>
            </w:tcBorders>
            <w:shd w:val="clear" w:color="auto" w:fill="E5E5E5"/>
          </w:tcPr>
          <w:p>
            <w:pPr>
              <w:spacing w:after="0"/>
              <w:rPr>
                <w:sz w:val="20"/>
                <w:szCs w:val="20"/>
                <w:color w:val="auto"/>
              </w:rPr>
            </w:pPr>
            <w:r>
              <w:rPr>
                <w:rFonts w:ascii="Calibri" w:cs="Calibri" w:eastAsia="Calibri" w:hAnsi="Calibri"/>
                <w:sz w:val="20"/>
                <w:szCs w:val="20"/>
                <w:color w:val="auto"/>
              </w:rPr>
              <w:t>Financial Liabilities:</w:t>
            </w:r>
          </w:p>
        </w:tc>
        <w:tc>
          <w:tcPr>
            <w:tcW w:w="1060" w:type="dxa"/>
            <w:vAlign w:val="bottom"/>
            <w:tcBorders>
              <w:top w:val="single" w:sz="8" w:color="E5E5E5"/>
            </w:tcBorders>
            <w:shd w:val="clear" w:color="auto" w:fill="E5E5E5"/>
          </w:tcPr>
          <w:p>
            <w:pPr>
              <w:spacing w:after="0"/>
              <w:rPr>
                <w:sz w:val="22"/>
                <w:szCs w:val="22"/>
                <w:color w:val="auto"/>
              </w:rPr>
            </w:pPr>
          </w:p>
        </w:tc>
        <w:tc>
          <w:tcPr>
            <w:tcW w:w="280" w:type="dxa"/>
            <w:vAlign w:val="bottom"/>
            <w:tcBorders>
              <w:top w:val="single" w:sz="8" w:color="auto"/>
            </w:tcBorders>
            <w:shd w:val="clear" w:color="auto" w:fill="E5E5E5"/>
          </w:tcPr>
          <w:p>
            <w:pPr>
              <w:spacing w:after="0"/>
              <w:rPr>
                <w:sz w:val="22"/>
                <w:szCs w:val="22"/>
                <w:color w:val="auto"/>
              </w:rPr>
            </w:pPr>
          </w:p>
        </w:tc>
        <w:tc>
          <w:tcPr>
            <w:tcW w:w="880" w:type="dxa"/>
            <w:vAlign w:val="bottom"/>
            <w:tcBorders>
              <w:top w:val="single" w:sz="8" w:color="auto"/>
            </w:tcBorders>
            <w:shd w:val="clear" w:color="auto" w:fill="E5E5E5"/>
          </w:tcPr>
          <w:p>
            <w:pPr>
              <w:spacing w:after="0"/>
              <w:rPr>
                <w:sz w:val="22"/>
                <w:szCs w:val="22"/>
                <w:color w:val="auto"/>
              </w:rPr>
            </w:pPr>
          </w:p>
        </w:tc>
        <w:tc>
          <w:tcPr>
            <w:tcW w:w="260" w:type="dxa"/>
            <w:vAlign w:val="bottom"/>
            <w:tcBorders>
              <w:top w:val="single" w:sz="8" w:color="E5E5E5"/>
            </w:tcBorders>
            <w:shd w:val="clear" w:color="auto" w:fill="E5E5E5"/>
          </w:tcPr>
          <w:p>
            <w:pPr>
              <w:spacing w:after="0"/>
              <w:rPr>
                <w:sz w:val="22"/>
                <w:szCs w:val="22"/>
                <w:color w:val="auto"/>
              </w:rPr>
            </w:pPr>
          </w:p>
        </w:tc>
        <w:tc>
          <w:tcPr>
            <w:tcW w:w="180" w:type="dxa"/>
            <w:vAlign w:val="bottom"/>
            <w:tcBorders>
              <w:top w:val="single" w:sz="8" w:color="auto"/>
            </w:tcBorders>
            <w:shd w:val="clear" w:color="auto" w:fill="E5E5E5"/>
          </w:tcPr>
          <w:p>
            <w:pPr>
              <w:spacing w:after="0"/>
              <w:rPr>
                <w:sz w:val="22"/>
                <w:szCs w:val="22"/>
                <w:color w:val="auto"/>
              </w:rPr>
            </w:pPr>
          </w:p>
        </w:tc>
        <w:tc>
          <w:tcPr>
            <w:tcW w:w="1560" w:type="dxa"/>
            <w:vAlign w:val="bottom"/>
            <w:tcBorders>
              <w:top w:val="single" w:sz="8" w:color="auto"/>
            </w:tcBorders>
            <w:shd w:val="clear" w:color="auto" w:fill="E5E5E5"/>
          </w:tcPr>
          <w:p>
            <w:pPr>
              <w:spacing w:after="0"/>
              <w:rPr>
                <w:sz w:val="22"/>
                <w:szCs w:val="22"/>
                <w:color w:val="auto"/>
              </w:rPr>
            </w:pPr>
          </w:p>
        </w:tc>
        <w:tc>
          <w:tcPr>
            <w:tcW w:w="120" w:type="dxa"/>
            <w:vAlign w:val="bottom"/>
            <w:tcBorders>
              <w:top w:val="single" w:sz="8" w:color="E5E5E5"/>
            </w:tcBorders>
            <w:shd w:val="clear" w:color="auto" w:fill="E5E5E5"/>
          </w:tcPr>
          <w:p>
            <w:pPr>
              <w:spacing w:after="0"/>
              <w:rPr>
                <w:sz w:val="22"/>
                <w:szCs w:val="22"/>
                <w:color w:val="auto"/>
              </w:rPr>
            </w:pPr>
          </w:p>
        </w:tc>
        <w:tc>
          <w:tcPr>
            <w:tcW w:w="120" w:type="dxa"/>
            <w:vAlign w:val="bottom"/>
            <w:tcBorders>
              <w:top w:val="single" w:sz="8" w:color="E5E5E5"/>
            </w:tcBorders>
            <w:shd w:val="clear" w:color="auto" w:fill="E5E5E5"/>
          </w:tcPr>
          <w:p>
            <w:pPr>
              <w:spacing w:after="0"/>
              <w:rPr>
                <w:sz w:val="22"/>
                <w:szCs w:val="22"/>
                <w:color w:val="auto"/>
              </w:rPr>
            </w:pPr>
          </w:p>
        </w:tc>
        <w:tc>
          <w:tcPr>
            <w:tcW w:w="140" w:type="dxa"/>
            <w:vAlign w:val="bottom"/>
            <w:tcBorders>
              <w:top w:val="single" w:sz="8" w:color="auto"/>
            </w:tcBorders>
            <w:shd w:val="clear" w:color="auto" w:fill="E5E5E5"/>
          </w:tcPr>
          <w:p>
            <w:pPr>
              <w:spacing w:after="0"/>
              <w:rPr>
                <w:sz w:val="22"/>
                <w:szCs w:val="22"/>
                <w:color w:val="auto"/>
              </w:rPr>
            </w:pPr>
          </w:p>
        </w:tc>
        <w:tc>
          <w:tcPr>
            <w:tcW w:w="1020" w:type="dxa"/>
            <w:vAlign w:val="bottom"/>
            <w:tcBorders>
              <w:top w:val="single" w:sz="8" w:color="auto"/>
            </w:tcBorders>
            <w:shd w:val="clear" w:color="auto" w:fill="E5E5E5"/>
          </w:tcPr>
          <w:p>
            <w:pPr>
              <w:spacing w:after="0"/>
              <w:rPr>
                <w:sz w:val="22"/>
                <w:szCs w:val="22"/>
                <w:color w:val="auto"/>
              </w:rPr>
            </w:pPr>
          </w:p>
        </w:tc>
        <w:tc>
          <w:tcPr>
            <w:tcW w:w="200" w:type="dxa"/>
            <w:vAlign w:val="bottom"/>
            <w:tcBorders>
              <w:top w:val="single" w:sz="8" w:color="E5E5E5"/>
            </w:tcBorders>
            <w:shd w:val="clear" w:color="auto" w:fill="E5E5E5"/>
          </w:tcPr>
          <w:p>
            <w:pPr>
              <w:spacing w:after="0"/>
              <w:rPr>
                <w:sz w:val="22"/>
                <w:szCs w:val="22"/>
                <w:color w:val="auto"/>
              </w:rPr>
            </w:pPr>
          </w:p>
        </w:tc>
        <w:tc>
          <w:tcPr>
            <w:tcW w:w="100" w:type="dxa"/>
            <w:vAlign w:val="bottom"/>
            <w:tcBorders>
              <w:top w:val="single" w:sz="8" w:color="auto"/>
            </w:tcBorders>
            <w:shd w:val="clear" w:color="auto" w:fill="E5E5E5"/>
          </w:tcPr>
          <w:p>
            <w:pPr>
              <w:spacing w:after="0"/>
              <w:rPr>
                <w:sz w:val="22"/>
                <w:szCs w:val="22"/>
                <w:color w:val="auto"/>
              </w:rPr>
            </w:pPr>
          </w:p>
        </w:tc>
        <w:tc>
          <w:tcPr>
            <w:tcW w:w="1060" w:type="dxa"/>
            <w:vAlign w:val="bottom"/>
            <w:tcBorders>
              <w:top w:val="single" w:sz="8" w:color="auto"/>
            </w:tcBorders>
            <w:shd w:val="clear" w:color="auto" w:fill="E5E5E5"/>
          </w:tcPr>
          <w:p>
            <w:pPr>
              <w:spacing w:after="0"/>
              <w:rPr>
                <w:sz w:val="22"/>
                <w:szCs w:val="22"/>
                <w:color w:val="auto"/>
              </w:rPr>
            </w:pPr>
          </w:p>
        </w:tc>
        <w:tc>
          <w:tcPr>
            <w:tcW w:w="160" w:type="dxa"/>
            <w:vAlign w:val="bottom"/>
            <w:tcBorders>
              <w:top w:val="single" w:sz="8" w:color="E5E5E5"/>
            </w:tcBorders>
            <w:shd w:val="clear" w:color="auto" w:fill="E5E5E5"/>
          </w:tcPr>
          <w:p>
            <w:pPr>
              <w:spacing w:after="0"/>
              <w:rPr>
                <w:sz w:val="22"/>
                <w:szCs w:val="22"/>
                <w:color w:val="auto"/>
              </w:rPr>
            </w:pPr>
          </w:p>
        </w:tc>
        <w:tc>
          <w:tcPr>
            <w:tcW w:w="920" w:type="dxa"/>
            <w:vAlign w:val="bottom"/>
            <w:tcBorders>
              <w:top w:val="single" w:sz="8" w:color="auto"/>
            </w:tcBorders>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120"/>
              <w:spacing w:after="0"/>
              <w:rPr>
                <w:sz w:val="20"/>
                <w:szCs w:val="20"/>
                <w:color w:val="auto"/>
              </w:rPr>
            </w:pPr>
            <w:r>
              <w:rPr>
                <w:rFonts w:ascii="Calibri" w:cs="Calibri" w:eastAsia="Calibri" w:hAnsi="Calibri"/>
                <w:sz w:val="20"/>
                <w:szCs w:val="20"/>
                <w:color w:val="auto"/>
              </w:rPr>
              <w:t>2029 Term Loan</w:t>
            </w:r>
          </w:p>
        </w:tc>
        <w:tc>
          <w:tcPr>
            <w:tcW w:w="1340" w:type="dxa"/>
            <w:vAlign w:val="bottom"/>
            <w:gridSpan w:val="2"/>
          </w:tcPr>
          <w:p>
            <w:pPr>
              <w:ind w:left="1060"/>
              <w:spacing w:after="0"/>
              <w:rPr>
                <w:sz w:val="20"/>
                <w:szCs w:val="20"/>
                <w:color w:val="auto"/>
              </w:rPr>
            </w:pPr>
            <w:r>
              <w:rPr>
                <w:rFonts w:ascii="Calibri" w:cs="Calibri" w:eastAsia="Calibri" w:hAnsi="Calibri"/>
                <w:sz w:val="20"/>
                <w:szCs w:val="20"/>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color w:val="auto"/>
              </w:rPr>
              <w:t>38,660</w:t>
            </w:r>
          </w:p>
        </w:tc>
        <w:tc>
          <w:tcPr>
            <w:tcW w:w="44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680" w:type="dxa"/>
            <w:vAlign w:val="bottom"/>
            <w:gridSpan w:val="2"/>
          </w:tcPr>
          <w:p>
            <w:pPr>
              <w:jc w:val="right"/>
              <w:ind w:right="120"/>
              <w:spacing w:after="0"/>
              <w:rPr>
                <w:sz w:val="20"/>
                <w:szCs w:val="20"/>
                <w:color w:val="auto"/>
              </w:rPr>
            </w:pPr>
            <w:r>
              <w:rPr>
                <w:rFonts w:ascii="Calibri" w:cs="Calibri" w:eastAsia="Calibri" w:hAnsi="Calibri"/>
                <w:sz w:val="20"/>
                <w:szCs w:val="20"/>
                <w:color w:val="auto"/>
              </w:rPr>
              <w:t>(1,962)</w:t>
            </w:r>
          </w:p>
        </w:tc>
        <w:tc>
          <w:tcPr>
            <w:tcW w:w="260" w:type="dxa"/>
            <w:vAlign w:val="bottom"/>
            <w:gridSpan w:val="2"/>
          </w:tcPr>
          <w:p>
            <w:pPr>
              <w:jc w:val="right"/>
              <w:ind w:right="40"/>
              <w:spacing w:after="0"/>
              <w:rPr>
                <w:sz w:val="20"/>
                <w:szCs w:val="20"/>
                <w:color w:val="auto"/>
              </w:rPr>
            </w:pPr>
            <w:r>
              <w:rPr>
                <w:rFonts w:ascii="Calibri" w:cs="Calibri" w:eastAsia="Calibri" w:hAnsi="Calibri"/>
                <w:sz w:val="20"/>
                <w:szCs w:val="20"/>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color w:val="auto"/>
              </w:rPr>
              <w:t>36,698</w:t>
            </w:r>
          </w:p>
        </w:tc>
        <w:tc>
          <w:tcPr>
            <w:tcW w:w="30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color w:val="auto"/>
              </w:rPr>
              <w:t>36,698</w:t>
            </w:r>
          </w:p>
        </w:tc>
        <w:tc>
          <w:tcPr>
            <w:tcW w:w="160" w:type="dxa"/>
            <w:vAlign w:val="bottom"/>
          </w:tcPr>
          <w:p>
            <w:pPr>
              <w:spacing w:after="0"/>
              <w:rPr>
                <w:sz w:val="23"/>
                <w:szCs w:val="23"/>
                <w:color w:val="auto"/>
              </w:rPr>
            </w:pPr>
          </w:p>
        </w:tc>
        <w:tc>
          <w:tcPr>
            <w:tcW w:w="920" w:type="dxa"/>
            <w:vAlign w:val="bottom"/>
          </w:tcPr>
          <w:p>
            <w:pPr>
              <w:spacing w:after="0"/>
              <w:rPr>
                <w:sz w:val="20"/>
                <w:szCs w:val="20"/>
                <w:color w:val="auto"/>
              </w:rPr>
            </w:pPr>
            <w:r>
              <w:rPr>
                <w:rFonts w:ascii="Calibri" w:cs="Calibri" w:eastAsia="Calibri" w:hAnsi="Calibri"/>
                <w:sz w:val="20"/>
                <w:szCs w:val="20"/>
                <w:color w:val="auto"/>
              </w:rPr>
              <w:t>Level 2*</w:t>
            </w:r>
          </w:p>
        </w:tc>
        <w:tc>
          <w:tcPr>
            <w:tcW w:w="0" w:type="dxa"/>
            <w:vAlign w:val="bottom"/>
          </w:tcPr>
          <w:p>
            <w:pPr>
              <w:spacing w:after="0"/>
              <w:rPr>
                <w:sz w:val="1"/>
                <w:szCs w:val="1"/>
                <w:color w:val="auto"/>
              </w:rPr>
            </w:pPr>
          </w:p>
        </w:tc>
      </w:tr>
      <w:tr>
        <w:trPr>
          <w:trHeight w:val="270"/>
        </w:trPr>
        <w:tc>
          <w:tcPr>
            <w:tcW w:w="310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2026 Convertible Notes</w:t>
            </w:r>
          </w:p>
        </w:tc>
        <w:tc>
          <w:tcPr>
            <w:tcW w:w="1340" w:type="dxa"/>
            <w:vAlign w:val="bottom"/>
            <w:gridSpan w:val="2"/>
            <w:shd w:val="clear" w:color="auto" w:fill="E5E5E5"/>
          </w:tcPr>
          <w:p>
            <w:pPr>
              <w:ind w:left="1060"/>
              <w:spacing w:after="0"/>
              <w:rPr>
                <w:sz w:val="20"/>
                <w:szCs w:val="20"/>
                <w:color w:val="auto"/>
              </w:rPr>
            </w:pPr>
            <w:r>
              <w:rPr>
                <w:rFonts w:ascii="Calibri" w:cs="Calibri" w:eastAsia="Calibri" w:hAnsi="Calibri"/>
                <w:sz w:val="20"/>
                <w:szCs w:val="20"/>
                <w:color w:val="auto"/>
              </w:rPr>
              <w:t>$</w:t>
            </w:r>
          </w:p>
        </w:tc>
        <w:tc>
          <w:tcPr>
            <w:tcW w:w="8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230,000</w:t>
            </w:r>
          </w:p>
        </w:tc>
        <w:tc>
          <w:tcPr>
            <w:tcW w:w="260" w:type="dxa"/>
            <w:vAlign w:val="bottom"/>
            <w:shd w:val="clear" w:color="auto" w:fill="E5E5E5"/>
          </w:tcPr>
          <w:p>
            <w:pPr>
              <w:spacing w:after="0"/>
              <w:rPr>
                <w:sz w:val="23"/>
                <w:szCs w:val="23"/>
                <w:color w:val="auto"/>
              </w:rPr>
            </w:pPr>
          </w:p>
        </w:tc>
        <w:tc>
          <w:tcPr>
            <w:tcW w:w="1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w w:val="78"/>
              </w:rPr>
              <w:t>$</w:t>
            </w:r>
          </w:p>
        </w:tc>
        <w:tc>
          <w:tcPr>
            <w:tcW w:w="1680" w:type="dxa"/>
            <w:vAlign w:val="bottom"/>
            <w:gridSpan w:val="2"/>
            <w:shd w:val="clear" w:color="auto" w:fill="E5E5E5"/>
          </w:tcPr>
          <w:p>
            <w:pPr>
              <w:jc w:val="right"/>
              <w:ind w:right="120"/>
              <w:spacing w:after="0"/>
              <w:rPr>
                <w:sz w:val="20"/>
                <w:szCs w:val="20"/>
                <w:color w:val="auto"/>
              </w:rPr>
            </w:pPr>
            <w:r>
              <w:rPr>
                <w:rFonts w:ascii="Calibri" w:cs="Calibri" w:eastAsia="Calibri" w:hAnsi="Calibri"/>
                <w:sz w:val="20"/>
                <w:szCs w:val="20"/>
                <w:color w:val="auto"/>
              </w:rPr>
              <w:t>(1,771)</w:t>
            </w:r>
          </w:p>
        </w:tc>
        <w:tc>
          <w:tcPr>
            <w:tcW w:w="260" w:type="dxa"/>
            <w:vAlign w:val="bottom"/>
            <w:gridSpan w:val="2"/>
            <w:shd w:val="clear" w:color="auto" w:fill="E5E5E5"/>
          </w:tcPr>
          <w:p>
            <w:pPr>
              <w:jc w:val="right"/>
              <w:ind w:right="40"/>
              <w:spacing w:after="0"/>
              <w:rPr>
                <w:sz w:val="20"/>
                <w:szCs w:val="20"/>
                <w:color w:val="auto"/>
              </w:rPr>
            </w:pPr>
            <w:r>
              <w:rPr>
                <w:rFonts w:ascii="Calibri" w:cs="Calibri" w:eastAsia="Calibri" w:hAnsi="Calibri"/>
                <w:sz w:val="20"/>
                <w:szCs w:val="20"/>
                <w:color w:val="auto"/>
              </w:rPr>
              <w:t>$</w:t>
            </w:r>
          </w:p>
        </w:tc>
        <w:tc>
          <w:tcPr>
            <w:tcW w:w="102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228,229</w:t>
            </w:r>
          </w:p>
        </w:tc>
        <w:tc>
          <w:tcPr>
            <w:tcW w:w="300" w:type="dxa"/>
            <w:vAlign w:val="bottom"/>
            <w:gridSpan w:val="2"/>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10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223,100</w:t>
            </w:r>
          </w:p>
        </w:tc>
        <w:tc>
          <w:tcPr>
            <w:tcW w:w="1080" w:type="dxa"/>
            <w:vAlign w:val="bottom"/>
            <w:gridSpan w:val="2"/>
            <w:shd w:val="clear" w:color="auto" w:fill="E5E5E5"/>
          </w:tcPr>
          <w:p>
            <w:pPr>
              <w:ind w:left="160"/>
              <w:spacing w:after="0"/>
              <w:rPr>
                <w:sz w:val="20"/>
                <w:szCs w:val="20"/>
                <w:color w:val="auto"/>
              </w:rPr>
            </w:pPr>
            <w:r>
              <w:rPr>
                <w:rFonts w:ascii="Calibri" w:cs="Calibri" w:eastAsia="Calibri" w:hAnsi="Calibri"/>
                <w:sz w:val="20"/>
                <w:szCs w:val="20"/>
                <w:color w:val="auto"/>
              </w:rPr>
              <w:t>Level 2**</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200" w:hanging="193"/>
        <w:spacing w:after="0" w:line="260" w:lineRule="auto"/>
        <w:tabs>
          <w:tab w:leader="none" w:pos="200" w:val="left"/>
        </w:tabs>
        <w:numPr>
          <w:ilvl w:val="0"/>
          <w:numId w:val="65"/>
        </w:numPr>
        <w:rPr>
          <w:rFonts w:ascii="Calibri" w:cs="Calibri" w:eastAsia="Calibri" w:hAnsi="Calibri"/>
          <w:sz w:val="16"/>
          <w:szCs w:val="16"/>
          <w:color w:val="auto"/>
        </w:rPr>
      </w:pPr>
      <w:r>
        <w:rPr>
          <w:rFonts w:ascii="Calibri" w:cs="Calibri" w:eastAsia="Calibri" w:hAnsi="Calibri"/>
          <w:sz w:val="16"/>
          <w:szCs w:val="16"/>
          <w:color w:val="auto"/>
        </w:rPr>
        <w:t>The principal amounts outstanding are subject to variable interest rates, which are based on three-month SOFR plus fixed percentages. Therefore, the Company believes the carrying amount of these obligations approximates fair value.</w:t>
      </w:r>
    </w:p>
    <w:p>
      <w:pPr>
        <w:spacing w:after="0" w:line="229" w:lineRule="exact"/>
        <w:rPr>
          <w:rFonts w:ascii="Calibri" w:cs="Calibri" w:eastAsia="Calibri" w:hAnsi="Calibri"/>
          <w:sz w:val="16"/>
          <w:szCs w:val="16"/>
          <w:color w:val="auto"/>
        </w:rPr>
      </w:pPr>
    </w:p>
    <w:p>
      <w:pPr>
        <w:ind w:left="200" w:hanging="193"/>
        <w:spacing w:after="0" w:line="259" w:lineRule="auto"/>
        <w:tabs>
          <w:tab w:leader="none" w:pos="236" w:val="left"/>
        </w:tabs>
        <w:numPr>
          <w:ilvl w:val="0"/>
          <w:numId w:val="66"/>
        </w:numPr>
        <w:rPr>
          <w:rFonts w:ascii="Calibri" w:cs="Calibri" w:eastAsia="Calibri" w:hAnsi="Calibri"/>
          <w:sz w:val="16"/>
          <w:szCs w:val="16"/>
          <w:color w:val="auto"/>
        </w:rPr>
      </w:pPr>
      <w:r>
        <w:rPr>
          <w:rFonts w:ascii="Calibri" w:cs="Calibri" w:eastAsia="Calibri" w:hAnsi="Calibri"/>
          <w:sz w:val="16"/>
          <w:szCs w:val="16"/>
          <w:color w:val="auto"/>
        </w:rPr>
        <w:t>The fair value is influenced by interest rates, the Company’s stock price and stock price volatility and is determined by prices observed in market trading. Since the market for trading of the 2026 Convertible Notes is not considered to be an active market, the estimated fair value is based on Level 2 inputs.</w:t>
      </w:r>
    </w:p>
    <w:p>
      <w:pPr>
        <w:spacing w:after="0" w:line="23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2029 Term Loan</w:t>
      </w:r>
    </w:p>
    <w:p>
      <w:pPr>
        <w:spacing w:after="0" w:line="240"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On May 8, 2024, the Company entered into a senior secured term loan facility of $38.7 million that was fully funded on the 2029 Term Loan Effective Date with the Agent and the 2029 Lenders. The net proceeds of $37.5 million, net of the original issuance discount, were used by the Company to help repay in full the existing outstanding indebtedness owed by the Company to BioPharma Credit, PLC (“BioPharma”), BPCR Limited Partnership (a “2027 Lender”), and Biopharma Credit Investments V (Master) LP (a “2027 Lender”) pursuant to the 2027 Term Loans.</w:t>
      </w:r>
    </w:p>
    <w:p>
      <w:pPr>
        <w:spacing w:after="0" w:line="214" w:lineRule="exact"/>
        <w:rPr>
          <w:sz w:val="20"/>
          <w:szCs w:val="20"/>
          <w:color w:val="auto"/>
        </w:rPr>
      </w:pPr>
    </w:p>
    <w:p>
      <w:pPr>
        <w:jc w:val="both"/>
        <w:ind w:firstLine="720"/>
        <w:spacing w:after="0" w:line="241" w:lineRule="auto"/>
        <w:rPr>
          <w:sz w:val="20"/>
          <w:szCs w:val="20"/>
          <w:color w:val="auto"/>
        </w:rPr>
      </w:pPr>
      <w:r>
        <w:rPr>
          <w:rFonts w:ascii="Calibri" w:cs="Calibri" w:eastAsia="Calibri" w:hAnsi="Calibri"/>
          <w:sz w:val="20"/>
          <w:szCs w:val="20"/>
          <w:color w:val="auto"/>
        </w:rPr>
        <w:t>The 2029 Term Loan is governed by the 2029 Loan Agreement. The 2029 Term Loan will mature on May 8, 2029. The amounts borrowed under the 2029 Term Loan accrue interest equal to 8.0% per annum, plus a three-month SOFR rate. The 2029 Term Loan provides for interest-only payments on a quarterly basis until maturity. The Company may prepay the 2029 Term Loan in full or in part provided the Company (i) provides at least three (3) business days’ prior written notice to the Agent, (ii) pays on the date of such prepayment (A) all outstanding principal to be prepaid plus accrued and unpaid interest, (B) a prepayment fee of (x) 10.0% of the 2029 Term Loans so prepaid if paid on or after the first anniversary of the 2029 Term Loan Effective Date and before the second anniversary of the 2029 Term Loan Effective Date; (y) 5.0% of the 2029 Term Loan so prepaid if paid after the second anniversary of the 2029 Term Loan Effective Date and on or before the third anniversary of the 2029 Term Loan Effective Date; and (z) 0% of the 2029 Term Loan so prepaid if paid after the third anniversary of the 2029 Term Loan Effective Date, (C) if paid before the first anniversary of the 2029 Term Loan Effective Date, a make-whole amount equal to the interest that would have accrued from the date of prepayment through the first anniversary of the 2029 Term Loan Effective Date, and (D) all other sums, if any, that shall become due and payable under the 2029 Loan Agreement, including interest at the default rate with respect to any past due amounts. Amounts outstanding during an event of default shall accrue interest at an additional rate of 4.0% per annum, which interest shall be payable on demand in cash.</w:t>
      </w:r>
    </w:p>
    <w:p>
      <w:pPr>
        <w:sectPr>
          <w:pgSz w:w="12240" w:h="15840" w:orient="portrait"/>
          <w:cols w:equalWidth="0" w:num="1">
            <w:col w:w="11160"/>
          </w:cols>
          <w:pgMar w:left="540" w:top="53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101</w:t>
      </w:r>
    </w:p>
    <w:p>
      <w:pPr>
        <w:sectPr>
          <w:pgSz w:w="12240" w:h="15840" w:orient="portrait"/>
          <w:cols w:equalWidth="0" w:num="1">
            <w:col w:w="11160"/>
          </w:cols>
          <w:pgMar w:left="540" w:top="532" w:right="540" w:bottom="0" w:gutter="0" w:footer="0" w:header="0"/>
          <w:type w:val="continuous"/>
        </w:sectPr>
      </w:pPr>
    </w:p>
    <w:bookmarkStart w:id="103" w:name="page104"/>
    <w:bookmarkEnd w:id="103"/>
    <w:p>
      <w:pPr>
        <w:jc w:val="both"/>
        <w:ind w:firstLine="720"/>
        <w:spacing w:after="0" w:line="245" w:lineRule="auto"/>
        <w:rPr>
          <w:sz w:val="20"/>
          <w:szCs w:val="20"/>
          <w:color w:val="auto"/>
        </w:rPr>
      </w:pPr>
      <w:r>
        <w:rPr>
          <w:rFonts w:ascii="Calibri" w:cs="Calibri" w:eastAsia="Calibri" w:hAnsi="Calibri"/>
          <w:sz w:val="20"/>
          <w:szCs w:val="20"/>
          <w:color w:val="auto"/>
        </w:rPr>
        <w:t>The 2029 Term Loan is secured by a lien on substantially all of the assets of the Company, including intellectual property, subject to customary exclusions and exceptions. The 2029 Loan Agreement contains customary representations and warranties, covenants and events of default, including a financial covenant that commenced on the 2029 Term Loan Effective Date, which requires the Company to maintain certain levels of cash and cash equivalents. As of December 31, 2025, the Company was in full compliance with these covenants, and there were no events of default under the 2029 Term Loan.</w:t>
      </w:r>
    </w:p>
    <w:p>
      <w:pPr>
        <w:spacing w:after="0" w:line="214"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The Company incurred $2.2 million of debt discount and issuance costs relating to the issuance of the 2029 Term Loan, which were recorded as a reduction to the carrying value of the 2029 Term Loan on the consolidated balance sheets. The debt issuance costs are being amortized and recognized as additional interest expense over the five-year contractual term of the 2029 Term Loan using the effective interest rate method.</w:t>
      </w:r>
    </w:p>
    <w:p>
      <w:pPr>
        <w:spacing w:after="0" w:line="212" w:lineRule="exact"/>
        <w:rPr>
          <w:sz w:val="20"/>
          <w:szCs w:val="20"/>
          <w:color w:val="auto"/>
        </w:rPr>
      </w:pPr>
    </w:p>
    <w:p>
      <w:pPr>
        <w:jc w:val="both"/>
        <w:ind w:firstLine="720"/>
        <w:spacing w:after="0" w:line="288" w:lineRule="auto"/>
        <w:rPr>
          <w:sz w:val="20"/>
          <w:szCs w:val="20"/>
          <w:color w:val="auto"/>
        </w:rPr>
      </w:pPr>
      <w:r>
        <w:rPr>
          <w:rFonts w:ascii="Calibri" w:cs="Calibri" w:eastAsia="Calibri" w:hAnsi="Calibri"/>
          <w:sz w:val="19"/>
          <w:szCs w:val="19"/>
          <w:color w:val="auto"/>
        </w:rPr>
        <w:t>The Company adopted the prospective method to account for future cash payments. Under the prospective method, the effective interest rate is not constant, and any change in the expected cash flows is recognized prospectively as an adjustment to the effective yield.</w:t>
      </w:r>
    </w:p>
    <w:p>
      <w:pPr>
        <w:spacing w:after="0" w:line="172"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Interest expense on the 2029 Term Loan was $5.1 million and $3.5 million for the years ended December 31, 2025 and 2024, respectively, and is classified within continuing operations on the consolidated statements of operations.</w:t>
      </w:r>
    </w:p>
    <w:p>
      <w:pPr>
        <w:spacing w:after="0" w:line="197"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Assuming the fourth quarter of 2025 interest rate of 12.0%, future payments on the 2029 Term Loan are as follows:</w:t>
      </w:r>
    </w:p>
    <w:p>
      <w:pPr>
        <w:spacing w:after="0" w:line="248"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Year ending December 31, (in thousands)</w:t>
      </w:r>
    </w:p>
    <w:tbl>
      <w:tblPr>
        <w:tblLayout w:type="fixed"/>
        <w:tblInd w:w="0" w:type="dxa"/>
        <w:tblCellMar>
          <w:top w:w="0" w:type="dxa"/>
          <w:left w:w="0" w:type="dxa"/>
          <w:bottom w:w="0" w:type="dxa"/>
          <w:right w:w="0" w:type="dxa"/>
        </w:tblCellMar>
      </w:tblPr>
      <w:tr>
        <w:trPr>
          <w:trHeight w:val="249"/>
        </w:trPr>
        <w:tc>
          <w:tcPr>
            <w:tcW w:w="560" w:type="dxa"/>
            <w:vAlign w:val="bottom"/>
            <w:tcBorders>
              <w:top w:val="single" w:sz="8" w:color="auto"/>
            </w:tcBorders>
            <w:shd w:val="clear" w:color="auto" w:fill="E5E5E5"/>
          </w:tcPr>
          <w:p>
            <w:pPr>
              <w:ind w:left="120"/>
              <w:spacing w:after="0"/>
              <w:rPr>
                <w:sz w:val="20"/>
                <w:szCs w:val="20"/>
                <w:color w:val="auto"/>
              </w:rPr>
            </w:pPr>
            <w:r>
              <w:rPr>
                <w:rFonts w:ascii="Calibri" w:cs="Calibri" w:eastAsia="Calibri" w:hAnsi="Calibri"/>
                <w:sz w:val="20"/>
                <w:szCs w:val="20"/>
                <w:color w:val="auto"/>
              </w:rPr>
              <w:t>2026</w:t>
            </w:r>
          </w:p>
        </w:tc>
        <w:tc>
          <w:tcPr>
            <w:tcW w:w="2180" w:type="dxa"/>
            <w:vAlign w:val="bottom"/>
            <w:tcBorders>
              <w:top w:val="single" w:sz="8" w:color="auto"/>
            </w:tcBorders>
            <w:shd w:val="clear" w:color="auto" w:fill="E5E5E5"/>
          </w:tcPr>
          <w:p>
            <w:pPr>
              <w:ind w:left="20"/>
              <w:spacing w:after="0"/>
              <w:rPr>
                <w:sz w:val="20"/>
                <w:szCs w:val="20"/>
                <w:color w:val="auto"/>
              </w:rPr>
            </w:pPr>
            <w:r>
              <w:rPr>
                <w:rFonts w:ascii="Calibri" w:cs="Calibri" w:eastAsia="Calibri" w:hAnsi="Calibri"/>
                <w:sz w:val="20"/>
                <w:szCs w:val="20"/>
                <w:color w:val="auto"/>
              </w:rPr>
              <w:t>- interest only</w:t>
            </w:r>
          </w:p>
        </w:tc>
        <w:tc>
          <w:tcPr>
            <w:tcW w:w="6960" w:type="dxa"/>
            <w:vAlign w:val="bottom"/>
            <w:shd w:val="clear" w:color="auto" w:fill="E5E5E5"/>
          </w:tcPr>
          <w:p>
            <w:pPr>
              <w:spacing w:after="0"/>
              <w:rPr>
                <w:sz w:val="21"/>
                <w:szCs w:val="21"/>
                <w:color w:val="auto"/>
              </w:rPr>
            </w:pPr>
          </w:p>
        </w:tc>
        <w:tc>
          <w:tcPr>
            <w:tcW w:w="440" w:type="dxa"/>
            <w:vAlign w:val="bottom"/>
            <w:gridSpan w:val="2"/>
            <w:shd w:val="clear" w:color="auto" w:fill="E5E5E5"/>
          </w:tcPr>
          <w:p>
            <w:pPr>
              <w:jc w:val="right"/>
              <w:ind w:right="220"/>
              <w:spacing w:after="0"/>
              <w:rPr>
                <w:sz w:val="20"/>
                <w:szCs w:val="20"/>
                <w:color w:val="auto"/>
              </w:rPr>
            </w:pPr>
            <w:r>
              <w:rPr>
                <w:rFonts w:ascii="Calibri" w:cs="Calibri" w:eastAsia="Calibri" w:hAnsi="Calibri"/>
                <w:sz w:val="20"/>
                <w:szCs w:val="20"/>
                <w:color w:val="auto"/>
                <w:w w:val="98"/>
              </w:rPr>
              <w:t>$</w:t>
            </w:r>
          </w:p>
        </w:tc>
        <w:tc>
          <w:tcPr>
            <w:tcW w:w="10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4,704</w:t>
            </w:r>
          </w:p>
        </w:tc>
      </w:tr>
      <w:tr>
        <w:trPr>
          <w:trHeight w:val="244"/>
        </w:trPr>
        <w:tc>
          <w:tcPr>
            <w:tcW w:w="560" w:type="dxa"/>
            <w:vAlign w:val="bottom"/>
          </w:tcPr>
          <w:p>
            <w:pPr>
              <w:ind w:left="120"/>
              <w:spacing w:after="0"/>
              <w:rPr>
                <w:sz w:val="20"/>
                <w:szCs w:val="20"/>
                <w:color w:val="auto"/>
              </w:rPr>
            </w:pPr>
            <w:r>
              <w:rPr>
                <w:rFonts w:ascii="Calibri" w:cs="Calibri" w:eastAsia="Calibri" w:hAnsi="Calibri"/>
                <w:sz w:val="20"/>
                <w:szCs w:val="20"/>
                <w:color w:val="auto"/>
              </w:rPr>
              <w:t>2027</w:t>
            </w:r>
          </w:p>
        </w:tc>
        <w:tc>
          <w:tcPr>
            <w:tcW w:w="9140" w:type="dxa"/>
            <w:vAlign w:val="bottom"/>
            <w:gridSpan w:val="2"/>
          </w:tcPr>
          <w:p>
            <w:pPr>
              <w:ind w:left="20"/>
              <w:spacing w:after="0"/>
              <w:rPr>
                <w:sz w:val="20"/>
                <w:szCs w:val="20"/>
                <w:color w:val="auto"/>
              </w:rPr>
            </w:pPr>
            <w:r>
              <w:rPr>
                <w:rFonts w:ascii="Calibri" w:cs="Calibri" w:eastAsia="Calibri" w:hAnsi="Calibri"/>
                <w:sz w:val="20"/>
                <w:szCs w:val="20"/>
                <w:color w:val="auto"/>
              </w:rPr>
              <w:t>- interest only</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color w:val="auto"/>
              </w:rPr>
              <w:t>4,704</w:t>
            </w:r>
          </w:p>
        </w:tc>
      </w:tr>
      <w:tr>
        <w:trPr>
          <w:trHeight w:val="245"/>
        </w:trPr>
        <w:tc>
          <w:tcPr>
            <w:tcW w:w="56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2028</w:t>
            </w:r>
          </w:p>
        </w:tc>
        <w:tc>
          <w:tcPr>
            <w:tcW w:w="9140" w:type="dxa"/>
            <w:vAlign w:val="bottom"/>
            <w:gridSpan w:val="2"/>
            <w:shd w:val="clear" w:color="auto" w:fill="E5E5E5"/>
          </w:tcPr>
          <w:p>
            <w:pPr>
              <w:ind w:left="20"/>
              <w:spacing w:after="0"/>
              <w:rPr>
                <w:sz w:val="20"/>
                <w:szCs w:val="20"/>
                <w:color w:val="auto"/>
              </w:rPr>
            </w:pPr>
            <w:r>
              <w:rPr>
                <w:rFonts w:ascii="Calibri" w:cs="Calibri" w:eastAsia="Calibri" w:hAnsi="Calibri"/>
                <w:sz w:val="20"/>
                <w:szCs w:val="20"/>
                <w:color w:val="auto"/>
              </w:rPr>
              <w:t>- interest only</w:t>
            </w:r>
          </w:p>
        </w:tc>
        <w:tc>
          <w:tcPr>
            <w:tcW w:w="20" w:type="dxa"/>
            <w:vAlign w:val="bottom"/>
            <w:shd w:val="clear" w:color="auto" w:fill="E5E5E5"/>
          </w:tcPr>
          <w:p>
            <w:pPr>
              <w:spacing w:after="0"/>
              <w:rPr>
                <w:sz w:val="21"/>
                <w:szCs w:val="21"/>
                <w:color w:val="auto"/>
              </w:rPr>
            </w:pPr>
          </w:p>
        </w:tc>
        <w:tc>
          <w:tcPr>
            <w:tcW w:w="420" w:type="dxa"/>
            <w:vAlign w:val="bottom"/>
            <w:shd w:val="clear" w:color="auto" w:fill="E5E5E5"/>
          </w:tcPr>
          <w:p>
            <w:pPr>
              <w:spacing w:after="0"/>
              <w:rPr>
                <w:sz w:val="21"/>
                <w:szCs w:val="21"/>
                <w:color w:val="auto"/>
              </w:rPr>
            </w:pPr>
          </w:p>
        </w:tc>
        <w:tc>
          <w:tcPr>
            <w:tcW w:w="10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4,717</w:t>
            </w:r>
          </w:p>
        </w:tc>
      </w:tr>
      <w:tr>
        <w:trPr>
          <w:trHeight w:val="244"/>
        </w:trPr>
        <w:tc>
          <w:tcPr>
            <w:tcW w:w="560" w:type="dxa"/>
            <w:vAlign w:val="bottom"/>
            <w:tcBorders>
              <w:bottom w:val="single" w:sz="8" w:color="E5E5E5"/>
            </w:tcBorders>
          </w:tcPr>
          <w:p>
            <w:pPr>
              <w:ind w:left="120"/>
              <w:spacing w:after="0"/>
              <w:rPr>
                <w:sz w:val="20"/>
                <w:szCs w:val="20"/>
                <w:color w:val="auto"/>
              </w:rPr>
            </w:pPr>
            <w:r>
              <w:rPr>
                <w:rFonts w:ascii="Calibri" w:cs="Calibri" w:eastAsia="Calibri" w:hAnsi="Calibri"/>
                <w:sz w:val="20"/>
                <w:szCs w:val="20"/>
                <w:color w:val="auto"/>
              </w:rPr>
              <w:t>2029</w:t>
            </w:r>
          </w:p>
        </w:tc>
        <w:tc>
          <w:tcPr>
            <w:tcW w:w="9140" w:type="dxa"/>
            <w:vAlign w:val="bottom"/>
            <w:tcBorders>
              <w:bottom w:val="single" w:sz="8" w:color="E5E5E5"/>
            </w:tcBorders>
            <w:gridSpan w:val="2"/>
          </w:tcPr>
          <w:p>
            <w:pPr>
              <w:ind w:left="20"/>
              <w:spacing w:after="0"/>
              <w:rPr>
                <w:sz w:val="20"/>
                <w:szCs w:val="20"/>
                <w:color w:val="auto"/>
              </w:rPr>
            </w:pPr>
            <w:r>
              <w:rPr>
                <w:rFonts w:ascii="Calibri" w:cs="Calibri" w:eastAsia="Calibri" w:hAnsi="Calibri"/>
                <w:sz w:val="20"/>
                <w:szCs w:val="20"/>
                <w:color w:val="auto"/>
              </w:rPr>
              <w:t>- principal and interest</w:t>
            </w:r>
          </w:p>
        </w:tc>
        <w:tc>
          <w:tcPr>
            <w:tcW w:w="20" w:type="dxa"/>
            <w:vAlign w:val="bottom"/>
            <w:tcBorders>
              <w:bottom w:val="single" w:sz="8" w:color="E5E5E5"/>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40,297</w:t>
            </w:r>
          </w:p>
        </w:tc>
      </w:tr>
      <w:tr>
        <w:trPr>
          <w:trHeight w:val="234"/>
        </w:trPr>
        <w:tc>
          <w:tcPr>
            <w:tcW w:w="9700" w:type="dxa"/>
            <w:vAlign w:val="bottom"/>
            <w:gridSpan w:val="3"/>
            <w:shd w:val="clear" w:color="auto" w:fill="E5E5E5"/>
          </w:tcPr>
          <w:p>
            <w:pPr>
              <w:spacing w:after="0" w:line="234" w:lineRule="exact"/>
              <w:rPr>
                <w:sz w:val="20"/>
                <w:szCs w:val="20"/>
                <w:color w:val="auto"/>
              </w:rPr>
            </w:pPr>
            <w:r>
              <w:rPr>
                <w:rFonts w:ascii="Calibri" w:cs="Calibri" w:eastAsia="Calibri" w:hAnsi="Calibri"/>
                <w:sz w:val="20"/>
                <w:szCs w:val="20"/>
                <w:color w:val="auto"/>
              </w:rPr>
              <w:t>Total minimum payments</w:t>
            </w:r>
          </w:p>
        </w:tc>
        <w:tc>
          <w:tcPr>
            <w:tcW w:w="20" w:type="dxa"/>
            <w:vAlign w:val="bottom"/>
            <w:shd w:val="clear" w:color="auto" w:fill="E5E5E5"/>
          </w:tcPr>
          <w:p>
            <w:pPr>
              <w:spacing w:after="0"/>
              <w:rPr>
                <w:sz w:val="20"/>
                <w:szCs w:val="20"/>
                <w:color w:val="auto"/>
              </w:rPr>
            </w:pPr>
          </w:p>
        </w:tc>
        <w:tc>
          <w:tcPr>
            <w:tcW w:w="420" w:type="dxa"/>
            <w:vAlign w:val="bottom"/>
            <w:shd w:val="clear" w:color="auto" w:fill="E5E5E5"/>
          </w:tcPr>
          <w:p>
            <w:pPr>
              <w:spacing w:after="0"/>
              <w:rPr>
                <w:sz w:val="20"/>
                <w:szCs w:val="20"/>
                <w:color w:val="auto"/>
              </w:rPr>
            </w:pPr>
          </w:p>
        </w:tc>
        <w:tc>
          <w:tcPr>
            <w:tcW w:w="100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54,422</w:t>
            </w:r>
          </w:p>
        </w:tc>
      </w:tr>
      <w:tr>
        <w:trPr>
          <w:trHeight w:val="245"/>
        </w:trPr>
        <w:tc>
          <w:tcPr>
            <w:tcW w:w="9700" w:type="dxa"/>
            <w:vAlign w:val="bottom"/>
            <w:tcBorders>
              <w:bottom w:val="single" w:sz="8" w:color="E5E5E5"/>
            </w:tcBorders>
            <w:gridSpan w:val="3"/>
          </w:tcPr>
          <w:p>
            <w:pPr>
              <w:spacing w:after="0"/>
              <w:rPr>
                <w:sz w:val="20"/>
                <w:szCs w:val="20"/>
                <w:color w:val="auto"/>
              </w:rPr>
            </w:pPr>
            <w:r>
              <w:rPr>
                <w:rFonts w:ascii="Calibri" w:cs="Calibri" w:eastAsia="Calibri" w:hAnsi="Calibri"/>
                <w:sz w:val="20"/>
                <w:szCs w:val="20"/>
                <w:color w:val="auto"/>
              </w:rPr>
              <w:t>Less amount representing interest</w:t>
            </w:r>
          </w:p>
        </w:tc>
        <w:tc>
          <w:tcPr>
            <w:tcW w:w="20" w:type="dxa"/>
            <w:vAlign w:val="bottom"/>
            <w:tcBorders>
              <w:bottom w:val="single" w:sz="8" w:color="E5E5E5"/>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(15,762)</w:t>
            </w:r>
          </w:p>
        </w:tc>
      </w:tr>
      <w:tr>
        <w:trPr>
          <w:trHeight w:val="233"/>
        </w:trPr>
        <w:tc>
          <w:tcPr>
            <w:tcW w:w="9700" w:type="dxa"/>
            <w:vAlign w:val="bottom"/>
            <w:gridSpan w:val="3"/>
            <w:shd w:val="clear" w:color="auto" w:fill="E5E5E5"/>
          </w:tcPr>
          <w:p>
            <w:pPr>
              <w:spacing w:after="0" w:line="233" w:lineRule="exact"/>
              <w:rPr>
                <w:sz w:val="20"/>
                <w:szCs w:val="20"/>
                <w:color w:val="auto"/>
              </w:rPr>
            </w:pPr>
            <w:r>
              <w:rPr>
                <w:rFonts w:ascii="Calibri" w:cs="Calibri" w:eastAsia="Calibri" w:hAnsi="Calibri"/>
                <w:sz w:val="20"/>
                <w:szCs w:val="20"/>
                <w:color w:val="auto"/>
              </w:rPr>
              <w:t>2029 Term Loan, gross</w:t>
            </w:r>
          </w:p>
        </w:tc>
        <w:tc>
          <w:tcPr>
            <w:tcW w:w="20" w:type="dxa"/>
            <w:vAlign w:val="bottom"/>
            <w:shd w:val="clear" w:color="auto" w:fill="E5E5E5"/>
          </w:tcPr>
          <w:p>
            <w:pPr>
              <w:spacing w:after="0"/>
              <w:rPr>
                <w:sz w:val="20"/>
                <w:szCs w:val="20"/>
                <w:color w:val="auto"/>
              </w:rPr>
            </w:pPr>
          </w:p>
        </w:tc>
        <w:tc>
          <w:tcPr>
            <w:tcW w:w="420" w:type="dxa"/>
            <w:vAlign w:val="bottom"/>
            <w:shd w:val="clear" w:color="auto" w:fill="E5E5E5"/>
          </w:tcPr>
          <w:p>
            <w:pPr>
              <w:spacing w:after="0"/>
              <w:rPr>
                <w:sz w:val="20"/>
                <w:szCs w:val="20"/>
                <w:color w:val="auto"/>
              </w:rPr>
            </w:pPr>
          </w:p>
        </w:tc>
        <w:tc>
          <w:tcPr>
            <w:tcW w:w="100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38,660</w:t>
            </w:r>
          </w:p>
        </w:tc>
      </w:tr>
      <w:tr>
        <w:trPr>
          <w:trHeight w:val="245"/>
        </w:trPr>
        <w:tc>
          <w:tcPr>
            <w:tcW w:w="9700" w:type="dxa"/>
            <w:vAlign w:val="bottom"/>
            <w:tcBorders>
              <w:bottom w:val="single" w:sz="8" w:color="E5E5E5"/>
            </w:tcBorders>
            <w:gridSpan w:val="3"/>
          </w:tcPr>
          <w:p>
            <w:pPr>
              <w:spacing w:after="0"/>
              <w:rPr>
                <w:sz w:val="20"/>
                <w:szCs w:val="20"/>
                <w:color w:val="auto"/>
              </w:rPr>
            </w:pPr>
            <w:r>
              <w:rPr>
                <w:rFonts w:ascii="Calibri" w:cs="Calibri" w:eastAsia="Calibri" w:hAnsi="Calibri"/>
                <w:sz w:val="20"/>
                <w:szCs w:val="20"/>
                <w:color w:val="auto"/>
              </w:rPr>
              <w:t>Less unamortized debt discount and debt issuance costs</w:t>
            </w:r>
          </w:p>
        </w:tc>
        <w:tc>
          <w:tcPr>
            <w:tcW w:w="20" w:type="dxa"/>
            <w:vAlign w:val="bottom"/>
            <w:tcBorders>
              <w:bottom w:val="single" w:sz="8" w:color="E5E5E5"/>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(1,609)</w:t>
            </w:r>
          </w:p>
        </w:tc>
      </w:tr>
      <w:tr>
        <w:trPr>
          <w:trHeight w:val="244"/>
        </w:trPr>
        <w:tc>
          <w:tcPr>
            <w:tcW w:w="9700" w:type="dxa"/>
            <w:vAlign w:val="bottom"/>
            <w:gridSpan w:val="3"/>
            <w:shd w:val="clear" w:color="auto" w:fill="E5E5E5"/>
          </w:tcPr>
          <w:p>
            <w:pPr>
              <w:spacing w:after="0" w:line="234" w:lineRule="exact"/>
              <w:rPr>
                <w:sz w:val="20"/>
                <w:szCs w:val="20"/>
                <w:color w:val="auto"/>
              </w:rPr>
            </w:pPr>
            <w:r>
              <w:rPr>
                <w:rFonts w:ascii="Calibri" w:cs="Calibri" w:eastAsia="Calibri" w:hAnsi="Calibri"/>
                <w:sz w:val="20"/>
                <w:szCs w:val="20"/>
                <w:color w:val="auto"/>
              </w:rPr>
              <w:t>Net carrying amount of 2029 Term Loan</w:t>
            </w:r>
          </w:p>
        </w:tc>
        <w:tc>
          <w:tcPr>
            <w:tcW w:w="20" w:type="dxa"/>
            <w:vAlign w:val="bottom"/>
            <w:tcBorders>
              <w:bottom w:val="single" w:sz="8" w:color="auto"/>
            </w:tcBorders>
            <w:shd w:val="clear" w:color="auto" w:fill="E5E5E5"/>
          </w:tcPr>
          <w:p>
            <w:pPr>
              <w:spacing w:after="0"/>
              <w:rPr>
                <w:sz w:val="21"/>
                <w:szCs w:val="21"/>
                <w:color w:val="auto"/>
              </w:rPr>
            </w:pPr>
          </w:p>
        </w:tc>
        <w:tc>
          <w:tcPr>
            <w:tcW w:w="420" w:type="dxa"/>
            <w:vAlign w:val="bottom"/>
            <w:tcBorders>
              <w:bottom w:val="single" w:sz="8" w:color="auto"/>
            </w:tcBorders>
            <w:shd w:val="clear" w:color="auto" w:fill="E5E5E5"/>
          </w:tcPr>
          <w:p>
            <w:pPr>
              <w:jc w:val="right"/>
              <w:ind w:right="220"/>
              <w:spacing w:after="0" w:line="235" w:lineRule="exact"/>
              <w:rPr>
                <w:sz w:val="20"/>
                <w:szCs w:val="20"/>
                <w:color w:val="auto"/>
              </w:rPr>
            </w:pPr>
            <w:r>
              <w:rPr>
                <w:rFonts w:ascii="Calibri" w:cs="Calibri" w:eastAsia="Calibri" w:hAnsi="Calibri"/>
                <w:sz w:val="20"/>
                <w:szCs w:val="20"/>
                <w:color w:val="auto"/>
                <w:w w:val="78"/>
              </w:rPr>
              <w:t>$</w:t>
            </w:r>
          </w:p>
        </w:tc>
        <w:tc>
          <w:tcPr>
            <w:tcW w:w="1000" w:type="dxa"/>
            <w:vAlign w:val="bottom"/>
            <w:tcBorders>
              <w:bottom w:val="single" w:sz="8" w:color="auto"/>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37,051</w:t>
            </w:r>
          </w:p>
        </w:tc>
      </w:tr>
    </w:tbl>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Revenue Purchase and Sale Agreement</w:t>
      </w:r>
    </w:p>
    <w:p>
      <w:pPr>
        <w:spacing w:after="0" w:line="241" w:lineRule="exact"/>
        <w:rPr>
          <w:sz w:val="20"/>
          <w:szCs w:val="20"/>
          <w:color w:val="auto"/>
        </w:rPr>
      </w:pPr>
    </w:p>
    <w:p>
      <w:pPr>
        <w:jc w:val="both"/>
        <w:ind w:firstLine="490"/>
        <w:spacing w:after="0" w:line="255" w:lineRule="auto"/>
        <w:rPr>
          <w:sz w:val="20"/>
          <w:szCs w:val="20"/>
          <w:color w:val="auto"/>
        </w:rPr>
      </w:pPr>
      <w:r>
        <w:rPr>
          <w:rFonts w:ascii="Calibri" w:cs="Calibri" w:eastAsia="Calibri" w:hAnsi="Calibri"/>
          <w:sz w:val="19"/>
          <w:szCs w:val="19"/>
          <w:color w:val="auto"/>
        </w:rPr>
        <w:t>On May 8, 2024, concurrent with the 2029 Term Loan, the Company entered into the Revenue Purchase and Sale Agreement with Coduet Royalty Holdings, LLC, as administrative agent, and the Purchaser Group. Under the terms of the Revenue Purchase and Sale Agreement, the Purchaser Group paid the Company $37.5 million, subject to certain conditions at closing (the “Revenue Purchase Price”). In exchange, the Company sold to the Purchaser Group a right to receive 5.0% of U.S. net sales of UDENYCA and LOQTORZI with respect to a specified threshold applicable to UDENYCA net sales and a specified threshold applicable to LOQTORZI net sales during an applicable year and 0.5% of U.S. net sales of UDENYCA and LOQTORZI that exceeded the specified threshold during that year (the “Revenue Payment”) for each calendar quarter commencing May 8, 2024. The Purchaser Group’s right to receive the Revenue Payment terminates and the Company no longer has the obligation to pay Revenue Payments once the Purchaser Group receives the amount equal to 2.25 times the Revenue Purchase Price allocated to each product. The Company may also buy out the Purchaser Group’s rights to receive the Revenue Payments by triggering certain conditions and paying the Purchaser Group the unpaid portion of the 2.25 multiple on the Revenue Purchase Price. The proceeds from the Revenue Purchase Price were used by the Company as part of the full repayment of the 2027 Term Loans. On April 15, 2025, the Company paid $47.7 million to buy out the Purchaser Group’s right to receive the Revenue Payments with respect to UDENYCA in accordance with the Revenue Purchase and Sale Agreement (the “UDENYCA Buy-out”).</w:t>
      </w:r>
    </w:p>
    <w:p>
      <w:pPr>
        <w:spacing w:after="0" w:line="209" w:lineRule="exact"/>
        <w:rPr>
          <w:sz w:val="20"/>
          <w:szCs w:val="20"/>
          <w:color w:val="auto"/>
        </w:rPr>
      </w:pPr>
    </w:p>
    <w:p>
      <w:pPr>
        <w:jc w:val="both"/>
        <w:ind w:right="20" w:firstLine="490"/>
        <w:spacing w:after="0" w:line="263" w:lineRule="auto"/>
        <w:rPr>
          <w:sz w:val="20"/>
          <w:szCs w:val="20"/>
          <w:color w:val="auto"/>
        </w:rPr>
      </w:pPr>
      <w:r>
        <w:rPr>
          <w:rFonts w:ascii="Calibri" w:cs="Calibri" w:eastAsia="Calibri" w:hAnsi="Calibri"/>
          <w:sz w:val="20"/>
          <w:szCs w:val="20"/>
          <w:color w:val="auto"/>
        </w:rPr>
        <w:t>The Revenue Purchase and Sale Agreement contains certain covenants, and the Company was in full compliance with the agreement as of December 31, 2025.</w:t>
      </w:r>
    </w:p>
    <w:p>
      <w:pPr>
        <w:spacing w:after="0" w:line="193" w:lineRule="exact"/>
        <w:rPr>
          <w:sz w:val="20"/>
          <w:szCs w:val="20"/>
          <w:color w:val="auto"/>
        </w:rPr>
      </w:pPr>
    </w:p>
    <w:p>
      <w:pPr>
        <w:jc w:val="both"/>
        <w:ind w:firstLine="490"/>
        <w:spacing w:after="0" w:line="243" w:lineRule="auto"/>
        <w:rPr>
          <w:sz w:val="20"/>
          <w:szCs w:val="20"/>
          <w:color w:val="auto"/>
        </w:rPr>
      </w:pPr>
      <w:r>
        <w:rPr>
          <w:rFonts w:ascii="Calibri" w:cs="Calibri" w:eastAsia="Calibri" w:hAnsi="Calibri"/>
          <w:sz w:val="20"/>
          <w:szCs w:val="20"/>
          <w:color w:val="auto"/>
        </w:rPr>
        <w:t>The Revenue Purchase and Sale Agreement contains an embedded derivative that meets the criteria to be bifurcated and accounted for as a freestanding instrument subject to derivative accounting. The allocation of the Revenue Purchase Price to the embedded derivative resulted in a $9.2 million discount on the revenue participation liability at inception. Additionally, there was $1.4 million in issuance costs. The discount and issuance costs are amortized to interest expense over the estimated term of the Revenue Purchase and Sale Agreement using the effective interest method, and the effective interest rate was 27.6% for the LOQTORZI portion at December 31, 2025. In connection with the UDENYCA Buy-out, the unamortized portion of the discount and issuance costs related to UDENYCA was derecognized. For details on the Royalty Fee Derivative Liability, see Note 3. Fair Value Measurements.</w:t>
      </w:r>
    </w:p>
    <w:p>
      <w:pPr>
        <w:sectPr>
          <w:pgSz w:w="12240" w:h="15840" w:orient="portrait"/>
          <w:cols w:equalWidth="0" w:num="1">
            <w:col w:w="11160"/>
          </w:cols>
          <w:pgMar w:left="540" w:top="53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102</w:t>
      </w:r>
    </w:p>
    <w:p>
      <w:pPr>
        <w:sectPr>
          <w:pgSz w:w="12240" w:h="15840" w:orient="portrait"/>
          <w:cols w:equalWidth="0" w:num="1">
            <w:col w:w="11160"/>
          </w:cols>
          <w:pgMar w:left="540" w:top="532" w:right="540" w:bottom="0" w:gutter="0" w:footer="0" w:header="0"/>
          <w:type w:val="continuous"/>
        </w:sectPr>
      </w:pPr>
    </w:p>
    <w:bookmarkStart w:id="104" w:name="page105"/>
    <w:bookmarkEnd w:id="104"/>
    <w:p>
      <w:pPr>
        <w:ind w:left="500"/>
        <w:spacing w:after="0"/>
        <w:rPr>
          <w:sz w:val="20"/>
          <w:szCs w:val="20"/>
          <w:color w:val="auto"/>
        </w:rPr>
      </w:pPr>
      <w:r>
        <w:rPr>
          <w:rFonts w:ascii="Calibri" w:cs="Calibri" w:eastAsia="Calibri" w:hAnsi="Calibri"/>
          <w:sz w:val="20"/>
          <w:szCs w:val="20"/>
          <w:color w:val="auto"/>
        </w:rPr>
        <w:t>A summary of the revenue participation liability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6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jc w:val="right"/>
              <w:ind w:right="100"/>
              <w:spacing w:after="0"/>
              <w:rPr>
                <w:sz w:val="20"/>
                <w:szCs w:val="20"/>
                <w:color w:val="auto"/>
              </w:rPr>
            </w:pPr>
            <w:r>
              <w:rPr>
                <w:rFonts w:ascii="Calibri" w:cs="Calibri" w:eastAsia="Calibri" w:hAnsi="Calibri"/>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160" w:type="dxa"/>
            <w:vAlign w:val="bottom"/>
            <w:tcBorders>
              <w:bottom w:val="single" w:sz="8" w:color="E5E5E5"/>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8"/>
              <w:spacing w:after="0" w:line="185" w:lineRule="exact"/>
              <w:rPr>
                <w:sz w:val="20"/>
                <w:szCs w:val="20"/>
                <w:color w:val="auto"/>
              </w:rPr>
            </w:pPr>
            <w:r>
              <w:rPr>
                <w:rFonts w:ascii="Calibri" w:cs="Calibri" w:eastAsia="Calibri" w:hAnsi="Calibri"/>
                <w:sz w:val="16"/>
                <w:szCs w:val="16"/>
                <w:b w:val="1"/>
                <w:bCs w:val="1"/>
                <w:color w:val="auto"/>
              </w:rPr>
              <w:t>2025</w:t>
            </w:r>
          </w:p>
        </w:tc>
        <w:tc>
          <w:tcPr>
            <w:tcW w:w="20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60" w:type="dxa"/>
            <w:vAlign w:val="bottom"/>
            <w:tcBorders>
              <w:bottom w:val="single" w:sz="8" w:color="E5E5E5"/>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line="185" w:lineRule="exact"/>
              <w:rPr>
                <w:sz w:val="20"/>
                <w:szCs w:val="20"/>
                <w:color w:val="auto"/>
              </w:rPr>
            </w:pPr>
            <w:r>
              <w:rPr>
                <w:rFonts w:ascii="Calibri" w:cs="Calibri" w:eastAsia="Calibri" w:hAnsi="Calibri"/>
                <w:sz w:val="16"/>
                <w:szCs w:val="16"/>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16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Revenue participation liability</w:t>
            </w:r>
          </w:p>
        </w:tc>
        <w:tc>
          <w:tcPr>
            <w:tcW w:w="320" w:type="dxa"/>
            <w:vAlign w:val="bottom"/>
            <w:shd w:val="clear" w:color="auto" w:fill="E5E5E5"/>
          </w:tcPr>
          <w:p>
            <w:pPr>
              <w:jc w:val="right"/>
              <w:ind w:right="120"/>
              <w:spacing w:after="0" w:line="234" w:lineRule="exact"/>
              <w:rPr>
                <w:sz w:val="20"/>
                <w:szCs w:val="20"/>
                <w:color w:val="auto"/>
              </w:rPr>
            </w:pPr>
            <w:r>
              <w:rPr>
                <w:rFonts w:ascii="Calibri" w:cs="Calibri" w:eastAsia="Calibri" w:hAnsi="Calibri"/>
                <w:sz w:val="20"/>
                <w:szCs w:val="20"/>
                <w:color w:val="auto"/>
                <w:w w:val="78"/>
              </w:rPr>
              <w:t>$</w:t>
            </w:r>
          </w:p>
        </w:tc>
        <w:tc>
          <w:tcPr>
            <w:tcW w:w="104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16,524</w:t>
            </w:r>
          </w:p>
        </w:tc>
        <w:tc>
          <w:tcPr>
            <w:tcW w:w="200" w:type="dxa"/>
            <w:vAlign w:val="bottom"/>
            <w:shd w:val="clear" w:color="auto" w:fill="E5E5E5"/>
          </w:tcPr>
          <w:p>
            <w:pPr>
              <w:spacing w:after="0"/>
              <w:rPr>
                <w:sz w:val="20"/>
                <w:szCs w:val="20"/>
                <w:color w:val="auto"/>
              </w:rPr>
            </w:pPr>
          </w:p>
        </w:tc>
        <w:tc>
          <w:tcPr>
            <w:tcW w:w="480" w:type="dxa"/>
            <w:vAlign w:val="bottom"/>
            <w:gridSpan w:val="3"/>
            <w:shd w:val="clear" w:color="auto" w:fill="E5E5E5"/>
          </w:tcPr>
          <w:p>
            <w:pPr>
              <w:jc w:val="right"/>
              <w:ind w:right="300"/>
              <w:spacing w:after="0" w:line="234" w:lineRule="exact"/>
              <w:rPr>
                <w:sz w:val="20"/>
                <w:szCs w:val="20"/>
                <w:color w:val="auto"/>
              </w:rPr>
            </w:pPr>
            <w:r>
              <w:rPr>
                <w:rFonts w:ascii="Calibri" w:cs="Calibri" w:eastAsia="Calibri" w:hAnsi="Calibri"/>
                <w:sz w:val="20"/>
                <w:szCs w:val="20"/>
                <w:color w:val="auto"/>
              </w:rPr>
              <w:t>$</w:t>
            </w:r>
          </w:p>
        </w:tc>
        <w:tc>
          <w:tcPr>
            <w:tcW w:w="96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37,994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8160" w:type="dxa"/>
            <w:vAlign w:val="bottom"/>
          </w:tcPr>
          <w:p>
            <w:pPr>
              <w:spacing w:after="0"/>
              <w:rPr>
                <w:sz w:val="20"/>
                <w:szCs w:val="20"/>
                <w:color w:val="auto"/>
              </w:rPr>
            </w:pPr>
            <w:r>
              <w:rPr>
                <w:rFonts w:ascii="Calibri" w:cs="Calibri" w:eastAsia="Calibri" w:hAnsi="Calibri"/>
                <w:sz w:val="20"/>
                <w:szCs w:val="20"/>
                <w:color w:val="auto"/>
              </w:rPr>
              <w:t>Less: unamortized discount and issuance costs</w:t>
            </w:r>
          </w:p>
        </w:tc>
        <w:tc>
          <w:tcPr>
            <w:tcW w:w="3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Calibri" w:cs="Calibri" w:eastAsia="Calibri" w:hAnsi="Calibri"/>
                <w:sz w:val="20"/>
                <w:szCs w:val="20"/>
                <w:color w:val="auto"/>
              </w:rPr>
              <w:t>(2,496)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color w:val="auto"/>
              </w:rPr>
              <w:t>(9,251)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shd w:val="clear" w:color="auto" w:fill="E5E5E5"/>
          </w:tcPr>
          <w:p>
            <w:pPr>
              <w:spacing w:after="0"/>
              <w:rPr>
                <w:sz w:val="20"/>
                <w:szCs w:val="20"/>
                <w:color w:val="auto"/>
              </w:rPr>
            </w:pPr>
            <w:r>
              <w:rPr>
                <w:rFonts w:ascii="Calibri" w:cs="Calibri" w:eastAsia="Calibri" w:hAnsi="Calibri"/>
                <w:sz w:val="20"/>
                <w:szCs w:val="20"/>
                <w:color w:val="auto"/>
              </w:rPr>
              <w:t>Net carrying value</w:t>
            </w: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60" w:type="dxa"/>
            <w:vAlign w:val="bottom"/>
            <w:tcBorders>
              <w:right w:val="single" w:sz="8" w:color="E5E5E5"/>
            </w:tcBorders>
            <w:shd w:val="clear" w:color="auto" w:fill="E5E5E5"/>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60" w:type="dxa"/>
            <w:vAlign w:val="bottom"/>
            <w:vMerge w:val="continue"/>
            <w:shd w:val="clear" w:color="auto" w:fill="E5E5E5"/>
          </w:tcPr>
          <w:p>
            <w:pPr>
              <w:spacing w:after="0"/>
              <w:rPr>
                <w:sz w:val="21"/>
                <w:szCs w:val="21"/>
                <w:color w:val="auto"/>
              </w:rPr>
            </w:pPr>
          </w:p>
        </w:tc>
        <w:tc>
          <w:tcPr>
            <w:tcW w:w="320" w:type="dxa"/>
            <w:vAlign w:val="bottom"/>
            <w:shd w:val="clear" w:color="auto" w:fill="E5E5E5"/>
          </w:tcPr>
          <w:p>
            <w:pPr>
              <w:jc w:val="right"/>
              <w:ind w:right="120"/>
              <w:spacing w:after="0" w:line="234" w:lineRule="exact"/>
              <w:rPr>
                <w:sz w:val="20"/>
                <w:szCs w:val="20"/>
                <w:color w:val="auto"/>
              </w:rPr>
            </w:pPr>
            <w:r>
              <w:rPr>
                <w:rFonts w:ascii="Calibri" w:cs="Calibri" w:eastAsia="Calibri" w:hAnsi="Calibri"/>
                <w:sz w:val="20"/>
                <w:szCs w:val="20"/>
                <w:color w:val="auto"/>
                <w:w w:val="78"/>
              </w:rPr>
              <w:t>$</w:t>
            </w:r>
          </w:p>
        </w:tc>
        <w:tc>
          <w:tcPr>
            <w:tcW w:w="104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14,028</w:t>
            </w:r>
          </w:p>
        </w:tc>
        <w:tc>
          <w:tcPr>
            <w:tcW w:w="200" w:type="dxa"/>
            <w:vAlign w:val="bottom"/>
            <w:shd w:val="clear" w:color="auto" w:fill="E5E5E5"/>
          </w:tcPr>
          <w:p>
            <w:pPr>
              <w:spacing w:after="0"/>
              <w:rPr>
                <w:sz w:val="21"/>
                <w:szCs w:val="21"/>
                <w:color w:val="auto"/>
              </w:rPr>
            </w:pPr>
          </w:p>
        </w:tc>
        <w:tc>
          <w:tcPr>
            <w:tcW w:w="480" w:type="dxa"/>
            <w:vAlign w:val="bottom"/>
            <w:gridSpan w:val="3"/>
            <w:shd w:val="clear" w:color="auto" w:fill="E5E5E5"/>
          </w:tcPr>
          <w:p>
            <w:pPr>
              <w:jc w:val="right"/>
              <w:ind w:right="300"/>
              <w:spacing w:after="0" w:line="234" w:lineRule="exact"/>
              <w:rPr>
                <w:sz w:val="20"/>
                <w:szCs w:val="20"/>
                <w:color w:val="auto"/>
              </w:rPr>
            </w:pPr>
            <w:r>
              <w:rPr>
                <w:rFonts w:ascii="Calibri" w:cs="Calibri" w:eastAsia="Calibri" w:hAnsi="Calibri"/>
                <w:sz w:val="20"/>
                <w:szCs w:val="20"/>
                <w:color w:val="auto"/>
              </w:rPr>
              <w:t>$</w:t>
            </w:r>
          </w:p>
        </w:tc>
        <w:tc>
          <w:tcPr>
            <w:tcW w:w="96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28,743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6"/>
        </w:trPr>
        <w:tc>
          <w:tcPr>
            <w:tcW w:w="8160" w:type="dxa"/>
            <w:vAlign w:val="bottom"/>
          </w:tcPr>
          <w:p>
            <w:pPr>
              <w:ind w:left="500"/>
              <w:spacing w:after="0"/>
              <w:rPr>
                <w:sz w:val="20"/>
                <w:szCs w:val="20"/>
                <w:color w:val="auto"/>
              </w:rPr>
            </w:pPr>
            <w:r>
              <w:rPr>
                <w:rFonts w:ascii="Calibri" w:cs="Calibri" w:eastAsia="Calibri" w:hAnsi="Calibri"/>
                <w:sz w:val="20"/>
                <w:szCs w:val="20"/>
                <w:color w:val="auto"/>
              </w:rPr>
              <w:t>The following table summarizes the activity within the revenue participation liability:</w:t>
            </w: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8160" w:type="dxa"/>
            <w:vAlign w:val="bottom"/>
          </w:tcPr>
          <w:p>
            <w:pPr>
              <w:spacing w:after="0"/>
              <w:rPr>
                <w:sz w:val="20"/>
                <w:szCs w:val="20"/>
                <w:color w:val="auto"/>
              </w:rPr>
            </w:pPr>
            <w:r>
              <w:rPr>
                <w:rFonts w:ascii="Calibri" w:cs="Calibri" w:eastAsia="Calibri" w:hAnsi="Calibri"/>
                <w:sz w:val="16"/>
                <w:szCs w:val="16"/>
                <w:b w:val="1"/>
                <w:bCs w:val="1"/>
                <w:color w:val="auto"/>
              </w:rPr>
              <w:t>(in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160" w:type="dxa"/>
            <w:vAlign w:val="bottom"/>
            <w:shd w:val="clear" w:color="auto" w:fill="E5E5E5"/>
          </w:tcPr>
          <w:p>
            <w:pPr>
              <w:spacing w:after="0"/>
              <w:rPr>
                <w:sz w:val="20"/>
                <w:szCs w:val="20"/>
                <w:color w:val="auto"/>
              </w:rPr>
            </w:pPr>
            <w:r>
              <w:rPr>
                <w:rFonts w:ascii="Calibri" w:cs="Calibri" w:eastAsia="Calibri" w:hAnsi="Calibri"/>
                <w:sz w:val="20"/>
                <w:szCs w:val="20"/>
                <w:color w:val="auto"/>
              </w:rPr>
              <w:t>Proceeds from sale of future royalties on May 8, 2024</w:t>
            </w:r>
          </w:p>
        </w:tc>
        <w:tc>
          <w:tcPr>
            <w:tcW w:w="320" w:type="dxa"/>
            <w:vAlign w:val="bottom"/>
            <w:shd w:val="clear" w:color="auto" w:fill="E5E5E5"/>
          </w:tcPr>
          <w:p>
            <w:pPr>
              <w:spacing w:after="0"/>
              <w:rPr>
                <w:sz w:val="21"/>
                <w:szCs w:val="21"/>
                <w:color w:val="auto"/>
              </w:rPr>
            </w:pPr>
          </w:p>
        </w:tc>
        <w:tc>
          <w:tcPr>
            <w:tcW w:w="104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480" w:type="dxa"/>
            <w:vAlign w:val="bottom"/>
            <w:gridSpan w:val="3"/>
            <w:shd w:val="clear" w:color="auto" w:fill="E5E5E5"/>
          </w:tcPr>
          <w:p>
            <w:pPr>
              <w:jc w:val="right"/>
              <w:ind w:right="360"/>
              <w:spacing w:after="0"/>
              <w:rPr>
                <w:sz w:val="20"/>
                <w:szCs w:val="20"/>
                <w:color w:val="auto"/>
              </w:rPr>
            </w:pPr>
            <w:r>
              <w:rPr>
                <w:rFonts w:ascii="Calibri" w:cs="Calibri" w:eastAsia="Calibri" w:hAnsi="Calibri"/>
                <w:sz w:val="20"/>
                <w:szCs w:val="20"/>
                <w:color w:val="auto"/>
                <w:w w:val="98"/>
              </w:rPr>
              <w:t>$</w:t>
            </w:r>
          </w:p>
        </w:tc>
        <w:tc>
          <w:tcPr>
            <w:tcW w:w="9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37,500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160" w:type="dxa"/>
            <w:vAlign w:val="bottom"/>
          </w:tcPr>
          <w:p>
            <w:pPr>
              <w:spacing w:after="0"/>
              <w:rPr>
                <w:sz w:val="20"/>
                <w:szCs w:val="20"/>
                <w:color w:val="auto"/>
              </w:rPr>
            </w:pPr>
            <w:r>
              <w:rPr>
                <w:rFonts w:ascii="Calibri" w:cs="Calibri" w:eastAsia="Calibri" w:hAnsi="Calibri"/>
                <w:sz w:val="20"/>
                <w:szCs w:val="20"/>
                <w:color w:val="auto"/>
              </w:rPr>
              <w:t>Portion of proceeds allocated to the embedded derivative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color w:val="auto"/>
              </w:rPr>
              <w:t>(9,202)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160" w:type="dxa"/>
            <w:vAlign w:val="bottom"/>
            <w:shd w:val="clear" w:color="auto" w:fill="E5E5E5"/>
          </w:tcPr>
          <w:p>
            <w:pPr>
              <w:spacing w:after="0"/>
              <w:rPr>
                <w:sz w:val="20"/>
                <w:szCs w:val="20"/>
                <w:color w:val="auto"/>
              </w:rPr>
            </w:pPr>
            <w:r>
              <w:rPr>
                <w:rFonts w:ascii="Calibri" w:cs="Calibri" w:eastAsia="Calibri" w:hAnsi="Calibri"/>
                <w:sz w:val="20"/>
                <w:szCs w:val="20"/>
                <w:color w:val="auto"/>
              </w:rPr>
              <w:t>Issuance costs</w:t>
            </w:r>
          </w:p>
        </w:tc>
        <w:tc>
          <w:tcPr>
            <w:tcW w:w="320" w:type="dxa"/>
            <w:vAlign w:val="bottom"/>
            <w:shd w:val="clear" w:color="auto" w:fill="E5E5E5"/>
          </w:tcPr>
          <w:p>
            <w:pPr>
              <w:spacing w:after="0"/>
              <w:rPr>
                <w:sz w:val="21"/>
                <w:szCs w:val="21"/>
                <w:color w:val="auto"/>
              </w:rPr>
            </w:pPr>
          </w:p>
        </w:tc>
        <w:tc>
          <w:tcPr>
            <w:tcW w:w="104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60" w:type="dxa"/>
            <w:vAlign w:val="bottom"/>
            <w:tcBorders>
              <w:right w:val="single" w:sz="8" w:color="E5E5E5"/>
            </w:tcBorders>
            <w:shd w:val="clear" w:color="auto" w:fill="E5E5E5"/>
          </w:tcPr>
          <w:p>
            <w:pPr>
              <w:spacing w:after="0"/>
              <w:rPr>
                <w:sz w:val="21"/>
                <w:szCs w:val="21"/>
                <w:color w:val="auto"/>
              </w:rPr>
            </w:pPr>
          </w:p>
        </w:tc>
        <w:tc>
          <w:tcPr>
            <w:tcW w:w="400" w:type="dxa"/>
            <w:vAlign w:val="bottom"/>
            <w:shd w:val="clear" w:color="auto" w:fill="E5E5E5"/>
          </w:tcPr>
          <w:p>
            <w:pPr>
              <w:spacing w:after="0"/>
              <w:rPr>
                <w:sz w:val="21"/>
                <w:szCs w:val="21"/>
                <w:color w:val="auto"/>
              </w:rPr>
            </w:pPr>
          </w:p>
        </w:tc>
        <w:tc>
          <w:tcPr>
            <w:tcW w:w="9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(1,391)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160" w:type="dxa"/>
            <w:vAlign w:val="bottom"/>
          </w:tcPr>
          <w:p>
            <w:pPr>
              <w:spacing w:after="0"/>
              <w:rPr>
                <w:sz w:val="20"/>
                <w:szCs w:val="20"/>
                <w:color w:val="auto"/>
              </w:rPr>
            </w:pPr>
            <w:r>
              <w:rPr>
                <w:rFonts w:ascii="Calibri" w:cs="Calibri" w:eastAsia="Calibri" w:hAnsi="Calibri"/>
                <w:sz w:val="20"/>
                <w:szCs w:val="20"/>
                <w:color w:val="auto"/>
              </w:rPr>
              <w:t>Royalty payments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color w:val="auto"/>
              </w:rPr>
              <w:t>(5,334)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160" w:type="dxa"/>
            <w:vAlign w:val="bottom"/>
            <w:shd w:val="clear" w:color="auto" w:fill="E5E5E5"/>
          </w:tcPr>
          <w:p>
            <w:pPr>
              <w:spacing w:after="0" w:line="243" w:lineRule="exact"/>
              <w:rPr>
                <w:sz w:val="20"/>
                <w:szCs w:val="20"/>
                <w:color w:val="auto"/>
              </w:rPr>
            </w:pPr>
            <w:r>
              <w:rPr>
                <w:rFonts w:ascii="Calibri" w:cs="Calibri" w:eastAsia="Calibri" w:hAnsi="Calibri"/>
                <w:sz w:val="20"/>
                <w:szCs w:val="20"/>
                <w:color w:val="auto"/>
              </w:rPr>
              <w:t>Interest expense recognized</w:t>
            </w:r>
            <w:r>
              <w:rPr>
                <w:rFonts w:ascii="Calibri" w:cs="Calibri" w:eastAsia="Calibri" w:hAnsi="Calibri"/>
                <w:sz w:val="25"/>
                <w:szCs w:val="25"/>
                <w:color w:val="auto"/>
                <w:vertAlign w:val="superscript"/>
              </w:rPr>
              <w:t>(1)</w:t>
            </w:r>
          </w:p>
        </w:tc>
        <w:tc>
          <w:tcPr>
            <w:tcW w:w="320" w:type="dxa"/>
            <w:vAlign w:val="bottom"/>
            <w:shd w:val="clear" w:color="auto" w:fill="E5E5E5"/>
          </w:tcPr>
          <w:p>
            <w:pPr>
              <w:spacing w:after="0"/>
              <w:rPr>
                <w:sz w:val="21"/>
                <w:szCs w:val="21"/>
                <w:color w:val="auto"/>
              </w:rPr>
            </w:pPr>
          </w:p>
        </w:tc>
        <w:tc>
          <w:tcPr>
            <w:tcW w:w="104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60" w:type="dxa"/>
            <w:vAlign w:val="bottom"/>
            <w:tcBorders>
              <w:bottom w:val="single" w:sz="8" w:color="auto"/>
              <w:right w:val="single" w:sz="8" w:color="E5E5E5"/>
            </w:tcBorders>
            <w:shd w:val="clear" w:color="auto" w:fill="E5E5E5"/>
          </w:tcPr>
          <w:p>
            <w:pPr>
              <w:spacing w:after="0"/>
              <w:rPr>
                <w:sz w:val="21"/>
                <w:szCs w:val="21"/>
                <w:color w:val="auto"/>
              </w:rPr>
            </w:pPr>
          </w:p>
        </w:tc>
        <w:tc>
          <w:tcPr>
            <w:tcW w:w="400" w:type="dxa"/>
            <w:vAlign w:val="bottom"/>
            <w:tcBorders>
              <w:bottom w:val="single" w:sz="8" w:color="auto"/>
            </w:tcBorders>
            <w:shd w:val="clear" w:color="auto" w:fill="E5E5E5"/>
          </w:tcPr>
          <w:p>
            <w:pPr>
              <w:spacing w:after="0"/>
              <w:rPr>
                <w:sz w:val="21"/>
                <w:szCs w:val="21"/>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7,170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160" w:type="dxa"/>
            <w:vAlign w:val="bottom"/>
            <w:tcBorders>
              <w:bottom w:val="single" w:sz="8" w:color="E5E5E5"/>
            </w:tcBorders>
          </w:tcPr>
          <w:p>
            <w:pPr>
              <w:spacing w:after="0" w:line="234" w:lineRule="exact"/>
              <w:rPr>
                <w:sz w:val="20"/>
                <w:szCs w:val="20"/>
                <w:color w:val="auto"/>
              </w:rPr>
            </w:pPr>
            <w:r>
              <w:rPr>
                <w:rFonts w:ascii="Calibri" w:cs="Calibri" w:eastAsia="Calibri" w:hAnsi="Calibri"/>
                <w:sz w:val="20"/>
                <w:szCs w:val="20"/>
                <w:color w:val="auto"/>
              </w:rPr>
              <w:t>Revenue participation liability at December 31, 2024</w:t>
            </w:r>
          </w:p>
        </w:tc>
        <w:tc>
          <w:tcPr>
            <w:tcW w:w="320" w:type="dxa"/>
            <w:vAlign w:val="bottom"/>
            <w:tcBorders>
              <w:bottom w:val="single" w:sz="8" w:color="E5E5E5"/>
            </w:tcBorders>
          </w:tcPr>
          <w:p>
            <w:pPr>
              <w:spacing w:after="0"/>
              <w:rPr>
                <w:sz w:val="20"/>
                <w:szCs w:val="20"/>
                <w:color w:val="auto"/>
              </w:rPr>
            </w:pPr>
          </w:p>
        </w:tc>
        <w:tc>
          <w:tcPr>
            <w:tcW w:w="1040" w:type="dxa"/>
            <w:vAlign w:val="bottom"/>
            <w:tcBorders>
              <w:bottom w:val="single" w:sz="8" w:color="E5E5E5"/>
            </w:tcBorders>
          </w:tcPr>
          <w:p>
            <w:pPr>
              <w:spacing w:after="0"/>
              <w:rPr>
                <w:sz w:val="20"/>
                <w:szCs w:val="20"/>
                <w:color w:val="auto"/>
              </w:rPr>
            </w:pPr>
          </w:p>
        </w:tc>
        <w:tc>
          <w:tcPr>
            <w:tcW w:w="200" w:type="dxa"/>
            <w:vAlign w:val="bottom"/>
            <w:tcBorders>
              <w:bottom w:val="single" w:sz="8" w:color="E5E5E5"/>
            </w:tcBorders>
          </w:tcPr>
          <w:p>
            <w:pPr>
              <w:spacing w:after="0"/>
              <w:rPr>
                <w:sz w:val="20"/>
                <w:szCs w:val="20"/>
                <w:color w:val="auto"/>
              </w:rPr>
            </w:pPr>
          </w:p>
        </w:tc>
        <w:tc>
          <w:tcPr>
            <w:tcW w:w="20" w:type="dxa"/>
            <w:vAlign w:val="bottom"/>
            <w:tcBorders>
              <w:bottom w:val="single" w:sz="8" w:color="E5E5E5"/>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28,743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16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Royalty payments</w:t>
            </w:r>
          </w:p>
        </w:tc>
        <w:tc>
          <w:tcPr>
            <w:tcW w:w="320" w:type="dxa"/>
            <w:vAlign w:val="bottom"/>
            <w:shd w:val="clear" w:color="auto" w:fill="E5E5E5"/>
          </w:tcPr>
          <w:p>
            <w:pPr>
              <w:spacing w:after="0"/>
              <w:rPr>
                <w:sz w:val="20"/>
                <w:szCs w:val="20"/>
                <w:color w:val="auto"/>
              </w:rPr>
            </w:pPr>
          </w:p>
        </w:tc>
        <w:tc>
          <w:tcPr>
            <w:tcW w:w="104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60" w:type="dxa"/>
            <w:vAlign w:val="bottom"/>
            <w:tcBorders>
              <w:right w:val="single" w:sz="8" w:color="E5E5E5"/>
            </w:tcBorders>
            <w:shd w:val="clear" w:color="auto" w:fill="E5E5E5"/>
          </w:tcPr>
          <w:p>
            <w:pPr>
              <w:spacing w:after="0"/>
              <w:rPr>
                <w:sz w:val="20"/>
                <w:szCs w:val="20"/>
                <w:color w:val="auto"/>
              </w:rPr>
            </w:pPr>
          </w:p>
        </w:tc>
        <w:tc>
          <w:tcPr>
            <w:tcW w:w="400" w:type="dxa"/>
            <w:vAlign w:val="bottom"/>
            <w:shd w:val="clear" w:color="auto" w:fill="E5E5E5"/>
          </w:tcPr>
          <w:p>
            <w:pPr>
              <w:spacing w:after="0"/>
              <w:rPr>
                <w:sz w:val="20"/>
                <w:szCs w:val="20"/>
                <w:color w:val="auto"/>
              </w:rPr>
            </w:pPr>
          </w:p>
        </w:tc>
        <w:tc>
          <w:tcPr>
            <w:tcW w:w="96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(3,234)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8160" w:type="dxa"/>
            <w:vAlign w:val="bottom"/>
          </w:tcPr>
          <w:p>
            <w:pPr>
              <w:spacing w:after="0" w:line="243" w:lineRule="exact"/>
              <w:rPr>
                <w:sz w:val="20"/>
                <w:szCs w:val="20"/>
                <w:color w:val="auto"/>
              </w:rPr>
            </w:pPr>
            <w:r>
              <w:rPr>
                <w:rFonts w:ascii="Calibri" w:cs="Calibri" w:eastAsia="Calibri" w:hAnsi="Calibri"/>
                <w:sz w:val="20"/>
                <w:szCs w:val="20"/>
                <w:color w:val="auto"/>
              </w:rPr>
              <w:t>Interest expense recognized</w:t>
            </w:r>
            <w:r>
              <w:rPr>
                <w:rFonts w:ascii="Calibri" w:cs="Calibri" w:eastAsia="Calibri" w:hAnsi="Calibri"/>
                <w:sz w:val="25"/>
                <w:szCs w:val="25"/>
                <w:color w:val="auto"/>
                <w:vertAlign w:val="superscript"/>
              </w:rPr>
              <w:t>(1)</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color w:val="auto"/>
              </w:rPr>
              <w:t>5,802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160" w:type="dxa"/>
            <w:vAlign w:val="bottom"/>
            <w:shd w:val="clear" w:color="auto" w:fill="E5E5E5"/>
          </w:tcPr>
          <w:p>
            <w:pPr>
              <w:spacing w:after="0"/>
              <w:rPr>
                <w:sz w:val="20"/>
                <w:szCs w:val="20"/>
                <w:color w:val="auto"/>
              </w:rPr>
            </w:pPr>
            <w:r>
              <w:rPr>
                <w:rFonts w:ascii="Calibri" w:cs="Calibri" w:eastAsia="Calibri" w:hAnsi="Calibri"/>
                <w:sz w:val="20"/>
                <w:szCs w:val="20"/>
                <w:color w:val="auto"/>
              </w:rPr>
              <w:t>Portion derecognized in connection with the UDENYCA Buy-out</w:t>
            </w:r>
          </w:p>
        </w:tc>
        <w:tc>
          <w:tcPr>
            <w:tcW w:w="320" w:type="dxa"/>
            <w:vAlign w:val="bottom"/>
            <w:shd w:val="clear" w:color="auto" w:fill="E5E5E5"/>
          </w:tcPr>
          <w:p>
            <w:pPr>
              <w:spacing w:after="0"/>
              <w:rPr>
                <w:sz w:val="21"/>
                <w:szCs w:val="21"/>
                <w:color w:val="auto"/>
              </w:rPr>
            </w:pPr>
          </w:p>
        </w:tc>
        <w:tc>
          <w:tcPr>
            <w:tcW w:w="104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60" w:type="dxa"/>
            <w:vAlign w:val="bottom"/>
            <w:tcBorders>
              <w:bottom w:val="single" w:sz="8" w:color="auto"/>
              <w:right w:val="single" w:sz="8" w:color="E5E5E5"/>
            </w:tcBorders>
            <w:shd w:val="clear" w:color="auto" w:fill="E5E5E5"/>
          </w:tcPr>
          <w:p>
            <w:pPr>
              <w:spacing w:after="0"/>
              <w:rPr>
                <w:sz w:val="21"/>
                <w:szCs w:val="21"/>
                <w:color w:val="auto"/>
              </w:rPr>
            </w:pPr>
          </w:p>
        </w:tc>
        <w:tc>
          <w:tcPr>
            <w:tcW w:w="400" w:type="dxa"/>
            <w:vAlign w:val="bottom"/>
            <w:tcBorders>
              <w:bottom w:val="single" w:sz="8" w:color="auto"/>
            </w:tcBorders>
            <w:shd w:val="clear" w:color="auto" w:fill="E5E5E5"/>
          </w:tcPr>
          <w:p>
            <w:pPr>
              <w:spacing w:after="0"/>
              <w:rPr>
                <w:sz w:val="21"/>
                <w:szCs w:val="21"/>
                <w:color w:val="auto"/>
              </w:rPr>
            </w:pPr>
          </w:p>
        </w:tc>
        <w:tc>
          <w:tcPr>
            <w:tcW w:w="96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(17,283)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tcPr>
          <w:p>
            <w:pPr>
              <w:spacing w:after="0" w:line="234" w:lineRule="exact"/>
              <w:rPr>
                <w:sz w:val="20"/>
                <w:szCs w:val="20"/>
                <w:color w:val="auto"/>
              </w:rPr>
            </w:pPr>
            <w:r>
              <w:rPr>
                <w:rFonts w:ascii="Calibri" w:cs="Calibri" w:eastAsia="Calibri" w:hAnsi="Calibri"/>
                <w:sz w:val="20"/>
                <w:szCs w:val="20"/>
                <w:color w:val="auto"/>
              </w:rPr>
              <w:t>Revenue participation liability at December 31, 2025</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2"/>
          </w:tcPr>
          <w:p>
            <w:pPr>
              <w:jc w:val="right"/>
              <w:ind w:right="360"/>
              <w:spacing w:after="0" w:line="234" w:lineRule="exact"/>
              <w:rPr>
                <w:sz w:val="20"/>
                <w:szCs w:val="20"/>
                <w:color w:val="auto"/>
              </w:rPr>
            </w:pPr>
            <w:r>
              <w:rPr>
                <w:rFonts w:ascii="Calibri" w:cs="Calibri" w:eastAsia="Calibri" w:hAnsi="Calibri"/>
                <w:sz w:val="20"/>
                <w:szCs w:val="20"/>
                <w:color w:val="auto"/>
                <w:w w:val="78"/>
              </w:rPr>
              <w:t>$</w:t>
            </w:r>
          </w:p>
        </w:tc>
        <w:tc>
          <w:tcPr>
            <w:tcW w:w="96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14,028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60" w:hanging="353"/>
        <w:spacing w:after="0" w:line="260" w:lineRule="auto"/>
        <w:tabs>
          <w:tab w:leader="none" w:pos="360" w:val="left"/>
        </w:tabs>
        <w:numPr>
          <w:ilvl w:val="0"/>
          <w:numId w:val="67"/>
        </w:numPr>
        <w:rPr>
          <w:rFonts w:ascii="Calibri" w:cs="Calibri" w:eastAsia="Calibri" w:hAnsi="Calibri"/>
          <w:sz w:val="16"/>
          <w:szCs w:val="16"/>
          <w:color w:val="auto"/>
        </w:rPr>
      </w:pPr>
      <w:r>
        <w:rPr>
          <w:rFonts w:ascii="Calibri" w:cs="Calibri" w:eastAsia="Calibri" w:hAnsi="Calibri"/>
          <w:sz w:val="16"/>
          <w:szCs w:val="16"/>
          <w:color w:val="auto"/>
        </w:rPr>
        <w:t>For the years ended December 31, 2024 and 2025, $4.7 million and $1.9 million related to UDENYCA, respectively, and has been presented within discontinued operations. The remaining $2.5 million and $3.9 million for the years ended December 31, 2024 and 2025, respectively, was reflected in continuing operations.</w:t>
      </w:r>
    </w:p>
    <w:p>
      <w:pPr>
        <w:spacing w:after="0" w:line="206" w:lineRule="exact"/>
        <w:rPr>
          <w:sz w:val="20"/>
          <w:szCs w:val="20"/>
          <w:color w:val="auto"/>
        </w:rPr>
      </w:pPr>
    </w:p>
    <w:p>
      <w:pPr>
        <w:ind w:left="500"/>
        <w:spacing w:after="0"/>
        <w:rPr>
          <w:sz w:val="20"/>
          <w:szCs w:val="20"/>
          <w:color w:val="auto"/>
        </w:rPr>
      </w:pPr>
      <w:r>
        <w:rPr>
          <w:rFonts w:ascii="Calibri" w:cs="Calibri" w:eastAsia="Calibri" w:hAnsi="Calibri"/>
          <w:sz w:val="20"/>
          <w:szCs w:val="20"/>
          <w:color w:val="auto"/>
        </w:rPr>
        <w:t>Classification on the consolidated balance sheets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4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3320" w:type="dxa"/>
            <w:vAlign w:val="bottom"/>
            <w:vMerge w:val="restart"/>
          </w:tcPr>
          <w:p>
            <w:pPr>
              <w:spacing w:after="0"/>
              <w:rPr>
                <w:sz w:val="20"/>
                <w:szCs w:val="20"/>
                <w:color w:val="auto"/>
              </w:rPr>
            </w:pPr>
            <w:r>
              <w:rPr>
                <w:rFonts w:ascii="Calibri" w:cs="Calibri" w:eastAsia="Calibri" w:hAnsi="Calibri"/>
                <w:sz w:val="16"/>
                <w:szCs w:val="16"/>
                <w:b w:val="1"/>
                <w:bCs w:val="1"/>
                <w:color w:val="auto"/>
              </w:rPr>
              <w:t>Balance Sheet Classification</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40"/>
              <w:spacing w:after="0"/>
              <w:rPr>
                <w:sz w:val="20"/>
                <w:szCs w:val="20"/>
                <w:color w:val="auto"/>
              </w:rPr>
            </w:pPr>
            <w:r>
              <w:rPr>
                <w:rFonts w:ascii="Calibri" w:cs="Calibri" w:eastAsia="Calibri" w:hAnsi="Calibri"/>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240" w:type="dxa"/>
            <w:vAlign w:val="bottom"/>
            <w:tcBorders>
              <w:bottom w:val="single" w:sz="8" w:color="E5E5E5"/>
            </w:tcBorders>
            <w:vMerge w:val="continue"/>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line="185" w:lineRule="exact"/>
              <w:rPr>
                <w:sz w:val="20"/>
                <w:szCs w:val="20"/>
                <w:color w:val="auto"/>
              </w:rPr>
            </w:pPr>
            <w:r>
              <w:rPr>
                <w:rFonts w:ascii="Calibri" w:cs="Calibri" w:eastAsia="Calibri" w:hAnsi="Calibri"/>
                <w:sz w:val="16"/>
                <w:szCs w:val="16"/>
                <w:b w:val="1"/>
                <w:bCs w:val="1"/>
                <w:color w:val="auto"/>
              </w:rPr>
              <w:t>2025</w:t>
            </w:r>
          </w:p>
        </w:tc>
        <w:tc>
          <w:tcPr>
            <w:tcW w:w="28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5"/>
              <w:spacing w:after="0" w:line="185" w:lineRule="exact"/>
              <w:rPr>
                <w:sz w:val="20"/>
                <w:szCs w:val="20"/>
                <w:color w:val="auto"/>
              </w:rPr>
            </w:pPr>
            <w:r>
              <w:rPr>
                <w:rFonts w:ascii="Calibri" w:cs="Calibri" w:eastAsia="Calibri" w:hAnsi="Calibri"/>
                <w:sz w:val="16"/>
                <w:szCs w:val="16"/>
                <w:b w:val="1"/>
                <w:bCs w:val="1"/>
                <w:color w:val="auto"/>
              </w:rPr>
              <w:t>2024</w:t>
            </w:r>
          </w:p>
        </w:tc>
        <w:tc>
          <w:tcPr>
            <w:tcW w:w="0" w:type="dxa"/>
            <w:vAlign w:val="bottom"/>
          </w:tcPr>
          <w:p>
            <w:pPr>
              <w:spacing w:after="0"/>
              <w:rPr>
                <w:sz w:val="1"/>
                <w:szCs w:val="1"/>
                <w:color w:val="auto"/>
              </w:rPr>
            </w:pPr>
          </w:p>
        </w:tc>
      </w:tr>
      <w:tr>
        <w:trPr>
          <w:trHeight w:val="234"/>
        </w:trPr>
        <w:tc>
          <w:tcPr>
            <w:tcW w:w="424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Revenue participation liability, current</w:t>
            </w:r>
          </w:p>
        </w:tc>
        <w:tc>
          <w:tcPr>
            <w:tcW w:w="332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Accrued and other current liabilities</w:t>
            </w:r>
          </w:p>
        </w:tc>
        <w:tc>
          <w:tcPr>
            <w:tcW w:w="2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340" w:type="dxa"/>
            <w:vAlign w:val="bottom"/>
            <w:shd w:val="clear" w:color="auto" w:fill="E5E5E5"/>
          </w:tcPr>
          <w:p>
            <w:pPr>
              <w:jc w:val="right"/>
              <w:ind w:right="140"/>
              <w:spacing w:after="0" w:line="234" w:lineRule="exact"/>
              <w:rPr>
                <w:sz w:val="20"/>
                <w:szCs w:val="20"/>
                <w:color w:val="auto"/>
              </w:rPr>
            </w:pPr>
            <w:r>
              <w:rPr>
                <w:rFonts w:ascii="Calibri" w:cs="Calibri" w:eastAsia="Calibri" w:hAnsi="Calibri"/>
                <w:sz w:val="20"/>
                <w:szCs w:val="20"/>
                <w:color w:val="auto"/>
                <w:w w:val="78"/>
              </w:rPr>
              <w:t>$</w:t>
            </w:r>
          </w:p>
        </w:tc>
        <w:tc>
          <w:tcPr>
            <w:tcW w:w="116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w:t>
            </w:r>
          </w:p>
        </w:tc>
        <w:tc>
          <w:tcPr>
            <w:tcW w:w="740" w:type="dxa"/>
            <w:vAlign w:val="bottom"/>
            <w:gridSpan w:val="3"/>
            <w:shd w:val="clear" w:color="auto" w:fill="E5E5E5"/>
          </w:tcPr>
          <w:p>
            <w:pPr>
              <w:jc w:val="right"/>
              <w:ind w:right="240"/>
              <w:spacing w:after="0" w:line="234" w:lineRule="exact"/>
              <w:rPr>
                <w:sz w:val="20"/>
                <w:szCs w:val="20"/>
                <w:color w:val="auto"/>
              </w:rPr>
            </w:pPr>
            <w:r>
              <w:rPr>
                <w:rFonts w:ascii="Calibri" w:cs="Calibri" w:eastAsia="Calibri" w:hAnsi="Calibri"/>
                <w:sz w:val="20"/>
                <w:szCs w:val="20"/>
                <w:color w:val="auto"/>
              </w:rPr>
              <w:t>$</w:t>
            </w:r>
          </w:p>
        </w:tc>
        <w:tc>
          <w:tcPr>
            <w:tcW w:w="106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1,148</w:t>
            </w:r>
          </w:p>
        </w:tc>
        <w:tc>
          <w:tcPr>
            <w:tcW w:w="0" w:type="dxa"/>
            <w:vAlign w:val="bottom"/>
          </w:tcPr>
          <w:p>
            <w:pPr>
              <w:spacing w:after="0"/>
              <w:rPr>
                <w:sz w:val="1"/>
                <w:szCs w:val="1"/>
                <w:color w:val="auto"/>
              </w:rPr>
            </w:pPr>
          </w:p>
        </w:tc>
      </w:tr>
      <w:tr>
        <w:trPr>
          <w:trHeight w:val="244"/>
        </w:trPr>
        <w:tc>
          <w:tcPr>
            <w:tcW w:w="4240" w:type="dxa"/>
            <w:vAlign w:val="bottom"/>
            <w:tcBorders>
              <w:bottom w:val="single" w:sz="8" w:color="E5E5E5"/>
            </w:tcBorders>
          </w:tcPr>
          <w:p>
            <w:pPr>
              <w:spacing w:after="0"/>
              <w:rPr>
                <w:sz w:val="20"/>
                <w:szCs w:val="20"/>
                <w:color w:val="auto"/>
              </w:rPr>
            </w:pPr>
            <w:r>
              <w:rPr>
                <w:rFonts w:ascii="Calibri" w:cs="Calibri" w:eastAsia="Calibri" w:hAnsi="Calibri"/>
                <w:sz w:val="20"/>
                <w:szCs w:val="20"/>
                <w:color w:val="auto"/>
              </w:rPr>
              <w:t>Revenue participation liability, non-current</w:t>
            </w:r>
          </w:p>
        </w:tc>
        <w:tc>
          <w:tcPr>
            <w:tcW w:w="3320" w:type="dxa"/>
            <w:vAlign w:val="bottom"/>
            <w:tcBorders>
              <w:bottom w:val="single" w:sz="8" w:color="E5E5E5"/>
            </w:tcBorders>
          </w:tcPr>
          <w:p>
            <w:pPr>
              <w:spacing w:after="0"/>
              <w:rPr>
                <w:sz w:val="20"/>
                <w:szCs w:val="20"/>
                <w:color w:val="auto"/>
              </w:rPr>
            </w:pPr>
            <w:r>
              <w:rPr>
                <w:rFonts w:ascii="Calibri" w:cs="Calibri" w:eastAsia="Calibri" w:hAnsi="Calibri"/>
                <w:sz w:val="20"/>
                <w:szCs w:val="20"/>
                <w:color w:val="auto"/>
              </w:rPr>
              <w:t>Other liabilities, non-current</w:t>
            </w:r>
          </w:p>
        </w:tc>
        <w:tc>
          <w:tcPr>
            <w:tcW w:w="28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14,028</w:t>
            </w:r>
          </w:p>
        </w:tc>
        <w:tc>
          <w:tcPr>
            <w:tcW w:w="28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27,595</w:t>
            </w:r>
          </w:p>
        </w:tc>
        <w:tc>
          <w:tcPr>
            <w:tcW w:w="0" w:type="dxa"/>
            <w:vAlign w:val="bottom"/>
          </w:tcPr>
          <w:p>
            <w:pPr>
              <w:spacing w:after="0"/>
              <w:rPr>
                <w:sz w:val="1"/>
                <w:szCs w:val="1"/>
                <w:color w:val="auto"/>
              </w:rPr>
            </w:pPr>
          </w:p>
        </w:tc>
      </w:tr>
      <w:tr>
        <w:trPr>
          <w:trHeight w:val="268"/>
        </w:trPr>
        <w:tc>
          <w:tcPr>
            <w:tcW w:w="4240" w:type="dxa"/>
            <w:vAlign w:val="bottom"/>
            <w:shd w:val="clear" w:color="auto" w:fill="E5E5E5"/>
          </w:tcPr>
          <w:p>
            <w:pPr>
              <w:spacing w:after="0"/>
              <w:rPr>
                <w:sz w:val="20"/>
                <w:szCs w:val="20"/>
                <w:color w:val="auto"/>
              </w:rPr>
            </w:pPr>
            <w:r>
              <w:rPr>
                <w:rFonts w:ascii="Calibri" w:cs="Calibri" w:eastAsia="Calibri" w:hAnsi="Calibri"/>
                <w:sz w:val="20"/>
                <w:szCs w:val="20"/>
                <w:color w:val="auto"/>
              </w:rPr>
              <w:t>Net carrying value</w:t>
            </w:r>
          </w:p>
        </w:tc>
        <w:tc>
          <w:tcPr>
            <w:tcW w:w="3320" w:type="dxa"/>
            <w:vAlign w:val="bottom"/>
            <w:shd w:val="clear" w:color="auto" w:fill="E5E5E5"/>
          </w:tcPr>
          <w:p>
            <w:pPr>
              <w:spacing w:after="0"/>
              <w:rPr>
                <w:sz w:val="23"/>
                <w:szCs w:val="23"/>
                <w:color w:val="auto"/>
              </w:rPr>
            </w:pPr>
          </w:p>
        </w:tc>
        <w:tc>
          <w:tcPr>
            <w:tcW w:w="280" w:type="dxa"/>
            <w:vAlign w:val="bottom"/>
            <w:shd w:val="clear" w:color="auto" w:fill="E5E5E5"/>
          </w:tcPr>
          <w:p>
            <w:pPr>
              <w:spacing w:after="0"/>
              <w:rPr>
                <w:sz w:val="23"/>
                <w:szCs w:val="23"/>
                <w:color w:val="auto"/>
              </w:rPr>
            </w:pPr>
          </w:p>
        </w:tc>
        <w:tc>
          <w:tcPr>
            <w:tcW w:w="20" w:type="dxa"/>
            <w:vAlign w:val="bottom"/>
            <w:tcBorders>
              <w:bottom w:val="single" w:sz="8" w:color="auto"/>
            </w:tcBorders>
            <w:shd w:val="clear" w:color="auto" w:fill="E5E5E5"/>
          </w:tcPr>
          <w:p>
            <w:pPr>
              <w:spacing w:after="0"/>
              <w:rPr>
                <w:sz w:val="23"/>
                <w:szCs w:val="23"/>
                <w:color w:val="auto"/>
              </w:rPr>
            </w:pPr>
          </w:p>
        </w:tc>
        <w:tc>
          <w:tcPr>
            <w:tcW w:w="340" w:type="dxa"/>
            <w:vAlign w:val="bottom"/>
            <w:tcBorders>
              <w:bottom w:val="single" w:sz="8" w:color="auto"/>
            </w:tcBorders>
            <w:shd w:val="clear" w:color="auto" w:fill="E5E5E5"/>
          </w:tcPr>
          <w:p>
            <w:pPr>
              <w:jc w:val="right"/>
              <w:ind w:right="140"/>
              <w:spacing w:after="0"/>
              <w:rPr>
                <w:sz w:val="20"/>
                <w:szCs w:val="20"/>
                <w:color w:val="auto"/>
              </w:rPr>
            </w:pPr>
            <w:r>
              <w:rPr>
                <w:rFonts w:ascii="Calibri" w:cs="Calibri" w:eastAsia="Calibri" w:hAnsi="Calibri"/>
                <w:sz w:val="20"/>
                <w:szCs w:val="20"/>
                <w:color w:val="auto"/>
                <w:w w:val="78"/>
              </w:rPr>
              <w:t>$</w:t>
            </w:r>
          </w:p>
        </w:tc>
        <w:tc>
          <w:tcPr>
            <w:tcW w:w="116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14,028</w:t>
            </w:r>
          </w:p>
        </w:tc>
        <w:tc>
          <w:tcPr>
            <w:tcW w:w="280" w:type="dxa"/>
            <w:vAlign w:val="bottom"/>
            <w:shd w:val="clear" w:color="auto" w:fill="E5E5E5"/>
          </w:tcPr>
          <w:p>
            <w:pPr>
              <w:spacing w:after="0"/>
              <w:rPr>
                <w:sz w:val="23"/>
                <w:szCs w:val="23"/>
                <w:color w:val="auto"/>
              </w:rPr>
            </w:pPr>
          </w:p>
        </w:tc>
        <w:tc>
          <w:tcPr>
            <w:tcW w:w="20" w:type="dxa"/>
            <w:vAlign w:val="bottom"/>
            <w:tcBorders>
              <w:bottom w:val="single" w:sz="8" w:color="auto"/>
            </w:tcBorders>
            <w:shd w:val="clear" w:color="auto" w:fill="E5E5E5"/>
          </w:tcPr>
          <w:p>
            <w:pPr>
              <w:spacing w:after="0"/>
              <w:rPr>
                <w:sz w:val="23"/>
                <w:szCs w:val="23"/>
                <w:color w:val="auto"/>
              </w:rPr>
            </w:pPr>
          </w:p>
        </w:tc>
        <w:tc>
          <w:tcPr>
            <w:tcW w:w="440" w:type="dxa"/>
            <w:vAlign w:val="bottom"/>
            <w:tcBorders>
              <w:bottom w:val="single" w:sz="8" w:color="auto"/>
            </w:tcBorders>
            <w:shd w:val="clear" w:color="auto" w:fill="E5E5E5"/>
          </w:tcPr>
          <w:p>
            <w:pPr>
              <w:jc w:val="right"/>
              <w:ind w:right="240"/>
              <w:spacing w:after="0"/>
              <w:rPr>
                <w:sz w:val="20"/>
                <w:szCs w:val="20"/>
                <w:color w:val="auto"/>
              </w:rPr>
            </w:pPr>
            <w:r>
              <w:rPr>
                <w:rFonts w:ascii="Calibri" w:cs="Calibri" w:eastAsia="Calibri" w:hAnsi="Calibri"/>
                <w:sz w:val="20"/>
                <w:szCs w:val="20"/>
                <w:color w:val="auto"/>
                <w:w w:val="78"/>
              </w:rPr>
              <w:t>$</w:t>
            </w:r>
          </w:p>
        </w:tc>
        <w:tc>
          <w:tcPr>
            <w:tcW w:w="106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28,743</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2027 Term Loan</w:t>
      </w:r>
    </w:p>
    <w:p>
      <w:pPr>
        <w:spacing w:after="0" w:line="240"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The Company entered into a loan agreement in January 2022 (as amended, the “2027 Loan Agreement”) with BioPharma Credit, PLC and the 2027 Lenders that provided for a senior secured term loan facility, of which $250.0 million was funded. During 2024, the 2027 Term Loans accrued interest at 8.25% plus the sum (the “Adjusted Term SOFR”) of three-month SOFR and 0.26161% per annum, with a floor on Adjusted Term SOFR of 1.0%.</w:t>
      </w:r>
    </w:p>
    <w:p>
      <w:pPr>
        <w:spacing w:after="0" w:line="212"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On February 5, 2024, the Company entered into a Consent, Partial Release and Third Amendment to the 2027 Term Loans (the “Consent and Amendment”) with the Collateral Agent and the 2027 Lenders. Pursuant to the Consent and Amendment, among other things, the 2027 Lenders and the Collateral Agent required the Company to make a $175.0 million partial prepayment of the principal of the loans outstanding under the 2027 Loan Agreement upon consummation of the transactions contemplated by the CIMERLI Purchase Agreement. As a result of the CIMERLI Sale closing, the Company made the partial prepayment of $175.0 million of the total principal balance of $250.0 million of the 2027 Term Loans on April 1, 2024, and including the prepayment premium fee, make-whole and accrued interest, the Company paid $181.9 million.</w:t>
      </w:r>
    </w:p>
    <w:p>
      <w:pPr>
        <w:spacing w:after="0" w:line="219"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On May 8, 2024, in connection with entering into the 2029 Term Loan and the Revenue Purchase and Sale Agreement, the Company repaid in full all outstanding indebtedness and terminated all commitments under the 2027 Term Loans. The May 8, 2024 payoff amount of $79.6 million included principal repayment in full, accrued interest, a 3.0% prepayment premium fee of the principal amount, a make-whole interest payment and lender fees. During the year ended December 31, 2024, the Company recorded a $12.6 million loss on debt extinguishment in the consolidated statements of operations for continuing operations for the payoff of the 2027 Term Loans, which included the write-off of the remaining debt discount and debt issuance costs, the prepayment premium fee, the make-whole interest payment, and lender fees.</w:t>
      </w:r>
    </w:p>
    <w:p>
      <w:pPr>
        <w:sectPr>
          <w:pgSz w:w="12240" w:h="15840" w:orient="portrait"/>
          <w:cols w:equalWidth="0" w:num="1">
            <w:col w:w="11160"/>
          </w:cols>
          <w:pgMar w:left="540" w:top="53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103</w:t>
      </w:r>
    </w:p>
    <w:p>
      <w:pPr>
        <w:sectPr>
          <w:pgSz w:w="12240" w:h="15840" w:orient="portrait"/>
          <w:cols w:equalWidth="0" w:num="1">
            <w:col w:w="11160"/>
          </w:cols>
          <w:pgMar w:left="540" w:top="533" w:right="540" w:bottom="0" w:gutter="0" w:footer="0" w:header="0"/>
          <w:type w:val="continuous"/>
        </w:sectPr>
      </w:pPr>
    </w:p>
    <w:bookmarkStart w:id="105" w:name="page106"/>
    <w:bookmarkEnd w:id="105"/>
    <w:p>
      <w:pPr>
        <w:ind w:left="720"/>
        <w:spacing w:after="0"/>
        <w:rPr>
          <w:sz w:val="20"/>
          <w:szCs w:val="20"/>
          <w:color w:val="auto"/>
        </w:rPr>
      </w:pPr>
      <w:r>
        <w:rPr>
          <w:rFonts w:ascii="Calibri" w:cs="Calibri" w:eastAsia="Calibri" w:hAnsi="Calibri"/>
          <w:sz w:val="20"/>
          <w:szCs w:val="20"/>
          <w:color w:val="auto"/>
        </w:rPr>
        <w:t>The following table summarizes interest expense for the 2027 Term Loans and the dates when principal was repaid: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20"/>
                <w:szCs w:val="20"/>
                <w:color w:val="auto"/>
              </w:rPr>
            </w:pPr>
            <w:r>
              <w:rPr>
                <w:rFonts w:ascii="Calibri" w:cs="Calibri" w:eastAsia="Calibri" w:hAnsi="Calibri"/>
                <w:sz w:val="16"/>
                <w:szCs w:val="16"/>
                <w:b w:val="1"/>
                <w:bCs w:val="1"/>
                <w:color w:val="auto"/>
              </w:rPr>
              <w:t>(in thousands)</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430"/>
              <w:spacing w:after="0"/>
              <w:rPr>
                <w:sz w:val="20"/>
                <w:szCs w:val="20"/>
                <w:color w:val="auto"/>
              </w:rPr>
            </w:pPr>
            <w:r>
              <w:rPr>
                <w:rFonts w:ascii="Calibri" w:cs="Calibri" w:eastAsia="Calibri" w:hAnsi="Calibri"/>
                <w:sz w:val="16"/>
                <w:szCs w:val="16"/>
                <w:b w:val="1"/>
                <w:bCs w:val="1"/>
                <w:color w:val="auto"/>
              </w:rPr>
              <w:t>Year Ended</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ind w:right="510"/>
              <w:spacing w:after="0"/>
              <w:rPr>
                <w:sz w:val="20"/>
                <w:szCs w:val="20"/>
                <w:color w:val="auto"/>
              </w:rPr>
            </w:pPr>
            <w:r>
              <w:rPr>
                <w:rFonts w:ascii="Calibri" w:cs="Calibri" w:eastAsia="Calibri" w:hAnsi="Calibri"/>
                <w:sz w:val="16"/>
                <w:szCs w:val="16"/>
                <w:b w:val="1"/>
                <w:bCs w:val="1"/>
                <w:color w:val="auto"/>
              </w:rPr>
              <w:t>Principal</w:t>
            </w:r>
          </w:p>
        </w:tc>
        <w:tc>
          <w:tcPr>
            <w:tcW w:w="24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Calibri" w:cs="Calibri" w:eastAsia="Calibri" w:hAnsi="Calibri"/>
                <w:sz w:val="16"/>
                <w:szCs w:val="16"/>
                <w:b w:val="1"/>
                <w:bCs w:val="1"/>
                <w:color w:val="auto"/>
                <w:w w:val="98"/>
              </w:rPr>
              <w:t>Date Principal</w:t>
            </w:r>
          </w:p>
        </w:tc>
      </w:tr>
      <w:tr>
        <w:trPr>
          <w:trHeight w:val="209"/>
        </w:trPr>
        <w:tc>
          <w:tcPr>
            <w:tcW w:w="4840" w:type="dxa"/>
            <w:vAlign w:val="bottom"/>
            <w:tcBorders>
              <w:bottom w:val="single" w:sz="8" w:color="auto"/>
            </w:tcBorders>
          </w:tcPr>
          <w:p>
            <w:pPr>
              <w:spacing w:after="0"/>
              <w:rPr>
                <w:sz w:val="20"/>
                <w:szCs w:val="20"/>
                <w:color w:val="auto"/>
              </w:rPr>
            </w:pPr>
            <w:r>
              <w:rPr>
                <w:rFonts w:ascii="Calibri" w:cs="Calibri" w:eastAsia="Calibri" w:hAnsi="Calibri"/>
                <w:sz w:val="16"/>
                <w:szCs w:val="16"/>
                <w:b w:val="1"/>
                <w:bCs w:val="1"/>
                <w:color w:val="auto"/>
              </w:rPr>
              <w:t>Statement of Operations Classification</w:t>
            </w:r>
          </w:p>
        </w:tc>
        <w:tc>
          <w:tcPr>
            <w:tcW w:w="320" w:type="dxa"/>
            <w:vAlign w:val="bottom"/>
            <w:tcBorders>
              <w:bottom w:val="single" w:sz="8" w:color="E5E5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0"/>
              <w:spacing w:after="0"/>
              <w:rPr>
                <w:sz w:val="20"/>
                <w:szCs w:val="20"/>
                <w:color w:val="auto"/>
              </w:rPr>
            </w:pPr>
            <w:r>
              <w:rPr>
                <w:rFonts w:ascii="Calibri" w:cs="Calibri" w:eastAsia="Calibri" w:hAnsi="Calibri"/>
                <w:sz w:val="16"/>
                <w:szCs w:val="16"/>
                <w:b w:val="1"/>
                <w:bCs w:val="1"/>
                <w:color w:val="auto"/>
              </w:rPr>
              <w:t>December 31, 2024</w:t>
            </w:r>
          </w:p>
        </w:tc>
        <w:tc>
          <w:tcPr>
            <w:tcW w:w="300" w:type="dxa"/>
            <w:vAlign w:val="bottom"/>
            <w:tcBorders>
              <w:bottom w:val="single" w:sz="8" w:color="E5E5E5"/>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90"/>
              <w:spacing w:after="0"/>
              <w:rPr>
                <w:sz w:val="20"/>
                <w:szCs w:val="20"/>
                <w:color w:val="auto"/>
              </w:rPr>
            </w:pPr>
            <w:r>
              <w:rPr>
                <w:rFonts w:ascii="Calibri" w:cs="Calibri" w:eastAsia="Calibri" w:hAnsi="Calibri"/>
                <w:sz w:val="16"/>
                <w:szCs w:val="16"/>
                <w:b w:val="1"/>
                <w:bCs w:val="1"/>
                <w:color w:val="auto"/>
              </w:rPr>
              <w:t>Amount Repaid</w:t>
            </w:r>
          </w:p>
        </w:tc>
        <w:tc>
          <w:tcPr>
            <w:tcW w:w="240" w:type="dxa"/>
            <w:vAlign w:val="bottom"/>
            <w:tcBorders>
              <w:bottom w:val="single" w:sz="8" w:color="E5E5E5"/>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Calibri" w:cs="Calibri" w:eastAsia="Calibri" w:hAnsi="Calibri"/>
                <w:sz w:val="16"/>
                <w:szCs w:val="16"/>
                <w:b w:val="1"/>
                <w:bCs w:val="1"/>
                <w:color w:val="auto"/>
              </w:rPr>
              <w:t>was Repaid</w:t>
            </w:r>
          </w:p>
        </w:tc>
      </w:tr>
      <w:tr>
        <w:trPr>
          <w:trHeight w:val="236"/>
        </w:trPr>
        <w:tc>
          <w:tcPr>
            <w:tcW w:w="4840" w:type="dxa"/>
            <w:vAlign w:val="bottom"/>
            <w:shd w:val="clear" w:color="auto" w:fill="E5E5E5"/>
          </w:tcPr>
          <w:p>
            <w:pPr>
              <w:spacing w:after="0" w:line="235" w:lineRule="exact"/>
              <w:rPr>
                <w:sz w:val="20"/>
                <w:szCs w:val="20"/>
                <w:color w:val="auto"/>
              </w:rPr>
            </w:pPr>
            <w:r>
              <w:rPr>
                <w:rFonts w:ascii="Calibri" w:cs="Calibri" w:eastAsia="Calibri" w:hAnsi="Calibri"/>
                <w:sz w:val="20"/>
                <w:szCs w:val="20"/>
                <w:color w:val="auto"/>
              </w:rPr>
              <w:t>Discontinued Operations</w:t>
            </w:r>
          </w:p>
        </w:tc>
        <w:tc>
          <w:tcPr>
            <w:tcW w:w="320" w:type="dxa"/>
            <w:vAlign w:val="bottom"/>
            <w:shd w:val="clear" w:color="auto" w:fill="E5E5E5"/>
          </w:tcPr>
          <w:p>
            <w:pPr>
              <w:spacing w:after="0"/>
              <w:rPr>
                <w:sz w:val="20"/>
                <w:szCs w:val="20"/>
                <w:color w:val="auto"/>
              </w:rPr>
            </w:pPr>
          </w:p>
        </w:tc>
        <w:tc>
          <w:tcPr>
            <w:tcW w:w="18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w w:val="78"/>
              </w:rPr>
              <w:t>$</w:t>
            </w:r>
          </w:p>
        </w:tc>
        <w:tc>
          <w:tcPr>
            <w:tcW w:w="160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6,878</w:t>
            </w:r>
          </w:p>
        </w:tc>
        <w:tc>
          <w:tcPr>
            <w:tcW w:w="540" w:type="dxa"/>
            <w:vAlign w:val="bottom"/>
            <w:gridSpan w:val="2"/>
            <w:shd w:val="clear" w:color="auto" w:fill="E5E5E5"/>
          </w:tcPr>
          <w:p>
            <w:pPr>
              <w:jc w:val="right"/>
              <w:ind w:right="140"/>
              <w:spacing w:after="0" w:line="235" w:lineRule="exact"/>
              <w:rPr>
                <w:sz w:val="20"/>
                <w:szCs w:val="20"/>
                <w:color w:val="auto"/>
              </w:rPr>
            </w:pPr>
            <w:r>
              <w:rPr>
                <w:rFonts w:ascii="Calibri" w:cs="Calibri" w:eastAsia="Calibri" w:hAnsi="Calibri"/>
                <w:sz w:val="20"/>
                <w:szCs w:val="20"/>
                <w:color w:val="auto"/>
              </w:rPr>
              <w:t>$</w:t>
            </w:r>
          </w:p>
        </w:tc>
        <w:tc>
          <w:tcPr>
            <w:tcW w:w="154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175,000</w:t>
            </w:r>
          </w:p>
        </w:tc>
        <w:tc>
          <w:tcPr>
            <w:tcW w:w="240" w:type="dxa"/>
            <w:vAlign w:val="bottom"/>
            <w:shd w:val="clear" w:color="auto" w:fill="E5E5E5"/>
          </w:tcPr>
          <w:p>
            <w:pPr>
              <w:spacing w:after="0"/>
              <w:rPr>
                <w:sz w:val="20"/>
                <w:szCs w:val="20"/>
                <w:color w:val="auto"/>
              </w:rPr>
            </w:pPr>
          </w:p>
        </w:tc>
        <w:tc>
          <w:tcPr>
            <w:tcW w:w="1900" w:type="dxa"/>
            <w:vAlign w:val="bottom"/>
            <w:shd w:val="clear" w:color="auto" w:fill="E5E5E5"/>
          </w:tcPr>
          <w:p>
            <w:pPr>
              <w:jc w:val="center"/>
              <w:spacing w:after="0" w:line="235" w:lineRule="exact"/>
              <w:rPr>
                <w:sz w:val="20"/>
                <w:szCs w:val="20"/>
                <w:color w:val="auto"/>
              </w:rPr>
            </w:pPr>
            <w:r>
              <w:rPr>
                <w:rFonts w:ascii="Calibri" w:cs="Calibri" w:eastAsia="Calibri" w:hAnsi="Calibri"/>
                <w:sz w:val="20"/>
                <w:szCs w:val="20"/>
                <w:color w:val="auto"/>
              </w:rPr>
              <w:t>April 1, 2024</w:t>
            </w:r>
          </w:p>
        </w:tc>
      </w:tr>
      <w:tr>
        <w:trPr>
          <w:trHeight w:val="266"/>
        </w:trPr>
        <w:tc>
          <w:tcPr>
            <w:tcW w:w="4840" w:type="dxa"/>
            <w:vAlign w:val="bottom"/>
          </w:tcPr>
          <w:p>
            <w:pPr>
              <w:spacing w:after="0"/>
              <w:rPr>
                <w:sz w:val="20"/>
                <w:szCs w:val="20"/>
                <w:color w:val="auto"/>
              </w:rPr>
            </w:pPr>
            <w:r>
              <w:rPr>
                <w:rFonts w:ascii="Calibri" w:cs="Calibri" w:eastAsia="Calibri" w:hAnsi="Calibri"/>
                <w:sz w:val="20"/>
                <w:szCs w:val="20"/>
                <w:color w:val="auto"/>
              </w:rPr>
              <w:t>Continuing Operations</w:t>
            </w:r>
          </w:p>
        </w:tc>
        <w:tc>
          <w:tcPr>
            <w:tcW w:w="3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Calibri" w:cs="Calibri" w:eastAsia="Calibri" w:hAnsi="Calibri"/>
                <w:sz w:val="20"/>
                <w:szCs w:val="20"/>
                <w:color w:val="auto"/>
                <w:w w:val="78"/>
              </w:rPr>
              <w:t>$</w:t>
            </w:r>
          </w:p>
        </w:tc>
        <w:tc>
          <w:tcPr>
            <w:tcW w:w="1600" w:type="dxa"/>
            <w:vAlign w:val="bottom"/>
          </w:tcPr>
          <w:p>
            <w:pPr>
              <w:jc w:val="right"/>
              <w:spacing w:after="0"/>
              <w:rPr>
                <w:sz w:val="20"/>
                <w:szCs w:val="20"/>
                <w:color w:val="auto"/>
              </w:rPr>
            </w:pPr>
            <w:r>
              <w:rPr>
                <w:rFonts w:ascii="Calibri" w:cs="Calibri" w:eastAsia="Calibri" w:hAnsi="Calibri"/>
                <w:sz w:val="20"/>
                <w:szCs w:val="20"/>
                <w:color w:val="auto"/>
              </w:rPr>
              <w:t>4,315</w:t>
            </w:r>
          </w:p>
        </w:tc>
        <w:tc>
          <w:tcPr>
            <w:tcW w:w="540" w:type="dxa"/>
            <w:vAlign w:val="bottom"/>
            <w:gridSpan w:val="2"/>
          </w:tcPr>
          <w:p>
            <w:pPr>
              <w:jc w:val="right"/>
              <w:ind w:right="140"/>
              <w:spacing w:after="0"/>
              <w:rPr>
                <w:sz w:val="20"/>
                <w:szCs w:val="20"/>
                <w:color w:val="auto"/>
              </w:rPr>
            </w:pPr>
            <w:r>
              <w:rPr>
                <w:rFonts w:ascii="Calibri" w:cs="Calibri" w:eastAsia="Calibri" w:hAnsi="Calibri"/>
                <w:sz w:val="20"/>
                <w:szCs w:val="20"/>
                <w:color w:val="auto"/>
              </w:rPr>
              <w:t>$</w:t>
            </w:r>
          </w:p>
        </w:tc>
        <w:tc>
          <w:tcPr>
            <w:tcW w:w="1540" w:type="dxa"/>
            <w:vAlign w:val="bottom"/>
          </w:tcPr>
          <w:p>
            <w:pPr>
              <w:jc w:val="right"/>
              <w:spacing w:after="0"/>
              <w:rPr>
                <w:sz w:val="20"/>
                <w:szCs w:val="20"/>
                <w:color w:val="auto"/>
              </w:rPr>
            </w:pPr>
            <w:r>
              <w:rPr>
                <w:rFonts w:ascii="Calibri" w:cs="Calibri" w:eastAsia="Calibri" w:hAnsi="Calibri"/>
                <w:sz w:val="20"/>
                <w:szCs w:val="20"/>
                <w:color w:val="auto"/>
              </w:rPr>
              <w:t>75,000</w:t>
            </w:r>
          </w:p>
        </w:tc>
        <w:tc>
          <w:tcPr>
            <w:tcW w:w="240" w:type="dxa"/>
            <w:vAlign w:val="bottom"/>
          </w:tcPr>
          <w:p>
            <w:pPr>
              <w:spacing w:after="0"/>
              <w:rPr>
                <w:sz w:val="23"/>
                <w:szCs w:val="23"/>
                <w:color w:val="auto"/>
              </w:rPr>
            </w:pPr>
          </w:p>
        </w:tc>
        <w:tc>
          <w:tcPr>
            <w:tcW w:w="1900" w:type="dxa"/>
            <w:vAlign w:val="bottom"/>
          </w:tcPr>
          <w:p>
            <w:pPr>
              <w:jc w:val="center"/>
              <w:spacing w:after="0"/>
              <w:rPr>
                <w:sz w:val="20"/>
                <w:szCs w:val="20"/>
                <w:color w:val="auto"/>
              </w:rPr>
            </w:pPr>
            <w:r>
              <w:rPr>
                <w:rFonts w:ascii="Calibri" w:cs="Calibri" w:eastAsia="Calibri" w:hAnsi="Calibri"/>
                <w:sz w:val="20"/>
                <w:szCs w:val="20"/>
                <w:color w:val="auto"/>
                <w:w w:val="99"/>
              </w:rPr>
              <w:t>May 8, 2024</w:t>
            </w:r>
          </w:p>
        </w:tc>
      </w:tr>
    </w:tbl>
    <w:p>
      <w:pPr>
        <w:spacing w:after="0" w:line="20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1.5% Convertible Senior Subordinated Notes due April 2026</w:t>
      </w:r>
    </w:p>
    <w:p>
      <w:pPr>
        <w:spacing w:after="0" w:line="241" w:lineRule="exact"/>
        <w:rPr>
          <w:sz w:val="20"/>
          <w:szCs w:val="20"/>
          <w:color w:val="auto"/>
        </w:rPr>
      </w:pPr>
    </w:p>
    <w:p>
      <w:pPr>
        <w:jc w:val="both"/>
        <w:ind w:firstLine="720"/>
        <w:spacing w:after="0" w:line="271" w:lineRule="auto"/>
        <w:rPr>
          <w:sz w:val="20"/>
          <w:szCs w:val="20"/>
          <w:color w:val="auto"/>
        </w:rPr>
      </w:pPr>
      <w:r>
        <w:rPr>
          <w:rFonts w:ascii="Calibri" w:cs="Calibri" w:eastAsia="Calibri" w:hAnsi="Calibri"/>
          <w:sz w:val="19"/>
          <w:szCs w:val="19"/>
          <w:color w:val="auto"/>
        </w:rPr>
        <w:t>In April 2020, the Company issued and sold $230.0 million aggregate principal amount of its 1.5% Convertible Senior Subordinated Notes due 2026 (the “2026 Convertible Notes”). The 2026 Convertible Notes accrue interest at a rate of 1.5% per annum, payable semi-annually in arrears on April 15 and October 15 of each year and mature on April 15, 2026, unless earlier repurchased or converted.</w:t>
      </w:r>
    </w:p>
    <w:p>
      <w:pPr>
        <w:spacing w:after="0" w:line="186"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The 2026 Convertible Notes have customary provisions relating to the occurrence of “events of default” (as defined in the Indenture for the 2026 Convertible Notes). As of December 31, 2025, the Company was in full compliance with these covenants, and there were no events of default under the 2026 Convertible Notes.</w:t>
      </w:r>
    </w:p>
    <w:p>
      <w:pPr>
        <w:spacing w:after="0" w:line="207"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On April 15, 2025, the Company paid $170.0 million in cash to repurchase $170.0 million aggregate principal amount of the 2026 Convertible Notes in privately negotiated transactions. On May 15, 2025, pursuant to the Fundamental Change Repurchase Right (as defined in the indenture, dated as of April 17, 2020 (the “Indenture”), between the Company and U.S. Bank Trust Company, National Association (the “Trustee”), as trustee), the Company repurchased $59.9 million aggregate principal amount of the 2026 Convertible Notes, at a cash repurchase price of $59.9 million, which amount was equivalent to 100% of the principal amount of the repurchased notes, together with the accrued and unpaid interest. As of December 31, 2025, the outstanding principal amount of the 2026 Convertible Notes was $0.1 million and consisted of the remaining notes that were not tendered for repurchase. In connection with the repurchases, the Company recorded a $4.7 million loss on debt extinguishment which is classified within discontinued operations in the consolidated statements of operations. The charge in the year ended December 31, 2025, included the write-off of the remaining debt discount and debt issuance costs and related transaction fees.</w:t>
      </w:r>
    </w:p>
    <w:p>
      <w:pPr>
        <w:spacing w:after="0" w:line="219"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The annual effective interest rate is 2.1% for the 2026 Convertible Notes, and the following table presents the components of interest expense which have been presented within discontinued operations: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4"/>
          </w:tcPr>
          <w:p>
            <w:pPr>
              <w:jc w:val="right"/>
              <w:ind w:right="965"/>
              <w:spacing w:after="0"/>
              <w:rPr>
                <w:sz w:val="20"/>
                <w:szCs w:val="20"/>
                <w:color w:val="auto"/>
              </w:rPr>
            </w:pPr>
            <w:r>
              <w:rPr>
                <w:rFonts w:ascii="Calibri" w:cs="Calibri" w:eastAsia="Calibri" w:hAnsi="Calibri"/>
                <w:sz w:val="16"/>
                <w:szCs w:val="16"/>
                <w:b w:val="1"/>
                <w:bCs w:val="1"/>
                <w:color w:val="auto"/>
              </w:rPr>
              <w:t>Year Ended December 31,</w:t>
            </w:r>
          </w:p>
        </w:tc>
        <w:tc>
          <w:tcPr>
            <w:tcW w:w="0" w:type="dxa"/>
            <w:vAlign w:val="bottom"/>
          </w:tcPr>
          <w:p>
            <w:pPr>
              <w:spacing w:after="0"/>
              <w:rPr>
                <w:sz w:val="1"/>
                <w:szCs w:val="1"/>
                <w:color w:val="auto"/>
              </w:rPr>
            </w:pPr>
          </w:p>
        </w:tc>
      </w:tr>
      <w:tr>
        <w:trPr>
          <w:trHeight w:val="185"/>
        </w:trPr>
        <w:tc>
          <w:tcPr>
            <w:tcW w:w="7360" w:type="dxa"/>
            <w:vAlign w:val="bottom"/>
            <w:tcBorders>
              <w:bottom w:val="single" w:sz="8" w:color="E5E5E5"/>
            </w:tcBorders>
            <w:vMerge w:val="continue"/>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48"/>
              <w:spacing w:after="0" w:line="185" w:lineRule="exact"/>
              <w:rPr>
                <w:sz w:val="20"/>
                <w:szCs w:val="20"/>
                <w:color w:val="auto"/>
              </w:rPr>
            </w:pPr>
            <w:r>
              <w:rPr>
                <w:rFonts w:ascii="Calibri" w:cs="Calibri" w:eastAsia="Calibri" w:hAnsi="Calibri"/>
                <w:sz w:val="16"/>
                <w:szCs w:val="16"/>
                <w:b w:val="1"/>
                <w:bCs w:val="1"/>
                <w:color w:val="auto"/>
              </w:rPr>
              <w:t>2025</w:t>
            </w:r>
          </w:p>
        </w:tc>
        <w:tc>
          <w:tcPr>
            <w:tcW w:w="160" w:type="dxa"/>
            <w:vAlign w:val="bottom"/>
            <w:tcBorders>
              <w:bottom w:val="single" w:sz="8" w:color="E5E5E5"/>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45"/>
              <w:spacing w:after="0" w:line="185" w:lineRule="exact"/>
              <w:rPr>
                <w:sz w:val="20"/>
                <w:szCs w:val="20"/>
                <w:color w:val="auto"/>
              </w:rPr>
            </w:pPr>
            <w:r>
              <w:rPr>
                <w:rFonts w:ascii="Calibri" w:cs="Calibri" w:eastAsia="Calibri" w:hAnsi="Calibri"/>
                <w:sz w:val="16"/>
                <w:szCs w:val="16"/>
                <w:b w:val="1"/>
                <w:bCs w:val="1"/>
                <w:color w:val="auto"/>
              </w:rPr>
              <w:t>2024</w:t>
            </w:r>
          </w:p>
        </w:tc>
        <w:tc>
          <w:tcPr>
            <w:tcW w:w="0" w:type="dxa"/>
            <w:vAlign w:val="bottom"/>
          </w:tcPr>
          <w:p>
            <w:pPr>
              <w:spacing w:after="0"/>
              <w:rPr>
                <w:sz w:val="1"/>
                <w:szCs w:val="1"/>
                <w:color w:val="auto"/>
              </w:rPr>
            </w:pPr>
          </w:p>
        </w:tc>
      </w:tr>
      <w:tr>
        <w:trPr>
          <w:trHeight w:val="260"/>
        </w:trPr>
        <w:tc>
          <w:tcPr>
            <w:tcW w:w="7360" w:type="dxa"/>
            <w:vAlign w:val="bottom"/>
            <w:shd w:val="clear" w:color="auto" w:fill="E5E5E5"/>
          </w:tcPr>
          <w:p>
            <w:pPr>
              <w:spacing w:after="0"/>
              <w:rPr>
                <w:sz w:val="20"/>
                <w:szCs w:val="20"/>
                <w:color w:val="auto"/>
              </w:rPr>
            </w:pPr>
            <w:r>
              <w:rPr>
                <w:rFonts w:ascii="Calibri" w:cs="Calibri" w:eastAsia="Calibri" w:hAnsi="Calibri"/>
                <w:sz w:val="20"/>
                <w:szCs w:val="20"/>
                <w:color w:val="auto"/>
              </w:rPr>
              <w:t>Stated coupon interest</w:t>
            </w:r>
          </w:p>
        </w:tc>
        <w:tc>
          <w:tcPr>
            <w:tcW w:w="20" w:type="dxa"/>
            <w:vAlign w:val="bottom"/>
            <w:shd w:val="clear" w:color="auto" w:fill="E5E5E5"/>
          </w:tcPr>
          <w:p>
            <w:pPr>
              <w:spacing w:after="0"/>
              <w:rPr>
                <w:sz w:val="22"/>
                <w:szCs w:val="22"/>
                <w:color w:val="auto"/>
              </w:rPr>
            </w:pPr>
          </w:p>
        </w:tc>
        <w:tc>
          <w:tcPr>
            <w:tcW w:w="420" w:type="dxa"/>
            <w:vAlign w:val="bottom"/>
            <w:shd w:val="clear" w:color="auto" w:fill="E5E5E5"/>
          </w:tcPr>
          <w:p>
            <w:pPr>
              <w:jc w:val="right"/>
              <w:ind w:right="220"/>
              <w:spacing w:after="0"/>
              <w:rPr>
                <w:sz w:val="20"/>
                <w:szCs w:val="20"/>
                <w:color w:val="auto"/>
              </w:rPr>
            </w:pPr>
            <w:r>
              <w:rPr>
                <w:rFonts w:ascii="Calibri" w:cs="Calibri" w:eastAsia="Calibri" w:hAnsi="Calibri"/>
                <w:sz w:val="20"/>
                <w:szCs w:val="20"/>
                <w:color w:val="auto"/>
                <w:w w:val="78"/>
              </w:rPr>
              <w:t>$</w:t>
            </w:r>
          </w:p>
        </w:tc>
        <w:tc>
          <w:tcPr>
            <w:tcW w:w="13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1,072</w:t>
            </w:r>
          </w:p>
        </w:tc>
        <w:tc>
          <w:tcPr>
            <w:tcW w:w="160" w:type="dxa"/>
            <w:vAlign w:val="bottom"/>
            <w:shd w:val="clear" w:color="auto" w:fill="E5E5E5"/>
          </w:tcPr>
          <w:p>
            <w:pPr>
              <w:spacing w:after="0"/>
              <w:rPr>
                <w:sz w:val="22"/>
                <w:szCs w:val="22"/>
                <w:color w:val="auto"/>
              </w:rPr>
            </w:pPr>
          </w:p>
        </w:tc>
        <w:tc>
          <w:tcPr>
            <w:tcW w:w="420" w:type="dxa"/>
            <w:vAlign w:val="bottom"/>
            <w:shd w:val="clear" w:color="auto" w:fill="E5E5E5"/>
          </w:tcPr>
          <w:p>
            <w:pPr>
              <w:jc w:val="right"/>
              <w:ind w:right="220"/>
              <w:spacing w:after="0"/>
              <w:rPr>
                <w:sz w:val="20"/>
                <w:szCs w:val="20"/>
                <w:color w:val="auto"/>
              </w:rPr>
            </w:pPr>
            <w:r>
              <w:rPr>
                <w:rFonts w:ascii="Calibri" w:cs="Calibri" w:eastAsia="Calibri" w:hAnsi="Calibri"/>
                <w:sz w:val="20"/>
                <w:szCs w:val="20"/>
                <w:color w:val="auto"/>
                <w:w w:val="78"/>
              </w:rPr>
              <w:t>$</w:t>
            </w:r>
          </w:p>
        </w:tc>
        <w:tc>
          <w:tcPr>
            <w:tcW w:w="14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3,450</w:t>
            </w:r>
          </w:p>
        </w:tc>
        <w:tc>
          <w:tcPr>
            <w:tcW w:w="0" w:type="dxa"/>
            <w:vAlign w:val="bottom"/>
          </w:tcPr>
          <w:p>
            <w:pPr>
              <w:spacing w:after="0"/>
              <w:rPr>
                <w:sz w:val="1"/>
                <w:szCs w:val="1"/>
                <w:color w:val="auto"/>
              </w:rPr>
            </w:pPr>
          </w:p>
        </w:tc>
      </w:tr>
      <w:tr>
        <w:trPr>
          <w:trHeight w:val="268"/>
        </w:trPr>
        <w:tc>
          <w:tcPr>
            <w:tcW w:w="7360" w:type="dxa"/>
            <w:vAlign w:val="bottom"/>
            <w:tcBorders>
              <w:bottom w:val="single" w:sz="8" w:color="E5E5E5"/>
            </w:tcBorders>
          </w:tcPr>
          <w:p>
            <w:pPr>
              <w:spacing w:after="0"/>
              <w:rPr>
                <w:sz w:val="20"/>
                <w:szCs w:val="20"/>
                <w:color w:val="auto"/>
              </w:rPr>
            </w:pPr>
            <w:r>
              <w:rPr>
                <w:rFonts w:ascii="Calibri" w:cs="Calibri" w:eastAsia="Calibri" w:hAnsi="Calibri"/>
                <w:sz w:val="20"/>
                <w:szCs w:val="20"/>
                <w:color w:val="auto"/>
              </w:rPr>
              <w:t>Amortization of debt discount and debt issuance costs</w:t>
            </w:r>
          </w:p>
        </w:tc>
        <w:tc>
          <w:tcPr>
            <w:tcW w:w="20" w:type="dxa"/>
            <w:vAlign w:val="bottom"/>
            <w:tcBorders>
              <w:bottom w:val="single" w:sz="8" w:color="E5E5E5"/>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423</w:t>
            </w:r>
          </w:p>
        </w:tc>
        <w:tc>
          <w:tcPr>
            <w:tcW w:w="160" w:type="dxa"/>
            <w:vAlign w:val="bottom"/>
            <w:tcBorders>
              <w:bottom w:val="single" w:sz="8" w:color="E5E5E5"/>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1,341</w:t>
            </w:r>
          </w:p>
        </w:tc>
        <w:tc>
          <w:tcPr>
            <w:tcW w:w="0" w:type="dxa"/>
            <w:vAlign w:val="bottom"/>
          </w:tcPr>
          <w:p>
            <w:pPr>
              <w:spacing w:after="0"/>
              <w:rPr>
                <w:sz w:val="1"/>
                <w:szCs w:val="1"/>
                <w:color w:val="auto"/>
              </w:rPr>
            </w:pPr>
          </w:p>
        </w:tc>
      </w:tr>
      <w:tr>
        <w:trPr>
          <w:trHeight w:val="268"/>
        </w:trPr>
        <w:tc>
          <w:tcPr>
            <w:tcW w:w="7360" w:type="dxa"/>
            <w:vAlign w:val="bottom"/>
            <w:shd w:val="clear" w:color="auto" w:fill="E5E5E5"/>
          </w:tcPr>
          <w:p>
            <w:pPr>
              <w:ind w:left="100"/>
              <w:spacing w:after="0"/>
              <w:rPr>
                <w:sz w:val="20"/>
                <w:szCs w:val="20"/>
                <w:color w:val="auto"/>
              </w:rPr>
            </w:pPr>
            <w:r>
              <w:rPr>
                <w:rFonts w:ascii="Calibri" w:cs="Calibri" w:eastAsia="Calibri" w:hAnsi="Calibri"/>
                <w:sz w:val="20"/>
                <w:szCs w:val="20"/>
                <w:color w:val="auto"/>
              </w:rPr>
              <w:t>Total interest expense</w:t>
            </w:r>
          </w:p>
        </w:tc>
        <w:tc>
          <w:tcPr>
            <w:tcW w:w="20" w:type="dxa"/>
            <w:vAlign w:val="bottom"/>
            <w:tcBorders>
              <w:bottom w:val="single" w:sz="8" w:color="auto"/>
            </w:tcBorders>
            <w:shd w:val="clear" w:color="auto" w:fill="E5E5E5"/>
          </w:tcPr>
          <w:p>
            <w:pPr>
              <w:spacing w:after="0"/>
              <w:rPr>
                <w:sz w:val="23"/>
                <w:szCs w:val="23"/>
                <w:color w:val="auto"/>
              </w:rPr>
            </w:pPr>
          </w:p>
        </w:tc>
        <w:tc>
          <w:tcPr>
            <w:tcW w:w="420" w:type="dxa"/>
            <w:vAlign w:val="bottom"/>
            <w:tcBorders>
              <w:bottom w:val="single" w:sz="8" w:color="auto"/>
            </w:tcBorders>
            <w:shd w:val="clear" w:color="auto" w:fill="E5E5E5"/>
          </w:tcPr>
          <w:p>
            <w:pPr>
              <w:jc w:val="right"/>
              <w:ind w:right="220"/>
              <w:spacing w:after="0"/>
              <w:rPr>
                <w:sz w:val="20"/>
                <w:szCs w:val="20"/>
                <w:color w:val="auto"/>
              </w:rPr>
            </w:pPr>
            <w:r>
              <w:rPr>
                <w:rFonts w:ascii="Calibri" w:cs="Calibri" w:eastAsia="Calibri" w:hAnsi="Calibri"/>
                <w:sz w:val="20"/>
                <w:szCs w:val="20"/>
                <w:color w:val="auto"/>
                <w:w w:val="78"/>
              </w:rPr>
              <w:t>$</w:t>
            </w:r>
          </w:p>
        </w:tc>
        <w:tc>
          <w:tcPr>
            <w:tcW w:w="138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1,495</w:t>
            </w:r>
          </w:p>
        </w:tc>
        <w:tc>
          <w:tcPr>
            <w:tcW w:w="160" w:type="dxa"/>
            <w:vAlign w:val="bottom"/>
            <w:shd w:val="clear" w:color="auto" w:fill="E5E5E5"/>
          </w:tcPr>
          <w:p>
            <w:pPr>
              <w:spacing w:after="0"/>
              <w:rPr>
                <w:sz w:val="23"/>
                <w:szCs w:val="23"/>
                <w:color w:val="auto"/>
              </w:rPr>
            </w:pPr>
          </w:p>
        </w:tc>
        <w:tc>
          <w:tcPr>
            <w:tcW w:w="420" w:type="dxa"/>
            <w:vAlign w:val="bottom"/>
            <w:tcBorders>
              <w:bottom w:val="single" w:sz="8" w:color="auto"/>
            </w:tcBorders>
            <w:shd w:val="clear" w:color="auto" w:fill="E5E5E5"/>
          </w:tcPr>
          <w:p>
            <w:pPr>
              <w:jc w:val="right"/>
              <w:ind w:right="220"/>
              <w:spacing w:after="0"/>
              <w:rPr>
                <w:sz w:val="20"/>
                <w:szCs w:val="20"/>
                <w:color w:val="auto"/>
              </w:rPr>
            </w:pPr>
            <w:r>
              <w:rPr>
                <w:rFonts w:ascii="Calibri" w:cs="Calibri" w:eastAsia="Calibri" w:hAnsi="Calibri"/>
                <w:sz w:val="20"/>
                <w:szCs w:val="20"/>
                <w:color w:val="auto"/>
                <w:w w:val="78"/>
              </w:rPr>
              <w:t>$</w:t>
            </w:r>
          </w:p>
        </w:tc>
        <w:tc>
          <w:tcPr>
            <w:tcW w:w="140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4,791</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720" w:hanging="713"/>
        <w:spacing w:after="0"/>
        <w:tabs>
          <w:tab w:leader="none" w:pos="720" w:val="left"/>
        </w:tabs>
        <w:numPr>
          <w:ilvl w:val="0"/>
          <w:numId w:val="6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Commitments and Contingencies</w:t>
      </w:r>
    </w:p>
    <w:p>
      <w:pPr>
        <w:spacing w:after="0" w:line="241"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The Company entered into agreements with certain vendors to secure raw materials and certain CMOs to manufacture its supply of products. As of December 31, 2025, the Company’s non-cancelable purchase commitments under the terms of its agreements are $8.1 million for the year ended December 31, 2026.</w:t>
      </w:r>
    </w:p>
    <w:p>
      <w:pPr>
        <w:spacing w:after="0" w:line="206"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In connection with the divestiture of the UDENYCA Business, the Company retained certain contractual obligations related to inventory replacement under a legacy customer agreement. Pursuant to the terms of that agreement, the Company may be required to reimburse Accord for the cost of replacing certain inventory in specified circumstances. The Company’s maximum potential exposure under this obligation is approximately $5.9 million. As of December 31, 2025, no amounts have been recorded in the consolidated financial statements related to this matter, as the likelihood of incurring a loss is not considered probable. The Company will continue to evaluate this matter each reporting period and record a liability if and when it becomes probable that a loss has been incurred and the amount can be reasonably estimated.</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Guarantees and Indemnifications</w:t>
      </w:r>
    </w:p>
    <w:p>
      <w:pPr>
        <w:spacing w:after="0" w:line="241" w:lineRule="exact"/>
        <w:rPr>
          <w:sz w:val="20"/>
          <w:szCs w:val="20"/>
          <w:color w:val="auto"/>
        </w:rPr>
      </w:pPr>
    </w:p>
    <w:p>
      <w:pPr>
        <w:jc w:val="both"/>
        <w:ind w:firstLine="720"/>
        <w:spacing w:after="0" w:line="264" w:lineRule="auto"/>
        <w:rPr>
          <w:sz w:val="20"/>
          <w:szCs w:val="20"/>
          <w:color w:val="auto"/>
        </w:rPr>
      </w:pPr>
      <w:r>
        <w:rPr>
          <w:rFonts w:ascii="Calibri" w:cs="Calibri" w:eastAsia="Calibri" w:hAnsi="Calibri"/>
          <w:sz w:val="19"/>
          <w:szCs w:val="19"/>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w:t>
      </w:r>
    </w:p>
    <w:p>
      <w:pPr>
        <w:sectPr>
          <w:pgSz w:w="12240" w:h="15840" w:orient="portrait"/>
          <w:cols w:equalWidth="0" w:num="1">
            <w:col w:w="11160"/>
          </w:cols>
          <w:pgMar w:left="540" w:top="533" w:right="540"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104</w:t>
      </w:r>
    </w:p>
    <w:p>
      <w:pPr>
        <w:sectPr>
          <w:pgSz w:w="12240" w:h="15840" w:orient="portrait"/>
          <w:cols w:equalWidth="0" w:num="1">
            <w:col w:w="11160"/>
          </w:cols>
          <w:pgMar w:left="540" w:top="533" w:right="540" w:bottom="0" w:gutter="0" w:footer="0" w:header="0"/>
          <w:type w:val="continuous"/>
        </w:sectPr>
      </w:pPr>
    </w:p>
    <w:bookmarkStart w:id="106" w:name="page107"/>
    <w:bookmarkEnd w:id="106"/>
    <w:p>
      <w:pPr>
        <w:jc w:val="both"/>
        <w:spacing w:after="0" w:line="251" w:lineRule="auto"/>
        <w:rPr>
          <w:sz w:val="20"/>
          <w:szCs w:val="20"/>
          <w:color w:val="auto"/>
        </w:rPr>
      </w:pPr>
      <w:r>
        <w:rPr>
          <w:rFonts w:ascii="Calibri" w:cs="Calibri" w:eastAsia="Calibri" w:hAnsi="Calibri"/>
          <w:sz w:val="20"/>
          <w:szCs w:val="20"/>
          <w:color w:val="auto"/>
        </w:rPr>
        <w:t>as a result of these indemnification obligations. The Company assesses the likelihood of any adverse judgments or related claims, as well as ranges of probable losses. In the cases where the Company believes that a reasonably possible or probable loss exists, it will disclose the facts and circumstances of the claims, including an estimate range, if possible.</w:t>
      </w: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Legal Proceedings and Other Claims</w:t>
      </w:r>
    </w:p>
    <w:p>
      <w:pPr>
        <w:spacing w:after="0" w:line="241"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The Company is a party to various legal proceedings and claims that arise in the ordinary, routine course of business and that have not been fully resolved. The outcome of such legal proceedings and claims is inherently uncertain. Accruals are recognized for such legal proceedings and claims to the extent that a loss is both probable and reasonably estimable. The best estimate of a loss within a range is accrued; however, if no estimate in the range is better than any other, then the minimum amount in the range is accrued. If it’s determined that a material loss is reasonably possible and the loss or range of loss can be estimated, the possible loss is disclosed. Sometimes it is not possible to determine the outcome of these matters or, unless otherwise noted, the outcome (including in excess of any accrual) is not expected to be material, and the maximum potential exposure or the range of possible loss cannot be reasonably estimated.</w:t>
      </w:r>
    </w:p>
    <w:p>
      <w:pPr>
        <w:spacing w:after="0" w:line="215"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In late April of 2022, the Company received a demand letter from Zinc Health Services, LLC (“Zinc”) asserting that Zinc was entitled to approximately $14.0 million from the Company for claims related to certain sales of UDENYCA from October 2020 through December 2021. No legal proceeding has been filed in connection with the claims in the letter. As of December 31, 2024, the Company had recorded $6.4 million in accrued rebates, fees, and reserves on the consolidated balance sheets associated with this matter. With the statute of limitations now expired, no liability related to these claims was recorded as of December 31, 2025. Loss contingencies are inherently unpredictable, the assessment is highly subjective and requires judgments about future events and unfavorable developments or resolutions can occur. The Company regularly reviews litigation matters to determine whether its accrual is adequate. The amount of ultimate loss may differ materially from the Company’s estimates.</w:t>
      </w:r>
    </w:p>
    <w:p>
      <w:pPr>
        <w:spacing w:after="0" w:line="216" w:lineRule="exact"/>
        <w:rPr>
          <w:sz w:val="20"/>
          <w:szCs w:val="20"/>
          <w:color w:val="auto"/>
        </w:rPr>
      </w:pPr>
    </w:p>
    <w:p>
      <w:pPr>
        <w:jc w:val="both"/>
        <w:ind w:firstLine="720"/>
        <w:spacing w:after="0" w:line="250" w:lineRule="auto"/>
        <w:rPr>
          <w:sz w:val="20"/>
          <w:szCs w:val="20"/>
          <w:color w:val="auto"/>
        </w:rPr>
      </w:pPr>
      <w:r>
        <w:rPr>
          <w:rFonts w:ascii="Calibri" w:cs="Calibri" w:eastAsia="Calibri" w:hAnsi="Calibri"/>
          <w:sz w:val="20"/>
          <w:szCs w:val="20"/>
          <w:color w:val="auto"/>
        </w:rPr>
        <w:t>Other than the matter in connection with the demand letter described in this Note 9. Commitments and Contingencies, there are no pending legal proceedings, other than ordinary routine litigation incidental to the business, to which the Company or any of its subsidiaries is a party, or that any of the Company or its subsidiaries' property is subject.</w:t>
      </w:r>
    </w:p>
    <w:p>
      <w:pPr>
        <w:spacing w:after="0" w:line="213" w:lineRule="exact"/>
        <w:rPr>
          <w:sz w:val="20"/>
          <w:szCs w:val="20"/>
          <w:color w:val="auto"/>
        </w:rPr>
      </w:pPr>
    </w:p>
    <w:p>
      <w:pPr>
        <w:ind w:left="720" w:hanging="713"/>
        <w:spacing w:after="0"/>
        <w:tabs>
          <w:tab w:leader="none" w:pos="720" w:val="left"/>
        </w:tabs>
        <w:numPr>
          <w:ilvl w:val="0"/>
          <w:numId w:val="6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Leases</w:t>
      </w:r>
    </w:p>
    <w:p>
      <w:pPr>
        <w:spacing w:after="0" w:line="240"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The Company leases approximately 27,532 square feet of office space for its corporate headquarters in Redwood City, California under a lease agreement that expires in September 2027. The Company also leases approximately 25,017 square feet for its laboratory facilities in Camarillo, California. This lease commenced in January 2020, terminates in May 2027 and contains a one-time option to extend the lease term for five years. Both facility leases provide for certain limited rent abatement and annual scheduled rent increases over their respective lease terms.</w:t>
      </w:r>
    </w:p>
    <w:p>
      <w:pPr>
        <w:spacing w:after="0" w:line="214" w:lineRule="exact"/>
        <w:rPr>
          <w:sz w:val="20"/>
          <w:szCs w:val="20"/>
          <w:color w:val="auto"/>
        </w:rPr>
      </w:pPr>
    </w:p>
    <w:p>
      <w:pPr>
        <w:jc w:val="both"/>
        <w:ind w:firstLine="720"/>
        <w:spacing w:after="0" w:line="263" w:lineRule="auto"/>
        <w:rPr>
          <w:sz w:val="20"/>
          <w:szCs w:val="20"/>
          <w:color w:val="auto"/>
        </w:rPr>
      </w:pPr>
      <w:r>
        <w:rPr>
          <w:rFonts w:ascii="Calibri" w:cs="Calibri" w:eastAsia="Calibri" w:hAnsi="Calibri"/>
          <w:sz w:val="20"/>
          <w:szCs w:val="20"/>
          <w:color w:val="auto"/>
        </w:rPr>
        <w:t>The Company determined that the above facility leases were operating leases. No options to extend the lease terms were included as part of the right-of-use assets or lease liabilities as it was not reasonably certain the Company would exercise those options.</w:t>
      </w:r>
    </w:p>
    <w:p>
      <w:pPr>
        <w:spacing w:after="0" w:line="195"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Supplemental information related to the Company’s operating leases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20"/>
                <w:szCs w:val="20"/>
                <w:color w:val="auto"/>
              </w:rPr>
            </w:pPr>
            <w:r>
              <w:rPr>
                <w:rFonts w:ascii="Calibri" w:cs="Calibri" w:eastAsia="Calibri" w:hAnsi="Calibri"/>
                <w:sz w:val="16"/>
                <w:szCs w:val="16"/>
                <w:b w:val="1"/>
                <w:bCs w:val="1"/>
                <w:color w:val="auto"/>
              </w:rPr>
              <w:t>(in thousands)</w:t>
            </w: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740" w:type="dxa"/>
            <w:vAlign w:val="bottom"/>
            <w:tcBorders>
              <w:bottom w:val="single" w:sz="8" w:color="auto"/>
            </w:tcBorders>
          </w:tcPr>
          <w:p>
            <w:pPr>
              <w:spacing w:after="0"/>
              <w:rPr>
                <w:sz w:val="18"/>
                <w:szCs w:val="18"/>
                <w:color w:val="auto"/>
              </w:rPr>
            </w:pPr>
          </w:p>
        </w:tc>
      </w:tr>
      <w:tr>
        <w:trPr>
          <w:trHeight w:val="186"/>
        </w:trPr>
        <w:tc>
          <w:tcPr>
            <w:tcW w:w="5120" w:type="dxa"/>
            <w:vAlign w:val="bottom"/>
            <w:tcBorders>
              <w:bottom w:val="single" w:sz="8" w:color="E5E5E5"/>
            </w:tcBorders>
          </w:tcPr>
          <w:p>
            <w:pPr>
              <w:spacing w:after="0" w:line="187" w:lineRule="exact"/>
              <w:rPr>
                <w:sz w:val="20"/>
                <w:szCs w:val="20"/>
                <w:color w:val="auto"/>
              </w:rPr>
            </w:pPr>
            <w:r>
              <w:rPr>
                <w:rFonts w:ascii="Calibri" w:cs="Calibri" w:eastAsia="Calibri" w:hAnsi="Calibri"/>
                <w:sz w:val="16"/>
                <w:szCs w:val="16"/>
                <w:b w:val="1"/>
                <w:bCs w:val="1"/>
                <w:color w:val="auto"/>
              </w:rPr>
              <w:t>Assets</w:t>
            </w:r>
          </w:p>
        </w:tc>
        <w:tc>
          <w:tcPr>
            <w:tcW w:w="3660" w:type="dxa"/>
            <w:vAlign w:val="bottom"/>
            <w:tcBorders>
              <w:bottom w:val="single" w:sz="8" w:color="E5E5E5"/>
            </w:tcBorders>
          </w:tcPr>
          <w:p>
            <w:pPr>
              <w:ind w:left="260"/>
              <w:spacing w:after="0" w:line="187" w:lineRule="exact"/>
              <w:rPr>
                <w:sz w:val="20"/>
                <w:szCs w:val="20"/>
                <w:color w:val="auto"/>
              </w:rPr>
            </w:pPr>
            <w:r>
              <w:rPr>
                <w:rFonts w:ascii="Calibri" w:cs="Calibri" w:eastAsia="Calibri" w:hAnsi="Calibri"/>
                <w:sz w:val="16"/>
                <w:szCs w:val="16"/>
                <w:b w:val="1"/>
                <w:bCs w:val="1"/>
                <w:color w:val="auto"/>
              </w:rPr>
              <w:t>Balance Sheet Classification</w:t>
            </w:r>
          </w:p>
        </w:tc>
        <w:tc>
          <w:tcPr>
            <w:tcW w:w="2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6"/>
              <w:spacing w:after="0" w:line="187" w:lineRule="exact"/>
              <w:rPr>
                <w:sz w:val="20"/>
                <w:szCs w:val="20"/>
                <w:color w:val="auto"/>
              </w:rPr>
            </w:pPr>
            <w:r>
              <w:rPr>
                <w:rFonts w:ascii="Calibri" w:cs="Calibri" w:eastAsia="Calibri" w:hAnsi="Calibri"/>
                <w:sz w:val="16"/>
                <w:szCs w:val="16"/>
                <w:b w:val="1"/>
                <w:bCs w:val="1"/>
                <w:color w:val="auto"/>
              </w:rPr>
              <w:t>2025</w:t>
            </w:r>
          </w:p>
        </w:tc>
        <w:tc>
          <w:tcPr>
            <w:tcW w:w="8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23"/>
              <w:spacing w:after="0" w:line="187" w:lineRule="exact"/>
              <w:rPr>
                <w:sz w:val="20"/>
                <w:szCs w:val="20"/>
                <w:color w:val="auto"/>
              </w:rPr>
            </w:pPr>
            <w:r>
              <w:rPr>
                <w:rFonts w:ascii="Calibri" w:cs="Calibri" w:eastAsia="Calibri" w:hAnsi="Calibri"/>
                <w:sz w:val="16"/>
                <w:szCs w:val="16"/>
                <w:b w:val="1"/>
                <w:bCs w:val="1"/>
                <w:color w:val="auto"/>
                <w:w w:val="92"/>
              </w:rPr>
              <w:t>2024</w:t>
            </w:r>
          </w:p>
        </w:tc>
      </w:tr>
      <w:tr>
        <w:trPr>
          <w:trHeight w:val="256"/>
        </w:trPr>
        <w:tc>
          <w:tcPr>
            <w:tcW w:w="5120" w:type="dxa"/>
            <w:vAlign w:val="bottom"/>
            <w:shd w:val="clear" w:color="auto" w:fill="E5E5E5"/>
          </w:tcPr>
          <w:p>
            <w:pPr>
              <w:spacing w:after="0" w:line="235" w:lineRule="exact"/>
              <w:rPr>
                <w:sz w:val="20"/>
                <w:szCs w:val="20"/>
                <w:color w:val="auto"/>
              </w:rPr>
            </w:pPr>
            <w:r>
              <w:rPr>
                <w:rFonts w:ascii="Calibri" w:cs="Calibri" w:eastAsia="Calibri" w:hAnsi="Calibri"/>
                <w:sz w:val="20"/>
                <w:szCs w:val="20"/>
                <w:color w:val="auto"/>
              </w:rPr>
              <w:t>Operating leases</w:t>
            </w:r>
          </w:p>
        </w:tc>
        <w:tc>
          <w:tcPr>
            <w:tcW w:w="3660" w:type="dxa"/>
            <w:vAlign w:val="bottom"/>
            <w:shd w:val="clear" w:color="auto" w:fill="E5E5E5"/>
          </w:tcPr>
          <w:p>
            <w:pPr>
              <w:ind w:left="260"/>
              <w:spacing w:after="0" w:line="235" w:lineRule="exact"/>
              <w:rPr>
                <w:sz w:val="20"/>
                <w:szCs w:val="20"/>
                <w:color w:val="auto"/>
              </w:rPr>
            </w:pPr>
            <w:r>
              <w:rPr>
                <w:rFonts w:ascii="Calibri" w:cs="Calibri" w:eastAsia="Calibri" w:hAnsi="Calibri"/>
                <w:sz w:val="20"/>
                <w:szCs w:val="20"/>
                <w:color w:val="auto"/>
              </w:rPr>
              <w:t>Other assets, non-current</w:t>
            </w:r>
          </w:p>
        </w:tc>
        <w:tc>
          <w:tcPr>
            <w:tcW w:w="260" w:type="dxa"/>
            <w:vAlign w:val="bottom"/>
            <w:gridSpan w:val="2"/>
            <w:shd w:val="clear" w:color="auto" w:fill="E5E5E5"/>
          </w:tcPr>
          <w:p>
            <w:pPr>
              <w:jc w:val="right"/>
              <w:ind w:right="40"/>
              <w:spacing w:after="0" w:line="235" w:lineRule="exact"/>
              <w:rPr>
                <w:sz w:val="20"/>
                <w:szCs w:val="20"/>
                <w:color w:val="auto"/>
              </w:rPr>
            </w:pPr>
            <w:r>
              <w:rPr>
                <w:rFonts w:ascii="Calibri" w:cs="Calibri" w:eastAsia="Calibri" w:hAnsi="Calibri"/>
                <w:sz w:val="20"/>
                <w:szCs w:val="20"/>
                <w:color w:val="auto"/>
                <w:w w:val="98"/>
              </w:rPr>
              <w:t>$</w:t>
            </w:r>
          </w:p>
        </w:tc>
        <w:tc>
          <w:tcPr>
            <w:tcW w:w="88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2,953</w:t>
            </w:r>
          </w:p>
        </w:tc>
        <w:tc>
          <w:tcPr>
            <w:tcW w:w="500" w:type="dxa"/>
            <w:vAlign w:val="bottom"/>
            <w:gridSpan w:val="3"/>
            <w:shd w:val="clear" w:color="auto" w:fill="E5E5E5"/>
          </w:tcPr>
          <w:p>
            <w:pPr>
              <w:jc w:val="right"/>
              <w:ind w:right="200"/>
              <w:spacing w:after="0" w:line="235" w:lineRule="exact"/>
              <w:rPr>
                <w:sz w:val="20"/>
                <w:szCs w:val="20"/>
                <w:color w:val="auto"/>
              </w:rPr>
            </w:pPr>
            <w:r>
              <w:rPr>
                <w:rFonts w:ascii="Calibri" w:cs="Calibri" w:eastAsia="Calibri" w:hAnsi="Calibri"/>
                <w:sz w:val="20"/>
                <w:szCs w:val="20"/>
                <w:color w:val="auto"/>
              </w:rPr>
              <w:t>$</w:t>
            </w:r>
          </w:p>
        </w:tc>
        <w:tc>
          <w:tcPr>
            <w:tcW w:w="74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4,518</w:t>
            </w:r>
          </w:p>
        </w:tc>
      </w:tr>
      <w:tr>
        <w:trPr>
          <w:trHeight w:val="224"/>
        </w:trPr>
        <w:tc>
          <w:tcPr>
            <w:tcW w:w="5120" w:type="dxa"/>
            <w:vAlign w:val="bottom"/>
            <w:tcBorders>
              <w:top w:val="single" w:sz="8" w:color="E5E5E5"/>
              <w:bottom w:val="single" w:sz="8" w:color="E5E5E5"/>
            </w:tcBorders>
          </w:tcPr>
          <w:p>
            <w:pPr>
              <w:ind w:left="240"/>
              <w:spacing w:after="0" w:line="214" w:lineRule="exact"/>
              <w:rPr>
                <w:sz w:val="20"/>
                <w:szCs w:val="20"/>
                <w:color w:val="auto"/>
              </w:rPr>
            </w:pPr>
            <w:r>
              <w:rPr>
                <w:rFonts w:ascii="Calibri" w:cs="Calibri" w:eastAsia="Calibri" w:hAnsi="Calibri"/>
                <w:sz w:val="20"/>
                <w:szCs w:val="20"/>
                <w:color w:val="auto"/>
              </w:rPr>
              <w:t>Total leased assets</w:t>
            </w:r>
          </w:p>
        </w:tc>
        <w:tc>
          <w:tcPr>
            <w:tcW w:w="3660" w:type="dxa"/>
            <w:vAlign w:val="bottom"/>
            <w:tcBorders>
              <w:top w:val="single" w:sz="8" w:color="E5E5E5"/>
              <w:bottom w:val="single" w:sz="8" w:color="E5E5E5"/>
            </w:tcBorders>
          </w:tcPr>
          <w:p>
            <w:pPr>
              <w:spacing w:after="0"/>
              <w:rPr>
                <w:sz w:val="19"/>
                <w:szCs w:val="19"/>
                <w:color w:val="auto"/>
              </w:rPr>
            </w:pPr>
          </w:p>
        </w:tc>
        <w:tc>
          <w:tcPr>
            <w:tcW w:w="20" w:type="dxa"/>
            <w:vAlign w:val="bottom"/>
            <w:tcBorders>
              <w:top w:val="single" w:sz="8" w:color="E5E5E5"/>
              <w:bottom w:val="single" w:sz="8" w:color="E5E5E5"/>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40"/>
              <w:spacing w:after="0" w:line="214" w:lineRule="exact"/>
              <w:rPr>
                <w:sz w:val="20"/>
                <w:szCs w:val="20"/>
                <w:color w:val="auto"/>
              </w:rPr>
            </w:pPr>
            <w:r>
              <w:rPr>
                <w:rFonts w:ascii="Calibri" w:cs="Calibri" w:eastAsia="Calibri" w:hAnsi="Calibri"/>
                <w:sz w:val="20"/>
                <w:szCs w:val="20"/>
                <w:color w:val="auto"/>
                <w:w w:val="78"/>
              </w:rPr>
              <w:t>$</w:t>
            </w:r>
          </w:p>
        </w:tc>
        <w:tc>
          <w:tcPr>
            <w:tcW w:w="880" w:type="dxa"/>
            <w:vAlign w:val="bottom"/>
            <w:tcBorders>
              <w:top w:val="single" w:sz="8" w:color="auto"/>
              <w:bottom w:val="single" w:sz="8" w:color="auto"/>
            </w:tcBorders>
          </w:tcPr>
          <w:p>
            <w:pPr>
              <w:jc w:val="right"/>
              <w:spacing w:after="0" w:line="214" w:lineRule="exact"/>
              <w:rPr>
                <w:sz w:val="20"/>
                <w:szCs w:val="20"/>
                <w:color w:val="auto"/>
              </w:rPr>
            </w:pPr>
            <w:r>
              <w:rPr>
                <w:rFonts w:ascii="Calibri" w:cs="Calibri" w:eastAsia="Calibri" w:hAnsi="Calibri"/>
                <w:sz w:val="20"/>
                <w:szCs w:val="20"/>
                <w:color w:val="auto"/>
              </w:rPr>
              <w:t>2,953</w:t>
            </w:r>
          </w:p>
        </w:tc>
        <w:tc>
          <w:tcPr>
            <w:tcW w:w="80" w:type="dxa"/>
            <w:vAlign w:val="bottom"/>
            <w:tcBorders>
              <w:top w:val="single" w:sz="8" w:color="E5E5E5"/>
              <w:bottom w:val="single" w:sz="8" w:color="E5E5E5"/>
            </w:tcBorders>
          </w:tcPr>
          <w:p>
            <w:pPr>
              <w:spacing w:after="0"/>
              <w:rPr>
                <w:sz w:val="19"/>
                <w:szCs w:val="19"/>
                <w:color w:val="auto"/>
              </w:rPr>
            </w:pPr>
          </w:p>
        </w:tc>
        <w:tc>
          <w:tcPr>
            <w:tcW w:w="20" w:type="dxa"/>
            <w:vAlign w:val="bottom"/>
            <w:tcBorders>
              <w:top w:val="single" w:sz="8" w:color="E5E5E5"/>
              <w:bottom w:val="single" w:sz="8" w:color="E5E5E5"/>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00"/>
              <w:spacing w:after="0" w:line="214" w:lineRule="exact"/>
              <w:rPr>
                <w:sz w:val="20"/>
                <w:szCs w:val="20"/>
                <w:color w:val="auto"/>
              </w:rPr>
            </w:pPr>
            <w:r>
              <w:rPr>
                <w:rFonts w:ascii="Calibri" w:cs="Calibri" w:eastAsia="Calibri" w:hAnsi="Calibri"/>
                <w:sz w:val="20"/>
                <w:szCs w:val="20"/>
                <w:color w:val="auto"/>
                <w:w w:val="78"/>
              </w:rPr>
              <w:t>$</w:t>
            </w:r>
          </w:p>
        </w:tc>
        <w:tc>
          <w:tcPr>
            <w:tcW w:w="740" w:type="dxa"/>
            <w:vAlign w:val="bottom"/>
            <w:tcBorders>
              <w:top w:val="single" w:sz="8" w:color="auto"/>
              <w:bottom w:val="single" w:sz="8" w:color="auto"/>
            </w:tcBorders>
          </w:tcPr>
          <w:p>
            <w:pPr>
              <w:jc w:val="right"/>
              <w:spacing w:after="0" w:line="214" w:lineRule="exact"/>
              <w:rPr>
                <w:sz w:val="20"/>
                <w:szCs w:val="20"/>
                <w:color w:val="auto"/>
              </w:rPr>
            </w:pPr>
            <w:r>
              <w:rPr>
                <w:rFonts w:ascii="Calibri" w:cs="Calibri" w:eastAsia="Calibri" w:hAnsi="Calibri"/>
                <w:sz w:val="20"/>
                <w:szCs w:val="20"/>
                <w:color w:val="auto"/>
              </w:rPr>
              <w:t>4,518</w:t>
            </w:r>
          </w:p>
        </w:tc>
      </w:tr>
      <w:tr>
        <w:trPr>
          <w:trHeight w:val="245"/>
        </w:trPr>
        <w:tc>
          <w:tcPr>
            <w:tcW w:w="5120" w:type="dxa"/>
            <w:vAlign w:val="bottom"/>
            <w:shd w:val="clear" w:color="auto" w:fill="E5E5E5"/>
          </w:tcPr>
          <w:p>
            <w:pPr>
              <w:spacing w:after="0"/>
              <w:rPr>
                <w:sz w:val="20"/>
                <w:szCs w:val="20"/>
                <w:color w:val="auto"/>
              </w:rPr>
            </w:pPr>
            <w:r>
              <w:rPr>
                <w:rFonts w:ascii="Calibri" w:cs="Calibri" w:eastAsia="Calibri" w:hAnsi="Calibri"/>
                <w:sz w:val="16"/>
                <w:szCs w:val="16"/>
                <w:b w:val="1"/>
                <w:bCs w:val="1"/>
                <w:color w:val="auto"/>
              </w:rPr>
              <w:t>Liabilities</w:t>
            </w:r>
          </w:p>
        </w:tc>
        <w:tc>
          <w:tcPr>
            <w:tcW w:w="366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880" w:type="dxa"/>
            <w:vAlign w:val="bottom"/>
            <w:shd w:val="clear" w:color="auto" w:fill="E5E5E5"/>
          </w:tcPr>
          <w:p>
            <w:pPr>
              <w:spacing w:after="0"/>
              <w:rPr>
                <w:sz w:val="21"/>
                <w:szCs w:val="21"/>
                <w:color w:val="auto"/>
              </w:rPr>
            </w:pPr>
          </w:p>
        </w:tc>
        <w:tc>
          <w:tcPr>
            <w:tcW w:w="8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400" w:type="dxa"/>
            <w:vAlign w:val="bottom"/>
            <w:shd w:val="clear" w:color="auto" w:fill="E5E5E5"/>
          </w:tcPr>
          <w:p>
            <w:pPr>
              <w:spacing w:after="0"/>
              <w:rPr>
                <w:sz w:val="21"/>
                <w:szCs w:val="21"/>
                <w:color w:val="auto"/>
              </w:rPr>
            </w:pPr>
          </w:p>
        </w:tc>
        <w:tc>
          <w:tcPr>
            <w:tcW w:w="740" w:type="dxa"/>
            <w:vAlign w:val="bottom"/>
            <w:shd w:val="clear" w:color="auto" w:fill="E5E5E5"/>
          </w:tcPr>
          <w:p>
            <w:pPr>
              <w:spacing w:after="0"/>
              <w:rPr>
                <w:sz w:val="21"/>
                <w:szCs w:val="21"/>
                <w:color w:val="auto"/>
              </w:rPr>
            </w:pPr>
          </w:p>
        </w:tc>
      </w:tr>
      <w:tr>
        <w:trPr>
          <w:trHeight w:val="246"/>
        </w:trPr>
        <w:tc>
          <w:tcPr>
            <w:tcW w:w="5120" w:type="dxa"/>
            <w:vAlign w:val="bottom"/>
          </w:tcPr>
          <w:p>
            <w:pPr>
              <w:spacing w:after="0"/>
              <w:rPr>
                <w:sz w:val="20"/>
                <w:szCs w:val="20"/>
                <w:color w:val="auto"/>
              </w:rPr>
            </w:pPr>
            <w:r>
              <w:rPr>
                <w:rFonts w:ascii="Calibri" w:cs="Calibri" w:eastAsia="Calibri" w:hAnsi="Calibri"/>
                <w:sz w:val="20"/>
                <w:szCs w:val="20"/>
                <w:color w:val="auto"/>
              </w:rPr>
              <w:t>Operating lease liabilities, current</w:t>
            </w:r>
          </w:p>
        </w:tc>
        <w:tc>
          <w:tcPr>
            <w:tcW w:w="3660" w:type="dxa"/>
            <w:vAlign w:val="bottom"/>
          </w:tcPr>
          <w:p>
            <w:pPr>
              <w:ind w:left="260"/>
              <w:spacing w:after="0"/>
              <w:rPr>
                <w:sz w:val="20"/>
                <w:szCs w:val="20"/>
                <w:color w:val="auto"/>
              </w:rPr>
            </w:pPr>
            <w:r>
              <w:rPr>
                <w:rFonts w:ascii="Calibri" w:cs="Calibri" w:eastAsia="Calibri" w:hAnsi="Calibri"/>
                <w:sz w:val="20"/>
                <w:szCs w:val="20"/>
                <w:color w:val="auto"/>
              </w:rPr>
              <w:t>Accrued and other current liabilities</w:t>
            </w:r>
          </w:p>
        </w:tc>
        <w:tc>
          <w:tcPr>
            <w:tcW w:w="260" w:type="dxa"/>
            <w:vAlign w:val="bottom"/>
            <w:gridSpan w:val="2"/>
          </w:tcPr>
          <w:p>
            <w:pPr>
              <w:jc w:val="right"/>
              <w:ind w:right="40"/>
              <w:spacing w:after="0"/>
              <w:rPr>
                <w:sz w:val="20"/>
                <w:szCs w:val="20"/>
                <w:color w:val="auto"/>
              </w:rPr>
            </w:pPr>
            <w:r>
              <w:rPr>
                <w:rFonts w:ascii="Calibri" w:cs="Calibri" w:eastAsia="Calibri" w:hAnsi="Calibri"/>
                <w:sz w:val="20"/>
                <w:szCs w:val="20"/>
                <w:color w:val="auto"/>
                <w:w w:val="98"/>
              </w:rPr>
              <w:t>$</w:t>
            </w:r>
          </w:p>
        </w:tc>
        <w:tc>
          <w:tcPr>
            <w:tcW w:w="880" w:type="dxa"/>
            <w:vAlign w:val="bottom"/>
          </w:tcPr>
          <w:p>
            <w:pPr>
              <w:jc w:val="right"/>
              <w:spacing w:after="0"/>
              <w:rPr>
                <w:sz w:val="20"/>
                <w:szCs w:val="20"/>
                <w:color w:val="auto"/>
              </w:rPr>
            </w:pPr>
            <w:r>
              <w:rPr>
                <w:rFonts w:ascii="Calibri" w:cs="Calibri" w:eastAsia="Calibri" w:hAnsi="Calibri"/>
                <w:sz w:val="20"/>
                <w:szCs w:val="20"/>
                <w:color w:val="auto"/>
              </w:rPr>
              <w:t>1,828</w:t>
            </w:r>
          </w:p>
        </w:tc>
        <w:tc>
          <w:tcPr>
            <w:tcW w:w="500" w:type="dxa"/>
            <w:vAlign w:val="bottom"/>
            <w:gridSpan w:val="3"/>
          </w:tcPr>
          <w:p>
            <w:pPr>
              <w:jc w:val="right"/>
              <w:ind w:right="200"/>
              <w:spacing w:after="0"/>
              <w:rPr>
                <w:sz w:val="20"/>
                <w:szCs w:val="20"/>
                <w:color w:val="auto"/>
              </w:rPr>
            </w:pPr>
            <w:r>
              <w:rPr>
                <w:rFonts w:ascii="Calibri" w:cs="Calibri" w:eastAsia="Calibri" w:hAnsi="Calibri"/>
                <w:sz w:val="20"/>
                <w:szCs w:val="20"/>
                <w:color w:val="auto"/>
              </w:rPr>
              <w:t>$</w:t>
            </w:r>
          </w:p>
        </w:tc>
        <w:tc>
          <w:tcPr>
            <w:tcW w:w="740" w:type="dxa"/>
            <w:vAlign w:val="bottom"/>
          </w:tcPr>
          <w:p>
            <w:pPr>
              <w:jc w:val="right"/>
              <w:spacing w:after="0"/>
              <w:rPr>
                <w:sz w:val="20"/>
                <w:szCs w:val="20"/>
                <w:color w:val="auto"/>
              </w:rPr>
            </w:pPr>
            <w:r>
              <w:rPr>
                <w:rFonts w:ascii="Calibri" w:cs="Calibri" w:eastAsia="Calibri" w:hAnsi="Calibri"/>
                <w:sz w:val="20"/>
                <w:szCs w:val="20"/>
                <w:color w:val="auto"/>
              </w:rPr>
              <w:t>1,691</w:t>
            </w:r>
          </w:p>
        </w:tc>
      </w:tr>
      <w:tr>
        <w:trPr>
          <w:trHeight w:val="265"/>
        </w:trPr>
        <w:tc>
          <w:tcPr>
            <w:tcW w:w="5120" w:type="dxa"/>
            <w:vAlign w:val="bottom"/>
            <w:tcBorders>
              <w:bottom w:val="single" w:sz="8" w:color="E5E5E5"/>
            </w:tcBorders>
            <w:shd w:val="clear" w:color="auto" w:fill="E5E5E5"/>
          </w:tcPr>
          <w:p>
            <w:pPr>
              <w:spacing w:after="0"/>
              <w:rPr>
                <w:sz w:val="20"/>
                <w:szCs w:val="20"/>
                <w:color w:val="auto"/>
              </w:rPr>
            </w:pPr>
            <w:r>
              <w:rPr>
                <w:rFonts w:ascii="Calibri" w:cs="Calibri" w:eastAsia="Calibri" w:hAnsi="Calibri"/>
                <w:sz w:val="20"/>
                <w:szCs w:val="20"/>
                <w:color w:val="auto"/>
              </w:rPr>
              <w:t>Operating lease liabilities, non-current</w:t>
            </w:r>
          </w:p>
        </w:tc>
        <w:tc>
          <w:tcPr>
            <w:tcW w:w="3660" w:type="dxa"/>
            <w:vAlign w:val="bottom"/>
            <w:tcBorders>
              <w:bottom w:val="single" w:sz="8" w:color="E5E5E5"/>
            </w:tcBorders>
            <w:shd w:val="clear" w:color="auto" w:fill="E5E5E5"/>
          </w:tcPr>
          <w:p>
            <w:pPr>
              <w:ind w:left="260"/>
              <w:spacing w:after="0"/>
              <w:rPr>
                <w:sz w:val="20"/>
                <w:szCs w:val="20"/>
                <w:color w:val="auto"/>
              </w:rPr>
            </w:pPr>
            <w:r>
              <w:rPr>
                <w:rFonts w:ascii="Calibri" w:cs="Calibri" w:eastAsia="Calibri" w:hAnsi="Calibri"/>
                <w:sz w:val="20"/>
                <w:szCs w:val="20"/>
                <w:color w:val="auto"/>
              </w:rPr>
              <w:t>Lease liabilities, non-current</w:t>
            </w:r>
          </w:p>
        </w:tc>
        <w:tc>
          <w:tcPr>
            <w:tcW w:w="20" w:type="dxa"/>
            <w:vAlign w:val="bottom"/>
            <w:tcBorders>
              <w:bottom w:val="single" w:sz="8" w:color="E5E5E5"/>
            </w:tcBorders>
            <w:shd w:val="clear" w:color="auto" w:fill="E5E5E5"/>
          </w:tcPr>
          <w:p>
            <w:pPr>
              <w:spacing w:after="0"/>
              <w:rPr>
                <w:sz w:val="23"/>
                <w:szCs w:val="23"/>
                <w:color w:val="auto"/>
              </w:rPr>
            </w:pPr>
          </w:p>
        </w:tc>
        <w:tc>
          <w:tcPr>
            <w:tcW w:w="240" w:type="dxa"/>
            <w:vAlign w:val="bottom"/>
            <w:tcBorders>
              <w:bottom w:val="single" w:sz="8" w:color="auto"/>
            </w:tcBorders>
            <w:shd w:val="clear" w:color="auto" w:fill="E5E5E5"/>
          </w:tcPr>
          <w:p>
            <w:pPr>
              <w:spacing w:after="0"/>
              <w:rPr>
                <w:sz w:val="23"/>
                <w:szCs w:val="23"/>
                <w:color w:val="auto"/>
              </w:rPr>
            </w:pPr>
          </w:p>
        </w:tc>
        <w:tc>
          <w:tcPr>
            <w:tcW w:w="88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1,457</w:t>
            </w:r>
          </w:p>
        </w:tc>
        <w:tc>
          <w:tcPr>
            <w:tcW w:w="80" w:type="dxa"/>
            <w:vAlign w:val="bottom"/>
            <w:tcBorders>
              <w:bottom w:val="single" w:sz="8" w:color="E5E5E5"/>
            </w:tcBorders>
            <w:shd w:val="clear" w:color="auto" w:fill="E5E5E5"/>
          </w:tcPr>
          <w:p>
            <w:pPr>
              <w:spacing w:after="0"/>
              <w:rPr>
                <w:sz w:val="23"/>
                <w:szCs w:val="23"/>
                <w:color w:val="auto"/>
              </w:rPr>
            </w:pPr>
          </w:p>
        </w:tc>
        <w:tc>
          <w:tcPr>
            <w:tcW w:w="20" w:type="dxa"/>
            <w:vAlign w:val="bottom"/>
            <w:tcBorders>
              <w:bottom w:val="single" w:sz="8" w:color="E5E5E5"/>
            </w:tcBorders>
            <w:shd w:val="clear" w:color="auto" w:fill="E5E5E5"/>
          </w:tcPr>
          <w:p>
            <w:pPr>
              <w:spacing w:after="0"/>
              <w:rPr>
                <w:sz w:val="23"/>
                <w:szCs w:val="23"/>
                <w:color w:val="auto"/>
              </w:rPr>
            </w:pPr>
          </w:p>
        </w:tc>
        <w:tc>
          <w:tcPr>
            <w:tcW w:w="400" w:type="dxa"/>
            <w:vAlign w:val="bottom"/>
            <w:tcBorders>
              <w:bottom w:val="single" w:sz="8" w:color="auto"/>
            </w:tcBorders>
            <w:shd w:val="clear" w:color="auto" w:fill="E5E5E5"/>
          </w:tcPr>
          <w:p>
            <w:pPr>
              <w:spacing w:after="0"/>
              <w:rPr>
                <w:sz w:val="23"/>
                <w:szCs w:val="23"/>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3,286</w:t>
            </w:r>
          </w:p>
        </w:tc>
      </w:tr>
      <w:tr>
        <w:trPr>
          <w:trHeight w:val="226"/>
        </w:trPr>
        <w:tc>
          <w:tcPr>
            <w:tcW w:w="5120" w:type="dxa"/>
            <w:vAlign w:val="bottom"/>
          </w:tcPr>
          <w:p>
            <w:pPr>
              <w:ind w:left="240"/>
              <w:spacing w:after="0" w:line="217" w:lineRule="exact"/>
              <w:rPr>
                <w:sz w:val="20"/>
                <w:szCs w:val="20"/>
                <w:color w:val="auto"/>
              </w:rPr>
            </w:pPr>
            <w:r>
              <w:rPr>
                <w:rFonts w:ascii="Calibri" w:cs="Calibri" w:eastAsia="Calibri" w:hAnsi="Calibri"/>
                <w:sz w:val="20"/>
                <w:szCs w:val="20"/>
                <w:color w:val="auto"/>
              </w:rPr>
              <w:t>Total operating lease liabilities</w:t>
            </w:r>
          </w:p>
        </w:tc>
        <w:tc>
          <w:tcPr>
            <w:tcW w:w="3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40"/>
              <w:spacing w:after="0" w:line="217" w:lineRule="exact"/>
              <w:rPr>
                <w:sz w:val="20"/>
                <w:szCs w:val="20"/>
                <w:color w:val="auto"/>
              </w:rPr>
            </w:pPr>
            <w:r>
              <w:rPr>
                <w:rFonts w:ascii="Calibri" w:cs="Calibri" w:eastAsia="Calibri" w:hAnsi="Calibri"/>
                <w:sz w:val="20"/>
                <w:szCs w:val="20"/>
                <w:color w:val="auto"/>
                <w:w w:val="78"/>
              </w:rPr>
              <w:t>$</w:t>
            </w:r>
          </w:p>
        </w:tc>
        <w:tc>
          <w:tcPr>
            <w:tcW w:w="880" w:type="dxa"/>
            <w:vAlign w:val="bottom"/>
            <w:tcBorders>
              <w:bottom w:val="single" w:sz="8" w:color="auto"/>
            </w:tcBorders>
          </w:tcPr>
          <w:p>
            <w:pPr>
              <w:jc w:val="right"/>
              <w:spacing w:after="0" w:line="217" w:lineRule="exact"/>
              <w:rPr>
                <w:sz w:val="20"/>
                <w:szCs w:val="20"/>
                <w:color w:val="auto"/>
              </w:rPr>
            </w:pPr>
            <w:r>
              <w:rPr>
                <w:rFonts w:ascii="Calibri" w:cs="Calibri" w:eastAsia="Calibri" w:hAnsi="Calibri"/>
                <w:sz w:val="20"/>
                <w:szCs w:val="20"/>
                <w:color w:val="auto"/>
              </w:rPr>
              <w:t>3,285</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00"/>
              <w:spacing w:after="0" w:line="217" w:lineRule="exact"/>
              <w:rPr>
                <w:sz w:val="20"/>
                <w:szCs w:val="20"/>
                <w:color w:val="auto"/>
              </w:rPr>
            </w:pPr>
            <w:r>
              <w:rPr>
                <w:rFonts w:ascii="Calibri" w:cs="Calibri" w:eastAsia="Calibri" w:hAnsi="Calibri"/>
                <w:sz w:val="20"/>
                <w:szCs w:val="20"/>
                <w:color w:val="auto"/>
                <w:w w:val="78"/>
              </w:rPr>
              <w:t>$</w:t>
            </w:r>
          </w:p>
        </w:tc>
        <w:tc>
          <w:tcPr>
            <w:tcW w:w="740" w:type="dxa"/>
            <w:vAlign w:val="bottom"/>
            <w:tcBorders>
              <w:bottom w:val="single" w:sz="8" w:color="auto"/>
            </w:tcBorders>
          </w:tcPr>
          <w:p>
            <w:pPr>
              <w:jc w:val="right"/>
              <w:spacing w:after="0" w:line="217" w:lineRule="exact"/>
              <w:rPr>
                <w:sz w:val="20"/>
                <w:szCs w:val="20"/>
                <w:color w:val="auto"/>
              </w:rPr>
            </w:pPr>
            <w:r>
              <w:rPr>
                <w:rFonts w:ascii="Calibri" w:cs="Calibri" w:eastAsia="Calibri" w:hAnsi="Calibri"/>
                <w:sz w:val="20"/>
                <w:szCs w:val="20"/>
                <w:color w:val="auto"/>
              </w:rPr>
              <w:t>4,977</w:t>
            </w:r>
          </w:p>
        </w:tc>
      </w:tr>
    </w:tbl>
    <w:p>
      <w:pPr>
        <w:spacing w:after="0" w:line="230"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Other information related to lease term and discount rate for our operating leases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vMerge w:val="restart"/>
          </w:tcPr>
          <w:p>
            <w:pPr>
              <w:spacing w:after="0"/>
              <w:rPr>
                <w:sz w:val="20"/>
                <w:szCs w:val="20"/>
                <w:color w:val="auto"/>
              </w:rPr>
            </w:pPr>
            <w:r>
              <w:rPr>
                <w:rFonts w:ascii="Calibri" w:cs="Calibri" w:eastAsia="Calibri" w:hAnsi="Calibri"/>
                <w:sz w:val="16"/>
                <w:szCs w:val="16"/>
                <w:b w:val="1"/>
                <w:bCs w:val="1"/>
                <w:color w:val="auto"/>
              </w:rPr>
              <w:t>Operating leases</w:t>
            </w:r>
          </w:p>
        </w:tc>
        <w:tc>
          <w:tcPr>
            <w:tcW w:w="2080" w:type="dxa"/>
            <w:vAlign w:val="bottom"/>
            <w:tcBorders>
              <w:bottom w:val="single" w:sz="8" w:color="auto"/>
            </w:tcBorders>
            <w:gridSpan w:val="3"/>
          </w:tcPr>
          <w:p>
            <w:pPr>
              <w:ind w:left="1060"/>
              <w:spacing w:after="0"/>
              <w:rPr>
                <w:sz w:val="20"/>
                <w:szCs w:val="20"/>
                <w:color w:val="auto"/>
              </w:rPr>
            </w:pPr>
            <w:r>
              <w:rPr>
                <w:rFonts w:ascii="Calibri" w:cs="Calibri" w:eastAsia="Calibri" w:hAnsi="Calibri"/>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060" w:type="dxa"/>
            <w:vAlign w:val="bottom"/>
            <w:tcBorders>
              <w:bottom w:val="single" w:sz="8" w:color="E5E5E5"/>
            </w:tcBorders>
            <w:vMerge w:val="continue"/>
          </w:tcPr>
          <w:p>
            <w:pPr>
              <w:spacing w:after="0"/>
              <w:rPr>
                <w:sz w:val="16"/>
                <w:szCs w:val="16"/>
                <w:color w:val="auto"/>
              </w:rPr>
            </w:pPr>
          </w:p>
        </w:tc>
        <w:tc>
          <w:tcPr>
            <w:tcW w:w="1400" w:type="dxa"/>
            <w:vAlign w:val="bottom"/>
            <w:tcBorders>
              <w:bottom w:val="single" w:sz="8" w:color="auto"/>
            </w:tcBorders>
          </w:tcPr>
          <w:p>
            <w:pPr>
              <w:jc w:val="right"/>
              <w:ind w:right="450"/>
              <w:spacing w:after="0" w:line="187" w:lineRule="exact"/>
              <w:rPr>
                <w:sz w:val="20"/>
                <w:szCs w:val="20"/>
                <w:color w:val="auto"/>
              </w:rPr>
            </w:pPr>
            <w:r>
              <w:rPr>
                <w:rFonts w:ascii="Calibri" w:cs="Calibri" w:eastAsia="Calibri" w:hAnsi="Calibri"/>
                <w:sz w:val="16"/>
                <w:szCs w:val="16"/>
                <w:b w:val="1"/>
                <w:bCs w:val="1"/>
                <w:color w:val="auto"/>
              </w:rPr>
              <w:t>2025</w:t>
            </w:r>
          </w:p>
        </w:tc>
        <w:tc>
          <w:tcPr>
            <w:tcW w:w="200" w:type="dxa"/>
            <w:vAlign w:val="bottom"/>
            <w:tcBorders>
              <w:bottom w:val="single" w:sz="8" w:color="E5E5E5"/>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7"/>
              <w:spacing w:after="0" w:line="187" w:lineRule="exact"/>
              <w:rPr>
                <w:sz w:val="20"/>
                <w:szCs w:val="20"/>
                <w:color w:val="auto"/>
              </w:rPr>
            </w:pPr>
            <w:r>
              <w:rPr>
                <w:rFonts w:ascii="Calibri" w:cs="Calibri" w:eastAsia="Calibri" w:hAnsi="Calibri"/>
                <w:sz w:val="16"/>
                <w:szCs w:val="16"/>
                <w:b w:val="1"/>
                <w:bCs w:val="1"/>
                <w:color w:val="auto"/>
              </w:rPr>
              <w:t>2024</w:t>
            </w:r>
          </w:p>
        </w:tc>
        <w:tc>
          <w:tcPr>
            <w:tcW w:w="0" w:type="dxa"/>
            <w:vAlign w:val="bottom"/>
          </w:tcPr>
          <w:p>
            <w:pPr>
              <w:spacing w:after="0"/>
              <w:rPr>
                <w:sz w:val="1"/>
                <w:szCs w:val="1"/>
                <w:color w:val="auto"/>
              </w:rPr>
            </w:pPr>
          </w:p>
        </w:tc>
      </w:tr>
      <w:tr>
        <w:trPr>
          <w:trHeight w:val="260"/>
        </w:trPr>
        <w:tc>
          <w:tcPr>
            <w:tcW w:w="8060" w:type="dxa"/>
            <w:vAlign w:val="bottom"/>
            <w:shd w:val="clear" w:color="auto" w:fill="E5E5E5"/>
          </w:tcPr>
          <w:p>
            <w:pPr>
              <w:spacing w:after="0"/>
              <w:rPr>
                <w:sz w:val="20"/>
                <w:szCs w:val="20"/>
                <w:color w:val="auto"/>
              </w:rPr>
            </w:pPr>
            <w:r>
              <w:rPr>
                <w:rFonts w:ascii="Calibri" w:cs="Calibri" w:eastAsia="Calibri" w:hAnsi="Calibri"/>
                <w:sz w:val="20"/>
                <w:szCs w:val="20"/>
                <w:color w:val="auto"/>
              </w:rPr>
              <w:t>Weighted-Average Remaining Lease Term</w:t>
            </w:r>
          </w:p>
        </w:tc>
        <w:tc>
          <w:tcPr>
            <w:tcW w:w="14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1.7 years</w:t>
            </w:r>
          </w:p>
        </w:tc>
        <w:tc>
          <w:tcPr>
            <w:tcW w:w="200" w:type="dxa"/>
            <w:vAlign w:val="bottom"/>
            <w:shd w:val="clear" w:color="auto" w:fill="E5E5E5"/>
          </w:tcPr>
          <w:p>
            <w:pPr>
              <w:spacing w:after="0"/>
              <w:rPr>
                <w:sz w:val="22"/>
                <w:szCs w:val="22"/>
                <w:color w:val="auto"/>
              </w:rPr>
            </w:pPr>
          </w:p>
        </w:tc>
        <w:tc>
          <w:tcPr>
            <w:tcW w:w="480" w:type="dxa"/>
            <w:vAlign w:val="bottom"/>
            <w:shd w:val="clear" w:color="auto" w:fill="E5E5E5"/>
          </w:tcPr>
          <w:p>
            <w:pPr>
              <w:spacing w:after="0"/>
              <w:rPr>
                <w:sz w:val="22"/>
                <w:szCs w:val="22"/>
                <w:color w:val="auto"/>
              </w:rPr>
            </w:pPr>
          </w:p>
        </w:tc>
        <w:tc>
          <w:tcPr>
            <w:tcW w:w="102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2.7 years</w:t>
            </w:r>
          </w:p>
        </w:tc>
        <w:tc>
          <w:tcPr>
            <w:tcW w:w="0" w:type="dxa"/>
            <w:vAlign w:val="bottom"/>
          </w:tcPr>
          <w:p>
            <w:pPr>
              <w:spacing w:after="0"/>
              <w:rPr>
                <w:sz w:val="1"/>
                <w:szCs w:val="1"/>
                <w:color w:val="auto"/>
              </w:rPr>
            </w:pPr>
          </w:p>
        </w:tc>
      </w:tr>
      <w:tr>
        <w:trPr>
          <w:trHeight w:val="277"/>
        </w:trPr>
        <w:tc>
          <w:tcPr>
            <w:tcW w:w="8060" w:type="dxa"/>
            <w:vAlign w:val="bottom"/>
          </w:tcPr>
          <w:p>
            <w:pPr>
              <w:spacing w:after="0"/>
              <w:rPr>
                <w:sz w:val="20"/>
                <w:szCs w:val="20"/>
                <w:color w:val="auto"/>
              </w:rPr>
            </w:pPr>
            <w:r>
              <w:rPr>
                <w:rFonts w:ascii="Calibri" w:cs="Calibri" w:eastAsia="Calibri" w:hAnsi="Calibri"/>
                <w:sz w:val="20"/>
                <w:szCs w:val="20"/>
                <w:color w:val="auto"/>
              </w:rPr>
              <w:t>Weighted-Average Discount Rate</w:t>
            </w:r>
          </w:p>
        </w:tc>
        <w:tc>
          <w:tcPr>
            <w:tcW w:w="1400" w:type="dxa"/>
            <w:vAlign w:val="bottom"/>
          </w:tcPr>
          <w:p>
            <w:pPr>
              <w:jc w:val="right"/>
              <w:spacing w:after="0"/>
              <w:rPr>
                <w:sz w:val="20"/>
                <w:szCs w:val="20"/>
                <w:color w:val="auto"/>
              </w:rPr>
            </w:pPr>
            <w:r>
              <w:rPr>
                <w:rFonts w:ascii="Calibri" w:cs="Calibri" w:eastAsia="Calibri" w:hAnsi="Calibri"/>
                <w:sz w:val="20"/>
                <w:szCs w:val="20"/>
                <w:color w:val="auto"/>
              </w:rPr>
              <w:t>12.1%</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1160"/>
          </w:cols>
          <w:pgMar w:left="540" w:top="53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105</w:t>
      </w:r>
    </w:p>
    <w:p>
      <w:pPr>
        <w:sectPr>
          <w:pgSz w:w="12240" w:h="15840" w:orient="portrait"/>
          <w:cols w:equalWidth="0" w:num="1">
            <w:col w:w="11160"/>
          </w:cols>
          <w:pgMar w:left="540" w:top="532" w:right="540" w:bottom="0" w:gutter="0" w:footer="0" w:header="0"/>
          <w:type w:val="continuous"/>
        </w:sectPr>
      </w:pPr>
    </w:p>
    <w:bookmarkStart w:id="107" w:name="page108"/>
    <w:bookmarkEnd w:id="107"/>
    <w:p>
      <w:pPr>
        <w:ind w:left="720"/>
        <w:spacing w:after="0"/>
        <w:rPr>
          <w:sz w:val="20"/>
          <w:szCs w:val="20"/>
          <w:color w:val="auto"/>
        </w:rPr>
      </w:pPr>
      <w:r>
        <w:rPr>
          <w:rFonts w:ascii="Calibri" w:cs="Calibri" w:eastAsia="Calibri" w:hAnsi="Calibri"/>
          <w:sz w:val="20"/>
          <w:szCs w:val="20"/>
          <w:color w:val="auto"/>
        </w:rPr>
        <w:t>The components of lease expense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9"/>
          </w:tcPr>
          <w:p>
            <w:pPr>
              <w:jc w:val="right"/>
              <w:ind w:right="242"/>
              <w:spacing w:after="0"/>
              <w:rPr>
                <w:sz w:val="20"/>
                <w:szCs w:val="20"/>
                <w:color w:val="auto"/>
              </w:rPr>
            </w:pPr>
            <w:r>
              <w:rPr>
                <w:rFonts w:ascii="Calibri" w:cs="Calibri" w:eastAsia="Calibri" w:hAnsi="Calibri"/>
                <w:sz w:val="16"/>
                <w:szCs w:val="16"/>
                <w:b w:val="1"/>
                <w:bCs w:val="1"/>
                <w:color w:val="auto"/>
              </w:rPr>
              <w:t>Year Ended December 31,</w:t>
            </w:r>
          </w:p>
        </w:tc>
        <w:tc>
          <w:tcPr>
            <w:tcW w:w="0" w:type="dxa"/>
            <w:vAlign w:val="bottom"/>
          </w:tcPr>
          <w:p>
            <w:pPr>
              <w:spacing w:after="0"/>
              <w:rPr>
                <w:sz w:val="1"/>
                <w:szCs w:val="1"/>
                <w:color w:val="auto"/>
              </w:rPr>
            </w:pPr>
          </w:p>
        </w:tc>
      </w:tr>
      <w:tr>
        <w:trPr>
          <w:trHeight w:val="185"/>
        </w:trPr>
        <w:tc>
          <w:tcPr>
            <w:tcW w:w="8400" w:type="dxa"/>
            <w:vAlign w:val="bottom"/>
            <w:tcBorders>
              <w:bottom w:val="single" w:sz="8" w:color="E5E5E5"/>
            </w:tcBorders>
            <w:vMerge w:val="continue"/>
          </w:tcPr>
          <w:p>
            <w:pPr>
              <w:spacing w:after="0"/>
              <w:rPr>
                <w:sz w:val="16"/>
                <w:szCs w:val="16"/>
                <w:color w:val="auto"/>
              </w:rPr>
            </w:pPr>
          </w:p>
        </w:tc>
        <w:tc>
          <w:tcPr>
            <w:tcW w:w="40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80"/>
              <w:spacing w:after="0" w:line="185" w:lineRule="exact"/>
              <w:rPr>
                <w:sz w:val="20"/>
                <w:szCs w:val="20"/>
                <w:color w:val="auto"/>
              </w:rPr>
            </w:pPr>
            <w:r>
              <w:rPr>
                <w:rFonts w:ascii="Calibri" w:cs="Calibri" w:eastAsia="Calibri" w:hAnsi="Calibri"/>
                <w:sz w:val="16"/>
                <w:szCs w:val="16"/>
                <w:b w:val="1"/>
                <w:bCs w:val="1"/>
                <w:color w:val="auto"/>
              </w:rPr>
              <w:t>2025</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2"/>
              <w:spacing w:after="0" w:line="185" w:lineRule="exact"/>
              <w:rPr>
                <w:sz w:val="20"/>
                <w:szCs w:val="20"/>
                <w:color w:val="auto"/>
              </w:rPr>
            </w:pPr>
            <w:r>
              <w:rPr>
                <w:rFonts w:ascii="Calibri" w:cs="Calibri" w:eastAsia="Calibri" w:hAnsi="Calibri"/>
                <w:sz w:val="16"/>
                <w:szCs w:val="16"/>
                <w:b w:val="1"/>
                <w:bCs w:val="1"/>
                <w:color w:val="auto"/>
              </w:rPr>
              <w:t>2024</w:t>
            </w:r>
          </w:p>
        </w:tc>
        <w:tc>
          <w:tcPr>
            <w:tcW w:w="0" w:type="dxa"/>
            <w:vAlign w:val="bottom"/>
          </w:tcPr>
          <w:p>
            <w:pPr>
              <w:spacing w:after="0"/>
              <w:rPr>
                <w:sz w:val="1"/>
                <w:szCs w:val="1"/>
                <w:color w:val="auto"/>
              </w:rPr>
            </w:pPr>
          </w:p>
        </w:tc>
      </w:tr>
      <w:tr>
        <w:trPr>
          <w:trHeight w:val="236"/>
        </w:trPr>
        <w:tc>
          <w:tcPr>
            <w:tcW w:w="8400" w:type="dxa"/>
            <w:vAlign w:val="bottom"/>
            <w:shd w:val="clear" w:color="auto" w:fill="E5E5E5"/>
          </w:tcPr>
          <w:p>
            <w:pPr>
              <w:spacing w:after="0" w:line="235" w:lineRule="exact"/>
              <w:rPr>
                <w:sz w:val="20"/>
                <w:szCs w:val="20"/>
                <w:color w:val="auto"/>
              </w:rPr>
            </w:pPr>
            <w:r>
              <w:rPr>
                <w:rFonts w:ascii="Calibri" w:cs="Calibri" w:eastAsia="Calibri" w:hAnsi="Calibri"/>
                <w:sz w:val="20"/>
                <w:szCs w:val="20"/>
                <w:color w:val="auto"/>
              </w:rPr>
              <w:t>Finance lease cost</w:t>
            </w:r>
          </w:p>
        </w:tc>
        <w:tc>
          <w:tcPr>
            <w:tcW w:w="40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4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8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400" w:type="dxa"/>
            <w:vAlign w:val="bottom"/>
          </w:tcPr>
          <w:p>
            <w:pPr>
              <w:ind w:left="240"/>
              <w:spacing w:after="0"/>
              <w:rPr>
                <w:sz w:val="20"/>
                <w:szCs w:val="20"/>
                <w:color w:val="auto"/>
              </w:rPr>
            </w:pPr>
            <w:r>
              <w:rPr>
                <w:rFonts w:ascii="Calibri" w:cs="Calibri" w:eastAsia="Calibri" w:hAnsi="Calibri"/>
                <w:sz w:val="20"/>
                <w:szCs w:val="20"/>
                <w:color w:val="auto"/>
              </w:rPr>
              <w:t>Amortization of right-of-use assets</w:t>
            </w:r>
          </w:p>
        </w:tc>
        <w:tc>
          <w:tcPr>
            <w:tcW w:w="600" w:type="dxa"/>
            <w:vAlign w:val="bottom"/>
            <w:gridSpan w:val="2"/>
          </w:tcPr>
          <w:p>
            <w:pPr>
              <w:jc w:val="right"/>
              <w:ind w:right="100"/>
              <w:spacing w:after="0"/>
              <w:rPr>
                <w:sz w:val="20"/>
                <w:szCs w:val="20"/>
                <w:color w:val="auto"/>
              </w:rPr>
            </w:pPr>
            <w:r>
              <w:rPr>
                <w:rFonts w:ascii="Calibri" w:cs="Calibri" w:eastAsia="Calibri" w:hAnsi="Calibri"/>
                <w:sz w:val="20"/>
                <w:szCs w:val="20"/>
                <w:color w:val="auto"/>
              </w:rPr>
              <w:t>$</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Calibri" w:cs="Calibri" w:eastAsia="Calibri" w:hAnsi="Calibri"/>
                <w:sz w:val="20"/>
                <w:szCs w:val="20"/>
                <w:color w:val="auto"/>
                <w:w w:val="99"/>
              </w:rPr>
              <w:t>—</w:t>
            </w:r>
          </w:p>
        </w:tc>
        <w:tc>
          <w:tcPr>
            <w:tcW w:w="540" w:type="dxa"/>
            <w:vAlign w:val="bottom"/>
            <w:gridSpan w:val="4"/>
          </w:tcPr>
          <w:p>
            <w:pPr>
              <w:jc w:val="right"/>
              <w:ind w:right="120"/>
              <w:spacing w:after="0"/>
              <w:rPr>
                <w:sz w:val="20"/>
                <w:szCs w:val="20"/>
                <w:color w:val="auto"/>
              </w:rPr>
            </w:pPr>
            <w:r>
              <w:rPr>
                <w:rFonts w:ascii="Calibri" w:cs="Calibri" w:eastAsia="Calibri" w:hAnsi="Calibri"/>
                <w:sz w:val="20"/>
                <w:szCs w:val="20"/>
                <w:color w:val="auto"/>
              </w:rPr>
              <w:t>$</w:t>
            </w:r>
          </w:p>
        </w:tc>
        <w:tc>
          <w:tcPr>
            <w:tcW w:w="820" w:type="dxa"/>
            <w:vAlign w:val="bottom"/>
          </w:tcPr>
          <w:p>
            <w:pPr>
              <w:jc w:val="right"/>
              <w:spacing w:after="0"/>
              <w:rPr>
                <w:sz w:val="20"/>
                <w:szCs w:val="20"/>
                <w:color w:val="auto"/>
              </w:rPr>
            </w:pPr>
            <w:r>
              <w:rPr>
                <w:rFonts w:ascii="Calibri" w:cs="Calibri" w:eastAsia="Calibri" w:hAnsi="Calibri"/>
                <w:sz w:val="20"/>
                <w:szCs w:val="20"/>
                <w:color w:val="auto"/>
              </w:rPr>
              <w:t>225</w:t>
            </w:r>
          </w:p>
        </w:tc>
        <w:tc>
          <w:tcPr>
            <w:tcW w:w="0" w:type="dxa"/>
            <w:vAlign w:val="bottom"/>
          </w:tcPr>
          <w:p>
            <w:pPr>
              <w:spacing w:after="0"/>
              <w:rPr>
                <w:sz w:val="1"/>
                <w:szCs w:val="1"/>
                <w:color w:val="auto"/>
              </w:rPr>
            </w:pPr>
          </w:p>
        </w:tc>
      </w:tr>
      <w:tr>
        <w:trPr>
          <w:trHeight w:val="246"/>
        </w:trPr>
        <w:tc>
          <w:tcPr>
            <w:tcW w:w="8400" w:type="dxa"/>
            <w:vAlign w:val="bottom"/>
            <w:shd w:val="clear" w:color="auto" w:fill="E5E5E5"/>
          </w:tcPr>
          <w:p>
            <w:pPr>
              <w:ind w:left="240"/>
              <w:spacing w:after="0"/>
              <w:rPr>
                <w:sz w:val="20"/>
                <w:szCs w:val="20"/>
                <w:color w:val="auto"/>
              </w:rPr>
            </w:pPr>
            <w:r>
              <w:rPr>
                <w:rFonts w:ascii="Calibri" w:cs="Calibri" w:eastAsia="Calibri" w:hAnsi="Calibri"/>
                <w:sz w:val="20"/>
                <w:szCs w:val="20"/>
                <w:color w:val="auto"/>
              </w:rPr>
              <w:t>Interest on lease liabilities</w:t>
            </w:r>
          </w:p>
        </w:tc>
        <w:tc>
          <w:tcPr>
            <w:tcW w:w="400" w:type="dxa"/>
            <w:vAlign w:val="bottom"/>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280" w:type="dxa"/>
            <w:vAlign w:val="bottom"/>
            <w:tcBorders>
              <w:bottom w:val="single" w:sz="8" w:color="auto"/>
            </w:tcBorders>
            <w:shd w:val="clear" w:color="auto" w:fill="E5E5E5"/>
          </w:tcPr>
          <w:p>
            <w:pPr>
              <w:spacing w:after="0"/>
              <w:rPr>
                <w:sz w:val="21"/>
                <w:szCs w:val="21"/>
                <w:color w:val="auto"/>
              </w:rPr>
            </w:pPr>
          </w:p>
        </w:tc>
        <w:tc>
          <w:tcPr>
            <w:tcW w:w="280" w:type="dxa"/>
            <w:vAlign w:val="bottom"/>
            <w:tcBorders>
              <w:bottom w:val="single" w:sz="8" w:color="auto"/>
            </w:tcBorders>
            <w:shd w:val="clear" w:color="auto" w:fill="E5E5E5"/>
          </w:tcPr>
          <w:p>
            <w:pPr>
              <w:spacing w:after="0"/>
              <w:rPr>
                <w:sz w:val="21"/>
                <w:szCs w:val="21"/>
                <w:color w:val="auto"/>
              </w:rPr>
            </w:pPr>
          </w:p>
        </w:tc>
        <w:tc>
          <w:tcPr>
            <w:tcW w:w="20" w:type="dxa"/>
            <w:vAlign w:val="bottom"/>
            <w:tcBorders>
              <w:bottom w:val="single" w:sz="8" w:color="auto"/>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w w:val="99"/>
              </w:rPr>
              <w:t>—</w:t>
            </w:r>
          </w:p>
        </w:tc>
        <w:tc>
          <w:tcPr>
            <w:tcW w:w="40" w:type="dxa"/>
            <w:vAlign w:val="bottom"/>
            <w:tcBorders>
              <w:bottom w:val="single" w:sz="8" w:color="auto"/>
            </w:tcBorders>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82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24</w:t>
            </w:r>
          </w:p>
        </w:tc>
        <w:tc>
          <w:tcPr>
            <w:tcW w:w="0" w:type="dxa"/>
            <w:vAlign w:val="bottom"/>
          </w:tcPr>
          <w:p>
            <w:pPr>
              <w:spacing w:after="0"/>
              <w:rPr>
                <w:sz w:val="1"/>
                <w:szCs w:val="1"/>
                <w:color w:val="auto"/>
              </w:rPr>
            </w:pPr>
          </w:p>
        </w:tc>
      </w:tr>
      <w:tr>
        <w:trPr>
          <w:trHeight w:val="234"/>
        </w:trPr>
        <w:tc>
          <w:tcPr>
            <w:tcW w:w="8400" w:type="dxa"/>
            <w:vAlign w:val="bottom"/>
          </w:tcPr>
          <w:p>
            <w:pPr>
              <w:ind w:left="240"/>
              <w:spacing w:after="0" w:line="234" w:lineRule="exact"/>
              <w:rPr>
                <w:sz w:val="20"/>
                <w:szCs w:val="20"/>
                <w:color w:val="auto"/>
              </w:rPr>
            </w:pPr>
            <w:r>
              <w:rPr>
                <w:rFonts w:ascii="Calibri" w:cs="Calibri" w:eastAsia="Calibri" w:hAnsi="Calibri"/>
                <w:sz w:val="20"/>
                <w:szCs w:val="20"/>
                <w:color w:val="auto"/>
              </w:rPr>
              <w:t>Total finance lease cost</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spacing w:after="0" w:line="234" w:lineRule="exact"/>
              <w:rPr>
                <w:sz w:val="20"/>
                <w:szCs w:val="20"/>
                <w:color w:val="auto"/>
              </w:rPr>
            </w:pPr>
            <w:r>
              <w:rPr>
                <w:rFonts w:ascii="Calibri" w:cs="Calibri" w:eastAsia="Calibri" w:hAnsi="Calibri"/>
                <w:sz w:val="20"/>
                <w:szCs w:val="20"/>
                <w:color w:val="auto"/>
                <w:w w:val="99"/>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line="234" w:lineRule="exact"/>
              <w:rPr>
                <w:sz w:val="20"/>
                <w:szCs w:val="20"/>
                <w:color w:val="auto"/>
              </w:rPr>
            </w:pPr>
            <w:r>
              <w:rPr>
                <w:rFonts w:ascii="Calibri" w:cs="Calibri" w:eastAsia="Calibri" w:hAnsi="Calibri"/>
                <w:sz w:val="20"/>
                <w:szCs w:val="20"/>
                <w:color w:val="auto"/>
              </w:rPr>
              <w:t>249</w:t>
            </w:r>
          </w:p>
        </w:tc>
        <w:tc>
          <w:tcPr>
            <w:tcW w:w="0" w:type="dxa"/>
            <w:vAlign w:val="bottom"/>
          </w:tcPr>
          <w:p>
            <w:pPr>
              <w:spacing w:after="0"/>
              <w:rPr>
                <w:sz w:val="1"/>
                <w:szCs w:val="1"/>
                <w:color w:val="auto"/>
              </w:rPr>
            </w:pPr>
          </w:p>
        </w:tc>
      </w:tr>
      <w:tr>
        <w:trPr>
          <w:trHeight w:val="246"/>
        </w:trPr>
        <w:tc>
          <w:tcPr>
            <w:tcW w:w="8400" w:type="dxa"/>
            <w:vAlign w:val="bottom"/>
            <w:shd w:val="clear" w:color="auto" w:fill="E5E5E5"/>
          </w:tcPr>
          <w:p>
            <w:pPr>
              <w:spacing w:after="0"/>
              <w:rPr>
                <w:sz w:val="20"/>
                <w:szCs w:val="20"/>
                <w:color w:val="auto"/>
              </w:rPr>
            </w:pPr>
            <w:r>
              <w:rPr>
                <w:rFonts w:ascii="Calibri" w:cs="Calibri" w:eastAsia="Calibri" w:hAnsi="Calibri"/>
                <w:sz w:val="20"/>
                <w:szCs w:val="20"/>
                <w:color w:val="auto"/>
              </w:rPr>
              <w:t>Operating lease cost</w:t>
            </w:r>
          </w:p>
        </w:tc>
        <w:tc>
          <w:tcPr>
            <w:tcW w:w="400" w:type="dxa"/>
            <w:vAlign w:val="bottom"/>
            <w:shd w:val="clear" w:color="auto" w:fill="E5E5E5"/>
          </w:tcPr>
          <w:p>
            <w:pPr>
              <w:spacing w:after="0"/>
              <w:rPr>
                <w:sz w:val="21"/>
                <w:szCs w:val="21"/>
                <w:color w:val="auto"/>
              </w:rPr>
            </w:pPr>
          </w:p>
        </w:tc>
        <w:tc>
          <w:tcPr>
            <w:tcW w:w="200" w:type="dxa"/>
            <w:vAlign w:val="bottom"/>
            <w:tcBorders>
              <w:bottom w:val="single" w:sz="8" w:color="auto"/>
            </w:tcBorders>
            <w:shd w:val="clear" w:color="auto" w:fill="E5E5E5"/>
          </w:tcPr>
          <w:p>
            <w:pPr>
              <w:spacing w:after="0"/>
              <w:rPr>
                <w:sz w:val="21"/>
                <w:szCs w:val="21"/>
                <w:color w:val="auto"/>
              </w:rPr>
            </w:pPr>
          </w:p>
        </w:tc>
        <w:tc>
          <w:tcPr>
            <w:tcW w:w="800" w:type="dxa"/>
            <w:vAlign w:val="bottom"/>
            <w:tcBorders>
              <w:bottom w:val="single" w:sz="8" w:color="auto"/>
            </w:tcBorders>
            <w:gridSpan w:val="4"/>
            <w:shd w:val="clear" w:color="auto" w:fill="E5E5E5"/>
          </w:tcPr>
          <w:p>
            <w:pPr>
              <w:jc w:val="right"/>
              <w:spacing w:after="0"/>
              <w:rPr>
                <w:sz w:val="20"/>
                <w:szCs w:val="20"/>
                <w:color w:val="auto"/>
              </w:rPr>
            </w:pPr>
            <w:r>
              <w:rPr>
                <w:rFonts w:ascii="Calibri" w:cs="Calibri" w:eastAsia="Calibri" w:hAnsi="Calibri"/>
                <w:sz w:val="20"/>
                <w:szCs w:val="20"/>
                <w:color w:val="auto"/>
              </w:rPr>
              <w:t>2,066</w:t>
            </w:r>
          </w:p>
        </w:tc>
        <w:tc>
          <w:tcPr>
            <w:tcW w:w="40" w:type="dxa"/>
            <w:vAlign w:val="bottom"/>
            <w:tcBorders>
              <w:bottom w:val="single" w:sz="8" w:color="auto"/>
            </w:tcBorders>
            <w:shd w:val="clear" w:color="auto" w:fill="E5E5E5"/>
          </w:tcPr>
          <w:p>
            <w:pPr>
              <w:spacing w:after="0"/>
              <w:rPr>
                <w:sz w:val="21"/>
                <w:szCs w:val="21"/>
                <w:color w:val="auto"/>
              </w:rPr>
            </w:pPr>
          </w:p>
        </w:tc>
        <w:tc>
          <w:tcPr>
            <w:tcW w:w="26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82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2,066</w:t>
            </w:r>
          </w:p>
        </w:tc>
        <w:tc>
          <w:tcPr>
            <w:tcW w:w="0" w:type="dxa"/>
            <w:vAlign w:val="bottom"/>
          </w:tcPr>
          <w:p>
            <w:pPr>
              <w:spacing w:after="0"/>
              <w:rPr>
                <w:sz w:val="1"/>
                <w:szCs w:val="1"/>
                <w:color w:val="auto"/>
              </w:rPr>
            </w:pPr>
          </w:p>
        </w:tc>
      </w:tr>
      <w:tr>
        <w:trPr>
          <w:trHeight w:val="234"/>
        </w:trPr>
        <w:tc>
          <w:tcPr>
            <w:tcW w:w="8400" w:type="dxa"/>
            <w:vAlign w:val="bottom"/>
          </w:tcPr>
          <w:p>
            <w:pPr>
              <w:spacing w:after="0" w:line="234" w:lineRule="exact"/>
              <w:rPr>
                <w:sz w:val="20"/>
                <w:szCs w:val="20"/>
                <w:color w:val="auto"/>
              </w:rPr>
            </w:pPr>
            <w:r>
              <w:rPr>
                <w:rFonts w:ascii="Calibri" w:cs="Calibri" w:eastAsia="Calibri" w:hAnsi="Calibri"/>
                <w:sz w:val="20"/>
                <w:szCs w:val="20"/>
                <w:color w:val="auto"/>
              </w:rPr>
              <w:t>Total lease cost</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4"/>
          </w:tcPr>
          <w:p>
            <w:pPr>
              <w:jc w:val="right"/>
              <w:spacing w:after="0" w:line="234" w:lineRule="exact"/>
              <w:rPr>
                <w:sz w:val="20"/>
                <w:szCs w:val="20"/>
                <w:color w:val="auto"/>
              </w:rPr>
            </w:pPr>
            <w:r>
              <w:rPr>
                <w:rFonts w:ascii="Calibri" w:cs="Calibri" w:eastAsia="Calibri" w:hAnsi="Calibri"/>
                <w:sz w:val="20"/>
                <w:szCs w:val="20"/>
                <w:color w:val="auto"/>
              </w:rPr>
              <w:t>2,066</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line="234" w:lineRule="exact"/>
              <w:rPr>
                <w:sz w:val="20"/>
                <w:szCs w:val="20"/>
                <w:color w:val="auto"/>
              </w:rPr>
            </w:pPr>
            <w:r>
              <w:rPr>
                <w:rFonts w:ascii="Calibri" w:cs="Calibri" w:eastAsia="Calibri" w:hAnsi="Calibri"/>
                <w:sz w:val="20"/>
                <w:szCs w:val="20"/>
                <w:color w:val="auto"/>
              </w:rPr>
              <w:t>2,315</w:t>
            </w:r>
          </w:p>
        </w:tc>
        <w:tc>
          <w:tcPr>
            <w:tcW w:w="0" w:type="dxa"/>
            <w:vAlign w:val="bottom"/>
          </w:tcPr>
          <w:p>
            <w:pPr>
              <w:spacing w:after="0"/>
              <w:rPr>
                <w:sz w:val="1"/>
                <w:szCs w:val="1"/>
                <w:color w:val="auto"/>
              </w:rPr>
            </w:pPr>
          </w:p>
        </w:tc>
      </w:tr>
      <w:tr>
        <w:trPr>
          <w:trHeight w:val="270"/>
        </w:trPr>
        <w:tc>
          <w:tcPr>
            <w:tcW w:w="8400" w:type="dxa"/>
            <w:vAlign w:val="bottom"/>
            <w:shd w:val="clear" w:color="auto" w:fill="E5E5E5"/>
          </w:tcPr>
          <w:p>
            <w:pPr>
              <w:spacing w:after="0"/>
              <w:rPr>
                <w:sz w:val="20"/>
                <w:szCs w:val="20"/>
                <w:color w:val="auto"/>
              </w:rPr>
            </w:pPr>
            <w:r>
              <w:rPr>
                <w:rFonts w:ascii="Calibri" w:cs="Calibri" w:eastAsia="Calibri" w:hAnsi="Calibri"/>
                <w:sz w:val="20"/>
                <w:szCs w:val="20"/>
                <w:color w:val="auto"/>
              </w:rPr>
              <w:t>Less: Finance lease cost from discontinued operations</w:t>
            </w:r>
          </w:p>
        </w:tc>
        <w:tc>
          <w:tcPr>
            <w:tcW w:w="400" w:type="dxa"/>
            <w:vAlign w:val="bottom"/>
            <w:shd w:val="clear" w:color="auto" w:fill="E5E5E5"/>
          </w:tcPr>
          <w:p>
            <w:pPr>
              <w:spacing w:after="0"/>
              <w:rPr>
                <w:sz w:val="23"/>
                <w:szCs w:val="23"/>
                <w:color w:val="auto"/>
              </w:rPr>
            </w:pPr>
          </w:p>
        </w:tc>
        <w:tc>
          <w:tcPr>
            <w:tcW w:w="200" w:type="dxa"/>
            <w:vAlign w:val="bottom"/>
            <w:tcBorders>
              <w:bottom w:val="single" w:sz="8" w:color="auto"/>
            </w:tcBorders>
            <w:shd w:val="clear" w:color="auto" w:fill="E5E5E5"/>
          </w:tcPr>
          <w:p>
            <w:pPr>
              <w:spacing w:after="0"/>
              <w:rPr>
                <w:sz w:val="23"/>
                <w:szCs w:val="23"/>
                <w:color w:val="auto"/>
              </w:rPr>
            </w:pPr>
          </w:p>
        </w:tc>
        <w:tc>
          <w:tcPr>
            <w:tcW w:w="280" w:type="dxa"/>
            <w:vAlign w:val="bottom"/>
            <w:tcBorders>
              <w:bottom w:val="single" w:sz="8" w:color="auto"/>
            </w:tcBorders>
            <w:shd w:val="clear" w:color="auto" w:fill="E5E5E5"/>
          </w:tcPr>
          <w:p>
            <w:pPr>
              <w:spacing w:after="0"/>
              <w:rPr>
                <w:sz w:val="23"/>
                <w:szCs w:val="23"/>
                <w:color w:val="auto"/>
              </w:rPr>
            </w:pPr>
          </w:p>
        </w:tc>
        <w:tc>
          <w:tcPr>
            <w:tcW w:w="280" w:type="dxa"/>
            <w:vAlign w:val="bottom"/>
            <w:tcBorders>
              <w:bottom w:val="single" w:sz="8" w:color="auto"/>
            </w:tcBorders>
            <w:shd w:val="clear" w:color="auto" w:fill="E5E5E5"/>
          </w:tcPr>
          <w:p>
            <w:pPr>
              <w:spacing w:after="0"/>
              <w:rPr>
                <w:sz w:val="23"/>
                <w:szCs w:val="23"/>
                <w:color w:val="auto"/>
              </w:rPr>
            </w:pPr>
          </w:p>
        </w:tc>
        <w:tc>
          <w:tcPr>
            <w:tcW w:w="20" w:type="dxa"/>
            <w:vAlign w:val="bottom"/>
            <w:tcBorders>
              <w:bottom w:val="single" w:sz="8" w:color="auto"/>
            </w:tcBorders>
            <w:shd w:val="clear" w:color="auto" w:fill="E5E5E5"/>
          </w:tcPr>
          <w:p>
            <w:pPr>
              <w:spacing w:after="0"/>
              <w:rPr>
                <w:sz w:val="23"/>
                <w:szCs w:val="23"/>
                <w:color w:val="auto"/>
              </w:rPr>
            </w:pPr>
          </w:p>
        </w:tc>
        <w:tc>
          <w:tcPr>
            <w:tcW w:w="22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w w:val="99"/>
              </w:rPr>
              <w:t>—</w:t>
            </w:r>
          </w:p>
        </w:tc>
        <w:tc>
          <w:tcPr>
            <w:tcW w:w="40" w:type="dxa"/>
            <w:vAlign w:val="bottom"/>
            <w:tcBorders>
              <w:bottom w:val="single" w:sz="8" w:color="auto"/>
            </w:tcBorders>
            <w:shd w:val="clear" w:color="auto" w:fill="E5E5E5"/>
          </w:tcPr>
          <w:p>
            <w:pPr>
              <w:spacing w:after="0"/>
              <w:rPr>
                <w:sz w:val="23"/>
                <w:szCs w:val="23"/>
                <w:color w:val="auto"/>
              </w:rPr>
            </w:pPr>
          </w:p>
        </w:tc>
        <w:tc>
          <w:tcPr>
            <w:tcW w:w="260" w:type="dxa"/>
            <w:vAlign w:val="bottom"/>
            <w:shd w:val="clear" w:color="auto" w:fill="E5E5E5"/>
          </w:tcPr>
          <w:p>
            <w:pPr>
              <w:spacing w:after="0"/>
              <w:rPr>
                <w:sz w:val="23"/>
                <w:szCs w:val="23"/>
                <w:color w:val="auto"/>
              </w:rPr>
            </w:pPr>
          </w:p>
        </w:tc>
        <w:tc>
          <w:tcPr>
            <w:tcW w:w="20" w:type="dxa"/>
            <w:vAlign w:val="bottom"/>
            <w:shd w:val="clear" w:color="auto" w:fill="E5E5E5"/>
          </w:tcPr>
          <w:p>
            <w:pPr>
              <w:spacing w:after="0"/>
              <w:rPr>
                <w:sz w:val="23"/>
                <w:szCs w:val="23"/>
                <w:color w:val="auto"/>
              </w:rPr>
            </w:pPr>
          </w:p>
        </w:tc>
        <w:tc>
          <w:tcPr>
            <w:tcW w:w="220" w:type="dxa"/>
            <w:vAlign w:val="bottom"/>
            <w:tcBorders>
              <w:bottom w:val="single" w:sz="8" w:color="auto"/>
            </w:tcBorders>
            <w:shd w:val="clear" w:color="auto" w:fill="E5E5E5"/>
          </w:tcPr>
          <w:p>
            <w:pPr>
              <w:spacing w:after="0"/>
              <w:rPr>
                <w:sz w:val="23"/>
                <w:szCs w:val="23"/>
                <w:color w:val="auto"/>
              </w:rPr>
            </w:pPr>
          </w:p>
        </w:tc>
        <w:tc>
          <w:tcPr>
            <w:tcW w:w="82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(210)</w:t>
            </w:r>
          </w:p>
        </w:tc>
        <w:tc>
          <w:tcPr>
            <w:tcW w:w="0" w:type="dxa"/>
            <w:vAlign w:val="bottom"/>
          </w:tcPr>
          <w:p>
            <w:pPr>
              <w:spacing w:after="0"/>
              <w:rPr>
                <w:sz w:val="1"/>
                <w:szCs w:val="1"/>
                <w:color w:val="auto"/>
              </w:rPr>
            </w:pPr>
          </w:p>
        </w:tc>
      </w:tr>
      <w:tr>
        <w:trPr>
          <w:trHeight w:val="270"/>
        </w:trPr>
        <w:tc>
          <w:tcPr>
            <w:tcW w:w="8400" w:type="dxa"/>
            <w:vAlign w:val="bottom"/>
          </w:tcPr>
          <w:p>
            <w:pPr>
              <w:spacing w:after="0"/>
              <w:rPr>
                <w:sz w:val="20"/>
                <w:szCs w:val="20"/>
                <w:color w:val="auto"/>
              </w:rPr>
            </w:pPr>
            <w:r>
              <w:rPr>
                <w:rFonts w:ascii="Calibri" w:cs="Calibri" w:eastAsia="Calibri" w:hAnsi="Calibri"/>
                <w:sz w:val="20"/>
                <w:szCs w:val="20"/>
                <w:color w:val="auto"/>
              </w:rPr>
              <w:t>Total lease cost from continuing operations</w:t>
            </w:r>
          </w:p>
        </w:tc>
        <w:tc>
          <w:tcPr>
            <w:tcW w:w="600" w:type="dxa"/>
            <w:vAlign w:val="bottom"/>
            <w:gridSpan w:val="2"/>
          </w:tcPr>
          <w:p>
            <w:pPr>
              <w:jc w:val="right"/>
              <w:ind w:right="100"/>
              <w:spacing w:after="0"/>
              <w:rPr>
                <w:sz w:val="20"/>
                <w:szCs w:val="20"/>
                <w:color w:val="auto"/>
              </w:rPr>
            </w:pPr>
            <w:r>
              <w:rPr>
                <w:rFonts w:ascii="Calibri" w:cs="Calibri" w:eastAsia="Calibri" w:hAnsi="Calibri"/>
                <w:sz w:val="20"/>
                <w:szCs w:val="20"/>
                <w:color w:val="auto"/>
              </w:rPr>
              <w:t>$</w:t>
            </w:r>
          </w:p>
        </w:tc>
        <w:tc>
          <w:tcPr>
            <w:tcW w:w="800" w:type="dxa"/>
            <w:vAlign w:val="bottom"/>
            <w:gridSpan w:val="4"/>
          </w:tcPr>
          <w:p>
            <w:pPr>
              <w:jc w:val="right"/>
              <w:spacing w:after="0"/>
              <w:rPr>
                <w:sz w:val="20"/>
                <w:szCs w:val="20"/>
                <w:color w:val="auto"/>
              </w:rPr>
            </w:pPr>
            <w:r>
              <w:rPr>
                <w:rFonts w:ascii="Calibri" w:cs="Calibri" w:eastAsia="Calibri" w:hAnsi="Calibri"/>
                <w:sz w:val="20"/>
                <w:szCs w:val="20"/>
                <w:color w:val="auto"/>
              </w:rPr>
              <w:t>2,066</w:t>
            </w:r>
          </w:p>
        </w:tc>
        <w:tc>
          <w:tcPr>
            <w:tcW w:w="540" w:type="dxa"/>
            <w:vAlign w:val="bottom"/>
            <w:gridSpan w:val="4"/>
          </w:tcPr>
          <w:p>
            <w:pPr>
              <w:jc w:val="right"/>
              <w:ind w:right="120"/>
              <w:spacing w:after="0"/>
              <w:rPr>
                <w:sz w:val="20"/>
                <w:szCs w:val="20"/>
                <w:color w:val="auto"/>
              </w:rPr>
            </w:pPr>
            <w:r>
              <w:rPr>
                <w:rFonts w:ascii="Calibri" w:cs="Calibri" w:eastAsia="Calibri" w:hAnsi="Calibri"/>
                <w:sz w:val="20"/>
                <w:szCs w:val="20"/>
                <w:color w:val="auto"/>
              </w:rPr>
              <w:t>$</w:t>
            </w:r>
          </w:p>
        </w:tc>
        <w:tc>
          <w:tcPr>
            <w:tcW w:w="820" w:type="dxa"/>
            <w:vAlign w:val="bottom"/>
          </w:tcPr>
          <w:p>
            <w:pPr>
              <w:jc w:val="right"/>
              <w:spacing w:after="0"/>
              <w:rPr>
                <w:sz w:val="20"/>
                <w:szCs w:val="20"/>
                <w:color w:val="auto"/>
              </w:rPr>
            </w:pPr>
            <w:r>
              <w:rPr>
                <w:rFonts w:ascii="Calibri" w:cs="Calibri" w:eastAsia="Calibri" w:hAnsi="Calibri"/>
                <w:sz w:val="20"/>
                <w:szCs w:val="20"/>
                <w:color w:val="auto"/>
              </w:rPr>
              <w:t>2,105</w:t>
            </w:r>
          </w:p>
        </w:tc>
        <w:tc>
          <w:tcPr>
            <w:tcW w:w="0" w:type="dxa"/>
            <w:vAlign w:val="bottom"/>
          </w:tcPr>
          <w:p>
            <w:pPr>
              <w:spacing w:after="0"/>
              <w:rPr>
                <w:sz w:val="1"/>
                <w:szCs w:val="1"/>
                <w:color w:val="auto"/>
              </w:rPr>
            </w:pPr>
          </w:p>
        </w:tc>
      </w:tr>
      <w:tr>
        <w:trPr>
          <w:trHeight w:val="433"/>
        </w:trPr>
        <w:tc>
          <w:tcPr>
            <w:tcW w:w="8400" w:type="dxa"/>
            <w:vAlign w:val="bottom"/>
          </w:tcPr>
          <w:p>
            <w:pPr>
              <w:ind w:left="720"/>
              <w:spacing w:after="0"/>
              <w:rPr>
                <w:sz w:val="20"/>
                <w:szCs w:val="20"/>
                <w:color w:val="auto"/>
              </w:rPr>
            </w:pPr>
            <w:r>
              <w:rPr>
                <w:rFonts w:ascii="Calibri" w:cs="Calibri" w:eastAsia="Calibri" w:hAnsi="Calibri"/>
                <w:sz w:val="20"/>
                <w:szCs w:val="20"/>
                <w:color w:val="auto"/>
              </w:rPr>
              <w:t>Supplemental cash flow information related to leases was as follows:</w:t>
            </w: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840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9"/>
          </w:tcPr>
          <w:p>
            <w:pPr>
              <w:jc w:val="right"/>
              <w:ind w:right="242"/>
              <w:spacing w:after="0"/>
              <w:rPr>
                <w:sz w:val="20"/>
                <w:szCs w:val="20"/>
                <w:color w:val="auto"/>
              </w:rPr>
            </w:pPr>
            <w:r>
              <w:rPr>
                <w:rFonts w:ascii="Calibri" w:cs="Calibri" w:eastAsia="Calibri" w:hAnsi="Calibri"/>
                <w:sz w:val="16"/>
                <w:szCs w:val="16"/>
                <w:b w:val="1"/>
                <w:bCs w:val="1"/>
                <w:color w:val="auto"/>
              </w:rPr>
              <w:t>Year Ended December 31,</w:t>
            </w:r>
          </w:p>
        </w:tc>
        <w:tc>
          <w:tcPr>
            <w:tcW w:w="0" w:type="dxa"/>
            <w:vAlign w:val="bottom"/>
          </w:tcPr>
          <w:p>
            <w:pPr>
              <w:spacing w:after="0"/>
              <w:rPr>
                <w:sz w:val="1"/>
                <w:szCs w:val="1"/>
                <w:color w:val="auto"/>
              </w:rPr>
            </w:pPr>
          </w:p>
        </w:tc>
      </w:tr>
      <w:tr>
        <w:trPr>
          <w:trHeight w:val="186"/>
        </w:trPr>
        <w:tc>
          <w:tcPr>
            <w:tcW w:w="8400" w:type="dxa"/>
            <w:vAlign w:val="bottom"/>
            <w:tcBorders>
              <w:bottom w:val="single" w:sz="8" w:color="E5E5E5"/>
            </w:tcBorders>
            <w:vMerge w:val="continue"/>
          </w:tcPr>
          <w:p>
            <w:pPr>
              <w:spacing w:after="0"/>
              <w:rPr>
                <w:sz w:val="16"/>
                <w:szCs w:val="16"/>
                <w:color w:val="auto"/>
              </w:rPr>
            </w:pPr>
          </w:p>
        </w:tc>
        <w:tc>
          <w:tcPr>
            <w:tcW w:w="40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80"/>
              <w:spacing w:after="0" w:line="187" w:lineRule="exact"/>
              <w:rPr>
                <w:sz w:val="20"/>
                <w:szCs w:val="20"/>
                <w:color w:val="auto"/>
              </w:rPr>
            </w:pPr>
            <w:r>
              <w:rPr>
                <w:rFonts w:ascii="Calibri" w:cs="Calibri" w:eastAsia="Calibri" w:hAnsi="Calibri"/>
                <w:sz w:val="16"/>
                <w:szCs w:val="16"/>
                <w:b w:val="1"/>
                <w:bCs w:val="1"/>
                <w:color w:val="auto"/>
              </w:rPr>
              <w:t>2025</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2"/>
              <w:spacing w:after="0" w:line="187" w:lineRule="exact"/>
              <w:rPr>
                <w:sz w:val="20"/>
                <w:szCs w:val="20"/>
                <w:color w:val="auto"/>
              </w:rPr>
            </w:pPr>
            <w:r>
              <w:rPr>
                <w:rFonts w:ascii="Calibri" w:cs="Calibri" w:eastAsia="Calibri" w:hAnsi="Calibri"/>
                <w:sz w:val="16"/>
                <w:szCs w:val="16"/>
                <w:b w:val="1"/>
                <w:bCs w:val="1"/>
                <w:color w:val="auto"/>
              </w:rPr>
              <w:t>2024</w:t>
            </w:r>
          </w:p>
        </w:tc>
        <w:tc>
          <w:tcPr>
            <w:tcW w:w="0" w:type="dxa"/>
            <w:vAlign w:val="bottom"/>
          </w:tcPr>
          <w:p>
            <w:pPr>
              <w:spacing w:after="0"/>
              <w:rPr>
                <w:sz w:val="1"/>
                <w:szCs w:val="1"/>
                <w:color w:val="auto"/>
              </w:rPr>
            </w:pPr>
          </w:p>
        </w:tc>
      </w:tr>
      <w:tr>
        <w:trPr>
          <w:trHeight w:val="236"/>
        </w:trPr>
        <w:tc>
          <w:tcPr>
            <w:tcW w:w="8400" w:type="dxa"/>
            <w:vAlign w:val="bottom"/>
            <w:shd w:val="clear" w:color="auto" w:fill="E5E5E5"/>
          </w:tcPr>
          <w:p>
            <w:pPr>
              <w:spacing w:after="0" w:line="235" w:lineRule="exact"/>
              <w:rPr>
                <w:sz w:val="20"/>
                <w:szCs w:val="20"/>
                <w:color w:val="auto"/>
              </w:rPr>
            </w:pPr>
            <w:r>
              <w:rPr>
                <w:rFonts w:ascii="Calibri" w:cs="Calibri" w:eastAsia="Calibri" w:hAnsi="Calibri"/>
                <w:sz w:val="20"/>
                <w:szCs w:val="20"/>
                <w:color w:val="auto"/>
              </w:rPr>
              <w:t>Cash paid for amounts included in measurement of lease liabilities:</w:t>
            </w:r>
          </w:p>
        </w:tc>
        <w:tc>
          <w:tcPr>
            <w:tcW w:w="40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4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820" w:type="dxa"/>
            <w:vAlign w:val="bottom"/>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400" w:type="dxa"/>
            <w:vAlign w:val="bottom"/>
          </w:tcPr>
          <w:p>
            <w:pPr>
              <w:ind w:left="240"/>
              <w:spacing w:after="0"/>
              <w:rPr>
                <w:sz w:val="20"/>
                <w:szCs w:val="20"/>
                <w:color w:val="auto"/>
              </w:rPr>
            </w:pPr>
            <w:r>
              <w:rPr>
                <w:rFonts w:ascii="Calibri" w:cs="Calibri" w:eastAsia="Calibri" w:hAnsi="Calibri"/>
                <w:sz w:val="20"/>
                <w:szCs w:val="20"/>
                <w:color w:val="auto"/>
              </w:rPr>
              <w:t>Operating cash flows from operating leases</w:t>
            </w:r>
          </w:p>
        </w:tc>
        <w:tc>
          <w:tcPr>
            <w:tcW w:w="600" w:type="dxa"/>
            <w:vAlign w:val="bottom"/>
            <w:gridSpan w:val="2"/>
          </w:tcPr>
          <w:p>
            <w:pPr>
              <w:jc w:val="right"/>
              <w:ind w:right="100"/>
              <w:spacing w:after="0"/>
              <w:rPr>
                <w:sz w:val="20"/>
                <w:szCs w:val="20"/>
                <w:color w:val="auto"/>
              </w:rPr>
            </w:pPr>
            <w:r>
              <w:rPr>
                <w:rFonts w:ascii="Calibri" w:cs="Calibri" w:eastAsia="Calibri" w:hAnsi="Calibri"/>
                <w:sz w:val="20"/>
                <w:szCs w:val="20"/>
                <w:color w:val="auto"/>
              </w:rPr>
              <w:t>$</w:t>
            </w:r>
          </w:p>
        </w:tc>
        <w:tc>
          <w:tcPr>
            <w:tcW w:w="800" w:type="dxa"/>
            <w:vAlign w:val="bottom"/>
            <w:gridSpan w:val="4"/>
          </w:tcPr>
          <w:p>
            <w:pPr>
              <w:jc w:val="right"/>
              <w:spacing w:after="0"/>
              <w:rPr>
                <w:sz w:val="20"/>
                <w:szCs w:val="20"/>
                <w:color w:val="auto"/>
              </w:rPr>
            </w:pPr>
            <w:r>
              <w:rPr>
                <w:rFonts w:ascii="Calibri" w:cs="Calibri" w:eastAsia="Calibri" w:hAnsi="Calibri"/>
                <w:sz w:val="20"/>
                <w:szCs w:val="20"/>
                <w:color w:val="auto"/>
              </w:rPr>
              <w:t>2,192</w:t>
            </w:r>
          </w:p>
        </w:tc>
        <w:tc>
          <w:tcPr>
            <w:tcW w:w="540" w:type="dxa"/>
            <w:vAlign w:val="bottom"/>
            <w:gridSpan w:val="4"/>
          </w:tcPr>
          <w:p>
            <w:pPr>
              <w:jc w:val="right"/>
              <w:ind w:right="120"/>
              <w:spacing w:after="0"/>
              <w:rPr>
                <w:sz w:val="20"/>
                <w:szCs w:val="20"/>
                <w:color w:val="auto"/>
              </w:rPr>
            </w:pPr>
            <w:r>
              <w:rPr>
                <w:rFonts w:ascii="Calibri" w:cs="Calibri" w:eastAsia="Calibri" w:hAnsi="Calibri"/>
                <w:sz w:val="20"/>
                <w:szCs w:val="20"/>
                <w:color w:val="auto"/>
              </w:rPr>
              <w:t>$</w:t>
            </w:r>
          </w:p>
        </w:tc>
        <w:tc>
          <w:tcPr>
            <w:tcW w:w="820" w:type="dxa"/>
            <w:vAlign w:val="bottom"/>
          </w:tcPr>
          <w:p>
            <w:pPr>
              <w:jc w:val="right"/>
              <w:spacing w:after="0"/>
              <w:rPr>
                <w:sz w:val="20"/>
                <w:szCs w:val="20"/>
                <w:color w:val="auto"/>
              </w:rPr>
            </w:pPr>
            <w:r>
              <w:rPr>
                <w:rFonts w:ascii="Calibri" w:cs="Calibri" w:eastAsia="Calibri" w:hAnsi="Calibri"/>
                <w:sz w:val="20"/>
                <w:szCs w:val="20"/>
                <w:color w:val="auto"/>
              </w:rPr>
              <w:t>2,095</w:t>
            </w:r>
          </w:p>
        </w:tc>
        <w:tc>
          <w:tcPr>
            <w:tcW w:w="0" w:type="dxa"/>
            <w:vAlign w:val="bottom"/>
          </w:tcPr>
          <w:p>
            <w:pPr>
              <w:spacing w:after="0"/>
              <w:rPr>
                <w:sz w:val="1"/>
                <w:szCs w:val="1"/>
                <w:color w:val="auto"/>
              </w:rPr>
            </w:pPr>
          </w:p>
        </w:tc>
      </w:tr>
      <w:tr>
        <w:trPr>
          <w:trHeight w:val="246"/>
        </w:trPr>
        <w:tc>
          <w:tcPr>
            <w:tcW w:w="8400" w:type="dxa"/>
            <w:vAlign w:val="bottom"/>
            <w:shd w:val="clear" w:color="auto" w:fill="E5E5E5"/>
          </w:tcPr>
          <w:p>
            <w:pPr>
              <w:ind w:left="240"/>
              <w:spacing w:after="0"/>
              <w:rPr>
                <w:sz w:val="20"/>
                <w:szCs w:val="20"/>
                <w:color w:val="auto"/>
              </w:rPr>
            </w:pPr>
            <w:r>
              <w:rPr>
                <w:rFonts w:ascii="Calibri" w:cs="Calibri" w:eastAsia="Calibri" w:hAnsi="Calibri"/>
                <w:sz w:val="20"/>
                <w:szCs w:val="20"/>
                <w:color w:val="auto"/>
              </w:rPr>
              <w:t>Operating cash flows from finance leases</w:t>
            </w:r>
          </w:p>
        </w:tc>
        <w:tc>
          <w:tcPr>
            <w:tcW w:w="600" w:type="dxa"/>
            <w:vAlign w:val="bottom"/>
            <w:gridSpan w:val="2"/>
            <w:shd w:val="clear" w:color="auto" w:fill="E5E5E5"/>
          </w:tcPr>
          <w:p>
            <w:pPr>
              <w:jc w:val="right"/>
              <w:ind w:right="100"/>
              <w:spacing w:after="0"/>
              <w:rPr>
                <w:sz w:val="20"/>
                <w:szCs w:val="20"/>
                <w:color w:val="auto"/>
              </w:rPr>
            </w:pPr>
            <w:r>
              <w:rPr>
                <w:rFonts w:ascii="Calibri" w:cs="Calibri" w:eastAsia="Calibri" w:hAnsi="Calibri"/>
                <w:sz w:val="20"/>
                <w:szCs w:val="20"/>
                <w:color w:val="auto"/>
              </w:rPr>
              <w:t>$</w:t>
            </w:r>
          </w:p>
        </w:tc>
        <w:tc>
          <w:tcPr>
            <w:tcW w:w="28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22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w w:val="99"/>
              </w:rPr>
              <w:t>—</w:t>
            </w:r>
          </w:p>
        </w:tc>
        <w:tc>
          <w:tcPr>
            <w:tcW w:w="540" w:type="dxa"/>
            <w:vAlign w:val="bottom"/>
            <w:gridSpan w:val="4"/>
            <w:shd w:val="clear" w:color="auto" w:fill="E5E5E5"/>
          </w:tcPr>
          <w:p>
            <w:pPr>
              <w:jc w:val="right"/>
              <w:ind w:right="120"/>
              <w:spacing w:after="0"/>
              <w:rPr>
                <w:sz w:val="20"/>
                <w:szCs w:val="20"/>
                <w:color w:val="auto"/>
              </w:rPr>
            </w:pPr>
            <w:r>
              <w:rPr>
                <w:rFonts w:ascii="Calibri" w:cs="Calibri" w:eastAsia="Calibri" w:hAnsi="Calibri"/>
                <w:sz w:val="20"/>
                <w:szCs w:val="20"/>
                <w:color w:val="auto"/>
              </w:rPr>
              <w:t>$</w:t>
            </w:r>
          </w:p>
        </w:tc>
        <w:tc>
          <w:tcPr>
            <w:tcW w:w="82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24</w:t>
            </w:r>
          </w:p>
        </w:tc>
        <w:tc>
          <w:tcPr>
            <w:tcW w:w="0" w:type="dxa"/>
            <w:vAlign w:val="bottom"/>
          </w:tcPr>
          <w:p>
            <w:pPr>
              <w:spacing w:after="0"/>
              <w:rPr>
                <w:sz w:val="1"/>
                <w:szCs w:val="1"/>
                <w:color w:val="auto"/>
              </w:rPr>
            </w:pPr>
          </w:p>
        </w:tc>
      </w:tr>
      <w:tr>
        <w:trPr>
          <w:trHeight w:val="277"/>
        </w:trPr>
        <w:tc>
          <w:tcPr>
            <w:tcW w:w="8400" w:type="dxa"/>
            <w:vAlign w:val="bottom"/>
          </w:tcPr>
          <w:p>
            <w:pPr>
              <w:ind w:left="240"/>
              <w:spacing w:after="0"/>
              <w:rPr>
                <w:sz w:val="20"/>
                <w:szCs w:val="20"/>
                <w:color w:val="auto"/>
              </w:rPr>
            </w:pPr>
            <w:r>
              <w:rPr>
                <w:rFonts w:ascii="Calibri" w:cs="Calibri" w:eastAsia="Calibri" w:hAnsi="Calibri"/>
                <w:sz w:val="20"/>
                <w:szCs w:val="20"/>
                <w:color w:val="auto"/>
              </w:rPr>
              <w:t>Financing cash flows from finance leases</w:t>
            </w:r>
          </w:p>
        </w:tc>
        <w:tc>
          <w:tcPr>
            <w:tcW w:w="600" w:type="dxa"/>
            <w:vAlign w:val="bottom"/>
            <w:gridSpan w:val="2"/>
          </w:tcPr>
          <w:p>
            <w:pPr>
              <w:jc w:val="right"/>
              <w:ind w:right="100"/>
              <w:spacing w:after="0"/>
              <w:rPr>
                <w:sz w:val="20"/>
                <w:szCs w:val="20"/>
                <w:color w:val="auto"/>
              </w:rPr>
            </w:pPr>
            <w:r>
              <w:rPr>
                <w:rFonts w:ascii="Calibri" w:cs="Calibri" w:eastAsia="Calibri" w:hAnsi="Calibri"/>
                <w:sz w:val="20"/>
                <w:szCs w:val="20"/>
                <w:color w:val="auto"/>
              </w:rPr>
              <w: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alibri" w:cs="Calibri" w:eastAsia="Calibri" w:hAnsi="Calibri"/>
                <w:sz w:val="20"/>
                <w:szCs w:val="20"/>
                <w:color w:val="auto"/>
                <w:w w:val="99"/>
              </w:rPr>
              <w:t>—</w:t>
            </w:r>
          </w:p>
        </w:tc>
        <w:tc>
          <w:tcPr>
            <w:tcW w:w="540" w:type="dxa"/>
            <w:vAlign w:val="bottom"/>
            <w:gridSpan w:val="4"/>
          </w:tcPr>
          <w:p>
            <w:pPr>
              <w:jc w:val="right"/>
              <w:ind w:right="120"/>
              <w:spacing w:after="0"/>
              <w:rPr>
                <w:sz w:val="20"/>
                <w:szCs w:val="20"/>
                <w:color w:val="auto"/>
              </w:rPr>
            </w:pPr>
            <w:r>
              <w:rPr>
                <w:rFonts w:ascii="Calibri" w:cs="Calibri" w:eastAsia="Calibri" w:hAnsi="Calibri"/>
                <w:sz w:val="20"/>
                <w:szCs w:val="20"/>
                <w:color w:val="auto"/>
              </w:rPr>
              <w:t>$</w:t>
            </w:r>
          </w:p>
        </w:tc>
        <w:tc>
          <w:tcPr>
            <w:tcW w:w="820" w:type="dxa"/>
            <w:vAlign w:val="bottom"/>
          </w:tcPr>
          <w:p>
            <w:pPr>
              <w:jc w:val="right"/>
              <w:spacing w:after="0"/>
              <w:rPr>
                <w:sz w:val="20"/>
                <w:szCs w:val="20"/>
                <w:color w:val="auto"/>
              </w:rPr>
            </w:pPr>
            <w:r>
              <w:rPr>
                <w:rFonts w:ascii="Calibri" w:cs="Calibri" w:eastAsia="Calibri" w:hAnsi="Calibri"/>
                <w:sz w:val="20"/>
                <w:szCs w:val="20"/>
                <w:color w:val="auto"/>
              </w:rPr>
              <w:t>248</w:t>
            </w:r>
          </w:p>
        </w:tc>
        <w:tc>
          <w:tcPr>
            <w:tcW w:w="0" w:type="dxa"/>
            <w:vAlign w:val="bottom"/>
          </w:tcPr>
          <w:p>
            <w:pPr>
              <w:spacing w:after="0"/>
              <w:rPr>
                <w:sz w:val="1"/>
                <w:szCs w:val="1"/>
                <w:color w:val="auto"/>
              </w:rPr>
            </w:pPr>
          </w:p>
        </w:tc>
      </w:tr>
      <w:tr>
        <w:trPr>
          <w:trHeight w:val="490"/>
        </w:trPr>
        <w:tc>
          <w:tcPr>
            <w:tcW w:w="8400" w:type="dxa"/>
            <w:vAlign w:val="bottom"/>
          </w:tcPr>
          <w:p>
            <w:pPr>
              <w:ind w:left="720"/>
              <w:spacing w:after="0"/>
              <w:rPr>
                <w:sz w:val="20"/>
                <w:szCs w:val="20"/>
                <w:color w:val="auto"/>
              </w:rPr>
            </w:pPr>
            <w:r>
              <w:rPr>
                <w:rFonts w:ascii="Calibri" w:cs="Calibri" w:eastAsia="Calibri" w:hAnsi="Calibri"/>
                <w:sz w:val="20"/>
                <w:szCs w:val="20"/>
                <w:color w:val="auto"/>
              </w:rPr>
              <w:t>As of December 31, 2025, the maturities of the lease liabilities were as follows: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8400" w:type="dxa"/>
            <w:vAlign w:val="bottom"/>
            <w:tcBorders>
              <w:bottom w:val="single" w:sz="8" w:color="auto"/>
            </w:tcBorders>
          </w:tcPr>
          <w:p>
            <w:pPr>
              <w:spacing w:after="0"/>
              <w:rPr>
                <w:sz w:val="20"/>
                <w:szCs w:val="20"/>
                <w:color w:val="auto"/>
              </w:rPr>
            </w:pPr>
            <w:r>
              <w:rPr>
                <w:rFonts w:ascii="Calibri" w:cs="Calibri" w:eastAsia="Calibri" w:hAnsi="Calibri"/>
                <w:sz w:val="16"/>
                <w:szCs w:val="16"/>
                <w:b w:val="1"/>
                <w:bCs w:val="1"/>
                <w:color w:val="auto"/>
              </w:rPr>
              <w:t>Year ending December 31, (in thousands)</w:t>
            </w: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E5E5E5"/>
            </w:tcBorders>
          </w:tcPr>
          <w:p>
            <w:pPr>
              <w:spacing w:after="0"/>
              <w:rPr>
                <w:sz w:val="24"/>
                <w:szCs w:val="24"/>
                <w:color w:val="auto"/>
              </w:rPr>
            </w:pPr>
          </w:p>
        </w:tc>
        <w:tc>
          <w:tcPr>
            <w:tcW w:w="20" w:type="dxa"/>
            <w:vAlign w:val="bottom"/>
            <w:tcBorders>
              <w:bottom w:val="single" w:sz="8" w:color="E5E5E5"/>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ind w:right="142"/>
              <w:spacing w:after="0"/>
              <w:rPr>
                <w:sz w:val="20"/>
                <w:szCs w:val="20"/>
                <w:color w:val="auto"/>
              </w:rPr>
            </w:pPr>
            <w:r>
              <w:rPr>
                <w:rFonts w:ascii="Calibri" w:cs="Calibri" w:eastAsia="Calibri" w:hAnsi="Calibri"/>
                <w:sz w:val="16"/>
                <w:szCs w:val="16"/>
                <w:b w:val="1"/>
                <w:bCs w:val="1"/>
                <w:color w:val="auto"/>
                <w:w w:val="99"/>
              </w:rPr>
              <w:t>Operating leases</w:t>
            </w:r>
          </w:p>
        </w:tc>
        <w:tc>
          <w:tcPr>
            <w:tcW w:w="0" w:type="dxa"/>
            <w:vAlign w:val="bottom"/>
          </w:tcPr>
          <w:p>
            <w:pPr>
              <w:spacing w:after="0"/>
              <w:rPr>
                <w:sz w:val="1"/>
                <w:szCs w:val="1"/>
                <w:color w:val="auto"/>
              </w:rPr>
            </w:pPr>
          </w:p>
        </w:tc>
      </w:tr>
      <w:tr>
        <w:trPr>
          <w:trHeight w:val="233"/>
        </w:trPr>
        <w:tc>
          <w:tcPr>
            <w:tcW w:w="8400" w:type="dxa"/>
            <w:vAlign w:val="bottom"/>
            <w:shd w:val="clear" w:color="auto" w:fill="E5E5E5"/>
          </w:tcPr>
          <w:p>
            <w:pPr>
              <w:ind w:left="120"/>
              <w:spacing w:after="0" w:line="233" w:lineRule="exact"/>
              <w:rPr>
                <w:sz w:val="20"/>
                <w:szCs w:val="20"/>
                <w:color w:val="auto"/>
              </w:rPr>
            </w:pPr>
            <w:r>
              <w:rPr>
                <w:rFonts w:ascii="Calibri" w:cs="Calibri" w:eastAsia="Calibri" w:hAnsi="Calibri"/>
                <w:sz w:val="20"/>
                <w:szCs w:val="20"/>
                <w:color w:val="auto"/>
              </w:rPr>
              <w:t>2026</w:t>
            </w:r>
          </w:p>
        </w:tc>
        <w:tc>
          <w:tcPr>
            <w:tcW w:w="40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20" w:type="dxa"/>
            <w:vAlign w:val="bottom"/>
            <w:shd w:val="clear" w:color="auto" w:fill="E5E5E5"/>
          </w:tcPr>
          <w:p>
            <w:pPr>
              <w:jc w:val="right"/>
              <w:ind w:right="20"/>
              <w:spacing w:after="0" w:line="233" w:lineRule="exact"/>
              <w:rPr>
                <w:sz w:val="20"/>
                <w:szCs w:val="20"/>
                <w:color w:val="auto"/>
              </w:rPr>
            </w:pPr>
            <w:r>
              <w:rPr>
                <w:rFonts w:ascii="Calibri" w:cs="Calibri" w:eastAsia="Calibri" w:hAnsi="Calibri"/>
                <w:sz w:val="20"/>
                <w:szCs w:val="20"/>
                <w:color w:val="auto"/>
                <w:w w:val="78"/>
              </w:rPr>
              <w:t>$</w:t>
            </w:r>
          </w:p>
        </w:tc>
        <w:tc>
          <w:tcPr>
            <w:tcW w:w="4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82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2,126</w:t>
            </w:r>
          </w:p>
        </w:tc>
        <w:tc>
          <w:tcPr>
            <w:tcW w:w="0" w:type="dxa"/>
            <w:vAlign w:val="bottom"/>
          </w:tcPr>
          <w:p>
            <w:pPr>
              <w:spacing w:after="0"/>
              <w:rPr>
                <w:sz w:val="1"/>
                <w:szCs w:val="1"/>
                <w:color w:val="auto"/>
              </w:rPr>
            </w:pPr>
          </w:p>
        </w:tc>
      </w:tr>
      <w:tr>
        <w:trPr>
          <w:trHeight w:val="245"/>
        </w:trPr>
        <w:tc>
          <w:tcPr>
            <w:tcW w:w="8400" w:type="dxa"/>
            <w:vAlign w:val="bottom"/>
            <w:tcBorders>
              <w:bottom w:val="single" w:sz="8" w:color="E5E5E5"/>
            </w:tcBorders>
          </w:tcPr>
          <w:p>
            <w:pPr>
              <w:ind w:left="120"/>
              <w:spacing w:after="0"/>
              <w:rPr>
                <w:sz w:val="20"/>
                <w:szCs w:val="20"/>
                <w:color w:val="auto"/>
              </w:rPr>
            </w:pPr>
            <w:r>
              <w:rPr>
                <w:rFonts w:ascii="Calibri" w:cs="Calibri" w:eastAsia="Calibri" w:hAnsi="Calibri"/>
                <w:sz w:val="20"/>
                <w:szCs w:val="20"/>
                <w:color w:val="auto"/>
              </w:rPr>
              <w:t>2027</w:t>
            </w:r>
          </w:p>
        </w:tc>
        <w:tc>
          <w:tcPr>
            <w:tcW w:w="400" w:type="dxa"/>
            <w:vAlign w:val="bottom"/>
            <w:tcBorders>
              <w:bottom w:val="single" w:sz="8" w:color="E5E5E5"/>
            </w:tcBorders>
          </w:tcPr>
          <w:p>
            <w:pPr>
              <w:spacing w:after="0"/>
              <w:rPr>
                <w:sz w:val="21"/>
                <w:szCs w:val="21"/>
                <w:color w:val="auto"/>
              </w:rPr>
            </w:pPr>
          </w:p>
        </w:tc>
        <w:tc>
          <w:tcPr>
            <w:tcW w:w="200" w:type="dxa"/>
            <w:vAlign w:val="bottom"/>
            <w:tcBorders>
              <w:bottom w:val="single" w:sz="8" w:color="E5E5E5"/>
            </w:tcBorders>
          </w:tcPr>
          <w:p>
            <w:pPr>
              <w:spacing w:after="0"/>
              <w:rPr>
                <w:sz w:val="21"/>
                <w:szCs w:val="21"/>
                <w:color w:val="auto"/>
              </w:rPr>
            </w:pPr>
          </w:p>
        </w:tc>
        <w:tc>
          <w:tcPr>
            <w:tcW w:w="280" w:type="dxa"/>
            <w:vAlign w:val="bottom"/>
            <w:tcBorders>
              <w:bottom w:val="single" w:sz="8" w:color="E5E5E5"/>
            </w:tcBorders>
          </w:tcPr>
          <w:p>
            <w:pPr>
              <w:spacing w:after="0"/>
              <w:rPr>
                <w:sz w:val="21"/>
                <w:szCs w:val="21"/>
                <w:color w:val="auto"/>
              </w:rPr>
            </w:pPr>
          </w:p>
        </w:tc>
        <w:tc>
          <w:tcPr>
            <w:tcW w:w="28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1,530</w:t>
            </w:r>
          </w:p>
        </w:tc>
        <w:tc>
          <w:tcPr>
            <w:tcW w:w="0" w:type="dxa"/>
            <w:vAlign w:val="bottom"/>
          </w:tcPr>
          <w:p>
            <w:pPr>
              <w:spacing w:after="0"/>
              <w:rPr>
                <w:sz w:val="1"/>
                <w:szCs w:val="1"/>
                <w:color w:val="auto"/>
              </w:rPr>
            </w:pPr>
          </w:p>
        </w:tc>
      </w:tr>
      <w:tr>
        <w:trPr>
          <w:trHeight w:val="234"/>
        </w:trPr>
        <w:tc>
          <w:tcPr>
            <w:tcW w:w="8400" w:type="dxa"/>
            <w:vAlign w:val="bottom"/>
            <w:shd w:val="clear" w:color="auto" w:fill="E5E5E5"/>
          </w:tcPr>
          <w:p>
            <w:pPr>
              <w:ind w:left="120"/>
              <w:spacing w:after="0" w:line="234" w:lineRule="exact"/>
              <w:rPr>
                <w:sz w:val="20"/>
                <w:szCs w:val="20"/>
                <w:color w:val="auto"/>
              </w:rPr>
            </w:pPr>
            <w:r>
              <w:rPr>
                <w:rFonts w:ascii="Calibri" w:cs="Calibri" w:eastAsia="Calibri" w:hAnsi="Calibri"/>
                <w:sz w:val="20"/>
                <w:szCs w:val="20"/>
                <w:color w:val="auto"/>
              </w:rPr>
              <w:t>Total lease payments</w:t>
            </w:r>
          </w:p>
        </w:tc>
        <w:tc>
          <w:tcPr>
            <w:tcW w:w="40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40" w:type="dxa"/>
            <w:vAlign w:val="bottom"/>
            <w:shd w:val="clear" w:color="auto" w:fill="E5E5E5"/>
          </w:tcPr>
          <w:p>
            <w:pPr>
              <w:spacing w:after="0"/>
              <w:rPr>
                <w:sz w:val="20"/>
                <w:szCs w:val="20"/>
                <w:color w:val="auto"/>
              </w:rPr>
            </w:pPr>
          </w:p>
        </w:tc>
        <w:tc>
          <w:tcPr>
            <w:tcW w:w="26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220" w:type="dxa"/>
            <w:vAlign w:val="bottom"/>
            <w:shd w:val="clear" w:color="auto" w:fill="E5E5E5"/>
          </w:tcPr>
          <w:p>
            <w:pPr>
              <w:spacing w:after="0"/>
              <w:rPr>
                <w:sz w:val="20"/>
                <w:szCs w:val="20"/>
                <w:color w:val="auto"/>
              </w:rPr>
            </w:pPr>
          </w:p>
        </w:tc>
        <w:tc>
          <w:tcPr>
            <w:tcW w:w="82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3,656</w:t>
            </w:r>
          </w:p>
        </w:tc>
        <w:tc>
          <w:tcPr>
            <w:tcW w:w="0" w:type="dxa"/>
            <w:vAlign w:val="bottom"/>
          </w:tcPr>
          <w:p>
            <w:pPr>
              <w:spacing w:after="0"/>
              <w:rPr>
                <w:sz w:val="1"/>
                <w:szCs w:val="1"/>
                <w:color w:val="auto"/>
              </w:rPr>
            </w:pPr>
          </w:p>
        </w:tc>
      </w:tr>
      <w:tr>
        <w:trPr>
          <w:trHeight w:val="244"/>
        </w:trPr>
        <w:tc>
          <w:tcPr>
            <w:tcW w:w="8400" w:type="dxa"/>
            <w:vAlign w:val="bottom"/>
            <w:tcBorders>
              <w:bottom w:val="single" w:sz="8" w:color="E5E5E5"/>
            </w:tcBorders>
          </w:tcPr>
          <w:p>
            <w:pPr>
              <w:ind w:left="120"/>
              <w:spacing w:after="0"/>
              <w:rPr>
                <w:sz w:val="20"/>
                <w:szCs w:val="20"/>
                <w:color w:val="auto"/>
              </w:rPr>
            </w:pPr>
            <w:r>
              <w:rPr>
                <w:rFonts w:ascii="Calibri" w:cs="Calibri" w:eastAsia="Calibri" w:hAnsi="Calibri"/>
                <w:sz w:val="20"/>
                <w:szCs w:val="20"/>
                <w:color w:val="auto"/>
              </w:rPr>
              <w:t>Less: Imputed interest</w:t>
            </w:r>
          </w:p>
        </w:tc>
        <w:tc>
          <w:tcPr>
            <w:tcW w:w="400" w:type="dxa"/>
            <w:vAlign w:val="bottom"/>
            <w:tcBorders>
              <w:bottom w:val="single" w:sz="8" w:color="E5E5E5"/>
            </w:tcBorders>
          </w:tcPr>
          <w:p>
            <w:pPr>
              <w:spacing w:after="0"/>
              <w:rPr>
                <w:sz w:val="21"/>
                <w:szCs w:val="21"/>
                <w:color w:val="auto"/>
              </w:rPr>
            </w:pPr>
          </w:p>
        </w:tc>
        <w:tc>
          <w:tcPr>
            <w:tcW w:w="200" w:type="dxa"/>
            <w:vAlign w:val="bottom"/>
            <w:tcBorders>
              <w:bottom w:val="single" w:sz="8" w:color="E5E5E5"/>
            </w:tcBorders>
          </w:tcPr>
          <w:p>
            <w:pPr>
              <w:spacing w:after="0"/>
              <w:rPr>
                <w:sz w:val="21"/>
                <w:szCs w:val="21"/>
                <w:color w:val="auto"/>
              </w:rPr>
            </w:pPr>
          </w:p>
        </w:tc>
        <w:tc>
          <w:tcPr>
            <w:tcW w:w="280" w:type="dxa"/>
            <w:vAlign w:val="bottom"/>
            <w:tcBorders>
              <w:bottom w:val="single" w:sz="8" w:color="E5E5E5"/>
            </w:tcBorders>
          </w:tcPr>
          <w:p>
            <w:pPr>
              <w:spacing w:after="0"/>
              <w:rPr>
                <w:sz w:val="21"/>
                <w:szCs w:val="21"/>
                <w:color w:val="auto"/>
              </w:rPr>
            </w:pPr>
          </w:p>
        </w:tc>
        <w:tc>
          <w:tcPr>
            <w:tcW w:w="28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(371)</w:t>
            </w:r>
          </w:p>
        </w:tc>
        <w:tc>
          <w:tcPr>
            <w:tcW w:w="0" w:type="dxa"/>
            <w:vAlign w:val="bottom"/>
          </w:tcPr>
          <w:p>
            <w:pPr>
              <w:spacing w:after="0"/>
              <w:rPr>
                <w:sz w:val="1"/>
                <w:szCs w:val="1"/>
                <w:color w:val="auto"/>
              </w:rPr>
            </w:pPr>
          </w:p>
        </w:tc>
      </w:tr>
      <w:tr>
        <w:trPr>
          <w:trHeight w:val="244"/>
        </w:trPr>
        <w:tc>
          <w:tcPr>
            <w:tcW w:w="8400" w:type="dxa"/>
            <w:vAlign w:val="bottom"/>
            <w:shd w:val="clear" w:color="auto" w:fill="E5E5E5"/>
          </w:tcPr>
          <w:p>
            <w:pPr>
              <w:ind w:left="240"/>
              <w:spacing w:after="0" w:line="234" w:lineRule="exact"/>
              <w:rPr>
                <w:sz w:val="20"/>
                <w:szCs w:val="20"/>
                <w:color w:val="auto"/>
              </w:rPr>
            </w:pPr>
            <w:r>
              <w:rPr>
                <w:rFonts w:ascii="Calibri" w:cs="Calibri" w:eastAsia="Calibri" w:hAnsi="Calibri"/>
                <w:sz w:val="20"/>
                <w:szCs w:val="20"/>
                <w:color w:val="auto"/>
              </w:rPr>
              <w:t>Lease liabilities</w:t>
            </w:r>
          </w:p>
        </w:tc>
        <w:tc>
          <w:tcPr>
            <w:tcW w:w="40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560" w:type="dxa"/>
            <w:vAlign w:val="bottom"/>
            <w:gridSpan w:val="2"/>
            <w:shd w:val="clear" w:color="auto" w:fill="E5E5E5"/>
          </w:tcPr>
          <w:p>
            <w:pPr>
              <w:spacing w:after="0"/>
              <w:rPr>
                <w:sz w:val="21"/>
                <w:szCs w:val="21"/>
                <w:color w:val="auto"/>
              </w:rPr>
            </w:pPr>
          </w:p>
        </w:tc>
        <w:tc>
          <w:tcPr>
            <w:tcW w:w="20" w:type="dxa"/>
            <w:vAlign w:val="bottom"/>
            <w:tcBorders>
              <w:bottom w:val="single" w:sz="8" w:color="auto"/>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jc w:val="right"/>
              <w:ind w:right="20"/>
              <w:spacing w:after="0" w:line="235" w:lineRule="exact"/>
              <w:rPr>
                <w:sz w:val="20"/>
                <w:szCs w:val="20"/>
                <w:color w:val="auto"/>
              </w:rPr>
            </w:pPr>
            <w:r>
              <w:rPr>
                <w:rFonts w:ascii="Calibri" w:cs="Calibri" w:eastAsia="Calibri" w:hAnsi="Calibri"/>
                <w:sz w:val="20"/>
                <w:szCs w:val="20"/>
                <w:color w:val="auto"/>
                <w:w w:val="78"/>
              </w:rPr>
              <w:t>$</w:t>
            </w:r>
          </w:p>
        </w:tc>
        <w:tc>
          <w:tcPr>
            <w:tcW w:w="40" w:type="dxa"/>
            <w:vAlign w:val="bottom"/>
            <w:tcBorders>
              <w:bottom w:val="single" w:sz="8" w:color="auto"/>
            </w:tcBorders>
            <w:shd w:val="clear" w:color="auto" w:fill="E5E5E5"/>
          </w:tcPr>
          <w:p>
            <w:pPr>
              <w:spacing w:after="0"/>
              <w:rPr>
                <w:sz w:val="21"/>
                <w:szCs w:val="21"/>
                <w:color w:val="auto"/>
              </w:rPr>
            </w:pPr>
          </w:p>
        </w:tc>
        <w:tc>
          <w:tcPr>
            <w:tcW w:w="260" w:type="dxa"/>
            <w:vAlign w:val="bottom"/>
            <w:tcBorders>
              <w:bottom w:val="single" w:sz="8" w:color="auto"/>
            </w:tcBorders>
            <w:shd w:val="clear" w:color="auto" w:fill="E5E5E5"/>
          </w:tcPr>
          <w:p>
            <w:pPr>
              <w:spacing w:after="0"/>
              <w:rPr>
                <w:sz w:val="21"/>
                <w:szCs w:val="21"/>
                <w:color w:val="auto"/>
              </w:rPr>
            </w:pPr>
          </w:p>
        </w:tc>
        <w:tc>
          <w:tcPr>
            <w:tcW w:w="20" w:type="dxa"/>
            <w:vAlign w:val="bottom"/>
            <w:tcBorders>
              <w:bottom w:val="single" w:sz="8" w:color="auto"/>
            </w:tcBorders>
            <w:shd w:val="clear" w:color="auto" w:fill="E5E5E5"/>
          </w:tcPr>
          <w:p>
            <w:pPr>
              <w:spacing w:after="0"/>
              <w:rPr>
                <w:sz w:val="21"/>
                <w:szCs w:val="21"/>
                <w:color w:val="auto"/>
              </w:rPr>
            </w:pPr>
          </w:p>
        </w:tc>
        <w:tc>
          <w:tcPr>
            <w:tcW w:w="220" w:type="dxa"/>
            <w:vAlign w:val="bottom"/>
            <w:tcBorders>
              <w:bottom w:val="single" w:sz="8" w:color="auto"/>
            </w:tcBorders>
            <w:shd w:val="clear" w:color="auto" w:fill="E5E5E5"/>
          </w:tcPr>
          <w:p>
            <w:pPr>
              <w:spacing w:after="0"/>
              <w:rPr>
                <w:sz w:val="21"/>
                <w:szCs w:val="21"/>
                <w:color w:val="auto"/>
              </w:rPr>
            </w:pPr>
          </w:p>
        </w:tc>
        <w:tc>
          <w:tcPr>
            <w:tcW w:w="820" w:type="dxa"/>
            <w:vAlign w:val="bottom"/>
            <w:tcBorders>
              <w:bottom w:val="single" w:sz="8" w:color="auto"/>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3,285</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720" w:hanging="713"/>
        <w:spacing w:after="0"/>
        <w:tabs>
          <w:tab w:leader="none" w:pos="720" w:val="left"/>
        </w:tabs>
        <w:numPr>
          <w:ilvl w:val="0"/>
          <w:numId w:val="7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Stockholders’ Equity (Deficit)</w:t>
      </w:r>
    </w:p>
    <w:p>
      <w:pPr>
        <w:spacing w:after="0" w:line="23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Sales Agreement</w:t>
      </w:r>
    </w:p>
    <w:p>
      <w:pPr>
        <w:spacing w:after="0" w:line="183" w:lineRule="exact"/>
        <w:rPr>
          <w:sz w:val="20"/>
          <w:szCs w:val="20"/>
          <w:color w:val="auto"/>
        </w:rPr>
      </w:pPr>
    </w:p>
    <w:p>
      <w:pPr>
        <w:jc w:val="both"/>
        <w:ind w:firstLine="720"/>
        <w:spacing w:after="0" w:line="264" w:lineRule="auto"/>
        <w:rPr>
          <w:sz w:val="20"/>
          <w:szCs w:val="20"/>
          <w:color w:val="auto"/>
        </w:rPr>
      </w:pPr>
      <w:r>
        <w:rPr>
          <w:rFonts w:ascii="Calibri" w:cs="Calibri" w:eastAsia="Calibri" w:hAnsi="Calibri"/>
          <w:sz w:val="19"/>
          <w:szCs w:val="19"/>
          <w:color w:val="auto"/>
        </w:rPr>
        <w:t>On November 8, 2022, the Company entered into a Sales Agreement, as amended, with TD Cowen, pursuant to which (and subject to applicable law) the Company may issue and sell from time to time up to $92.5 million of its common stock, including the common stock already sold, through or to TD Cowen as the Company’s sales agent or principal under the Sales Agreement. As of December 31, 2025, the Company had approximately $64.9 million of its common stock remaining available for sales under the Sales Agreement.</w:t>
      </w:r>
    </w:p>
    <w:p>
      <w:pPr>
        <w:spacing w:after="0" w:line="197"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The following table summarizes information regarding settlements of shares under the Sales Agreement: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0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 except share and per share data)</w:t>
            </w:r>
          </w:p>
        </w:tc>
        <w:tc>
          <w:tcPr>
            <w:tcW w:w="5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ind w:left="980"/>
              <w:spacing w:after="0"/>
              <w:rPr>
                <w:sz w:val="20"/>
                <w:szCs w:val="20"/>
                <w:color w:val="auto"/>
              </w:rPr>
            </w:pPr>
            <w:r>
              <w:rPr>
                <w:rFonts w:ascii="Calibri" w:cs="Calibri" w:eastAsia="Calibri" w:hAnsi="Calibri"/>
                <w:sz w:val="16"/>
                <w:szCs w:val="16"/>
                <w:b w:val="1"/>
                <w:bCs w:val="1"/>
                <w:color w:val="auto"/>
              </w:rPr>
              <w:t>Year Ended December 31,</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400" w:type="dxa"/>
            <w:vAlign w:val="bottom"/>
            <w:tcBorders>
              <w:bottom w:val="single" w:sz="8" w:color="E5E5E5"/>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ind w:left="440"/>
              <w:spacing w:after="0" w:line="187" w:lineRule="exact"/>
              <w:rPr>
                <w:sz w:val="20"/>
                <w:szCs w:val="20"/>
                <w:color w:val="auto"/>
              </w:rPr>
            </w:pPr>
            <w:r>
              <w:rPr>
                <w:rFonts w:ascii="Calibri" w:cs="Calibri" w:eastAsia="Calibri" w:hAnsi="Calibri"/>
                <w:sz w:val="16"/>
                <w:szCs w:val="16"/>
                <w:b w:val="1"/>
                <w:bCs w:val="1"/>
                <w:color w:val="auto"/>
              </w:rPr>
              <w:t>2025</w:t>
            </w:r>
          </w:p>
        </w:tc>
        <w:tc>
          <w:tcPr>
            <w:tcW w:w="240" w:type="dxa"/>
            <w:vAlign w:val="bottom"/>
            <w:tcBorders>
              <w:bottom w:val="single" w:sz="8" w:color="E5E5E5"/>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83"/>
              <w:spacing w:after="0" w:line="187" w:lineRule="exact"/>
              <w:rPr>
                <w:sz w:val="20"/>
                <w:szCs w:val="20"/>
                <w:color w:val="auto"/>
              </w:rPr>
            </w:pPr>
            <w:r>
              <w:rPr>
                <w:rFonts w:ascii="Calibri" w:cs="Calibri" w:eastAsia="Calibri" w:hAnsi="Calibri"/>
                <w:sz w:val="16"/>
                <w:szCs w:val="16"/>
                <w:b w:val="1"/>
                <w:bCs w:val="1"/>
                <w:color w:val="auto"/>
              </w:rPr>
              <w:t>2024</w:t>
            </w:r>
          </w:p>
        </w:tc>
        <w:tc>
          <w:tcPr>
            <w:tcW w:w="0" w:type="dxa"/>
            <w:vAlign w:val="bottom"/>
          </w:tcPr>
          <w:p>
            <w:pPr>
              <w:spacing w:after="0"/>
              <w:rPr>
                <w:sz w:val="1"/>
                <w:szCs w:val="1"/>
                <w:color w:val="auto"/>
              </w:rPr>
            </w:pPr>
          </w:p>
        </w:tc>
      </w:tr>
      <w:tr>
        <w:trPr>
          <w:trHeight w:val="236"/>
        </w:trPr>
        <w:tc>
          <w:tcPr>
            <w:tcW w:w="6400" w:type="dxa"/>
            <w:vAlign w:val="bottom"/>
            <w:tcBorders>
              <w:right w:val="single" w:sz="8" w:color="E5E5E5"/>
            </w:tcBorders>
            <w:shd w:val="clear" w:color="auto" w:fill="E5E5E5"/>
          </w:tcPr>
          <w:p>
            <w:pPr>
              <w:spacing w:after="0" w:line="235" w:lineRule="exact"/>
              <w:rPr>
                <w:sz w:val="20"/>
                <w:szCs w:val="20"/>
                <w:color w:val="auto"/>
              </w:rPr>
            </w:pPr>
            <w:r>
              <w:rPr>
                <w:rFonts w:ascii="Calibri" w:cs="Calibri" w:eastAsia="Calibri" w:hAnsi="Calibri"/>
                <w:sz w:val="20"/>
                <w:szCs w:val="20"/>
                <w:color w:val="auto"/>
              </w:rPr>
              <w:t>Number of common stock shares sold during the period</w:t>
            </w:r>
          </w:p>
        </w:tc>
        <w:tc>
          <w:tcPr>
            <w:tcW w:w="520" w:type="dxa"/>
            <w:vAlign w:val="bottom"/>
            <w:shd w:val="clear" w:color="auto" w:fill="E5E5E5"/>
          </w:tcPr>
          <w:p>
            <w:pPr>
              <w:spacing w:after="0"/>
              <w:rPr>
                <w:sz w:val="20"/>
                <w:szCs w:val="20"/>
                <w:color w:val="auto"/>
              </w:rPr>
            </w:pPr>
          </w:p>
        </w:tc>
        <w:tc>
          <w:tcPr>
            <w:tcW w:w="1740" w:type="dxa"/>
            <w:vAlign w:val="bottom"/>
            <w:shd w:val="clear" w:color="auto" w:fill="E5E5E5"/>
          </w:tcPr>
          <w:p>
            <w:pPr>
              <w:ind w:left="1500"/>
              <w:spacing w:after="0" w:line="235" w:lineRule="exact"/>
              <w:rPr>
                <w:sz w:val="20"/>
                <w:szCs w:val="20"/>
                <w:color w:val="auto"/>
              </w:rPr>
            </w:pPr>
            <w:r>
              <w:rPr>
                <w:rFonts w:ascii="Calibri" w:cs="Calibri" w:eastAsia="Calibri" w:hAnsi="Calibri"/>
                <w:sz w:val="20"/>
                <w:szCs w:val="20"/>
                <w:color w:val="auto"/>
              </w:rPr>
              <w:t>—</w:t>
            </w:r>
          </w:p>
        </w:tc>
        <w:tc>
          <w:tcPr>
            <w:tcW w:w="240" w:type="dxa"/>
            <w:vAlign w:val="bottom"/>
            <w:tcBorders>
              <w:right w:val="single" w:sz="8" w:color="E5E5E5"/>
            </w:tcBorders>
            <w:shd w:val="clear" w:color="auto" w:fill="E5E5E5"/>
          </w:tcPr>
          <w:p>
            <w:pPr>
              <w:spacing w:after="0"/>
              <w:rPr>
                <w:sz w:val="20"/>
                <w:szCs w:val="20"/>
                <w:color w:val="auto"/>
              </w:rPr>
            </w:pPr>
          </w:p>
        </w:tc>
        <w:tc>
          <w:tcPr>
            <w:tcW w:w="840" w:type="dxa"/>
            <w:vAlign w:val="bottom"/>
            <w:shd w:val="clear" w:color="auto" w:fill="E5E5E5"/>
          </w:tcPr>
          <w:p>
            <w:pPr>
              <w:spacing w:after="0"/>
              <w:rPr>
                <w:sz w:val="20"/>
                <w:szCs w:val="20"/>
                <w:color w:val="auto"/>
              </w:rPr>
            </w:pPr>
          </w:p>
        </w:tc>
        <w:tc>
          <w:tcPr>
            <w:tcW w:w="142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650,005</w:t>
            </w:r>
          </w:p>
        </w:tc>
        <w:tc>
          <w:tcPr>
            <w:tcW w:w="0" w:type="dxa"/>
            <w:vAlign w:val="bottom"/>
          </w:tcPr>
          <w:p>
            <w:pPr>
              <w:spacing w:after="0"/>
              <w:rPr>
                <w:sz w:val="1"/>
                <w:szCs w:val="1"/>
                <w:color w:val="auto"/>
              </w:rPr>
            </w:pPr>
          </w:p>
        </w:tc>
      </w:tr>
      <w:tr>
        <w:trPr>
          <w:trHeight w:val="245"/>
        </w:trPr>
        <w:tc>
          <w:tcPr>
            <w:tcW w:w="6400" w:type="dxa"/>
            <w:vAlign w:val="bottom"/>
          </w:tcPr>
          <w:p>
            <w:pPr>
              <w:spacing w:after="0"/>
              <w:rPr>
                <w:sz w:val="20"/>
                <w:szCs w:val="20"/>
                <w:color w:val="auto"/>
              </w:rPr>
            </w:pPr>
            <w:r>
              <w:rPr>
                <w:rFonts w:ascii="Calibri" w:cs="Calibri" w:eastAsia="Calibri" w:hAnsi="Calibri"/>
                <w:sz w:val="20"/>
                <w:szCs w:val="20"/>
                <w:color w:val="auto"/>
              </w:rPr>
              <w:t>Weighted-average price per share</w:t>
            </w:r>
          </w:p>
        </w:tc>
        <w:tc>
          <w:tcPr>
            <w:tcW w:w="520" w:type="dxa"/>
            <w:vAlign w:val="bottom"/>
          </w:tcPr>
          <w:p>
            <w:pPr>
              <w:jc w:val="right"/>
              <w:ind w:right="320"/>
              <w:spacing w:after="0"/>
              <w:rPr>
                <w:sz w:val="20"/>
                <w:szCs w:val="20"/>
                <w:color w:val="auto"/>
              </w:rPr>
            </w:pPr>
            <w:r>
              <w:rPr>
                <w:rFonts w:ascii="Calibri" w:cs="Calibri" w:eastAsia="Calibri" w:hAnsi="Calibri"/>
                <w:sz w:val="20"/>
                <w:szCs w:val="20"/>
                <w:color w:val="auto"/>
                <w:w w:val="78"/>
              </w:rPr>
              <w:t>$</w:t>
            </w:r>
          </w:p>
        </w:tc>
        <w:tc>
          <w:tcPr>
            <w:tcW w:w="1740" w:type="dxa"/>
            <w:vAlign w:val="bottom"/>
          </w:tcPr>
          <w:p>
            <w:pPr>
              <w:ind w:left="1500"/>
              <w:spacing w:after="0"/>
              <w:rPr>
                <w:sz w:val="20"/>
                <w:szCs w:val="20"/>
                <w:color w:val="auto"/>
              </w:rPr>
            </w:pPr>
            <w:r>
              <w:rPr>
                <w:rFonts w:ascii="Calibri" w:cs="Calibri" w:eastAsia="Calibri" w:hAnsi="Calibri"/>
                <w:sz w:val="20"/>
                <w:szCs w:val="20"/>
                <w:color w:val="auto"/>
              </w:rPr>
              <w:t>—</w:t>
            </w:r>
          </w:p>
        </w:tc>
        <w:tc>
          <w:tcPr>
            <w:tcW w:w="1080" w:type="dxa"/>
            <w:vAlign w:val="bottom"/>
            <w:gridSpan w:val="2"/>
          </w:tcPr>
          <w:p>
            <w:pPr>
              <w:jc w:val="right"/>
              <w:ind w:right="640"/>
              <w:spacing w:after="0"/>
              <w:rPr>
                <w:sz w:val="20"/>
                <w:szCs w:val="20"/>
                <w:color w:val="auto"/>
              </w:rPr>
            </w:pPr>
            <w:r>
              <w:rPr>
                <w:rFonts w:ascii="Calibri" w:cs="Calibri" w:eastAsia="Calibri" w:hAnsi="Calibri"/>
                <w:sz w:val="20"/>
                <w:szCs w:val="20"/>
                <w:color w:val="auto"/>
              </w:rPr>
              <w:t>$</w:t>
            </w:r>
          </w:p>
        </w:tc>
        <w:tc>
          <w:tcPr>
            <w:tcW w:w="1420" w:type="dxa"/>
            <w:vAlign w:val="bottom"/>
          </w:tcPr>
          <w:p>
            <w:pPr>
              <w:jc w:val="right"/>
              <w:spacing w:after="0"/>
              <w:rPr>
                <w:sz w:val="20"/>
                <w:szCs w:val="20"/>
                <w:color w:val="auto"/>
              </w:rPr>
            </w:pPr>
            <w:r>
              <w:rPr>
                <w:rFonts w:ascii="Calibri" w:cs="Calibri" w:eastAsia="Calibri" w:hAnsi="Calibri"/>
                <w:sz w:val="20"/>
                <w:szCs w:val="20"/>
                <w:color w:val="auto"/>
              </w:rPr>
              <w:t>2.44</w:t>
            </w:r>
          </w:p>
        </w:tc>
        <w:tc>
          <w:tcPr>
            <w:tcW w:w="0" w:type="dxa"/>
            <w:vAlign w:val="bottom"/>
          </w:tcPr>
          <w:p>
            <w:pPr>
              <w:spacing w:after="0"/>
              <w:rPr>
                <w:sz w:val="1"/>
                <w:szCs w:val="1"/>
                <w:color w:val="auto"/>
              </w:rPr>
            </w:pPr>
          </w:p>
        </w:tc>
      </w:tr>
      <w:tr>
        <w:trPr>
          <w:trHeight w:val="29"/>
        </w:trPr>
        <w:tc>
          <w:tcPr>
            <w:tcW w:w="6400" w:type="dxa"/>
            <w:vAlign w:val="bottom"/>
            <w:tcBorders>
              <w:right w:val="single" w:sz="8" w:color="E5E5E5"/>
            </w:tcBorders>
            <w:shd w:val="clear" w:color="auto" w:fill="E5E5E5"/>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240" w:type="dxa"/>
            <w:vAlign w:val="bottom"/>
            <w:tcBorders>
              <w:right w:val="single" w:sz="8" w:color="E5E5E5"/>
            </w:tcBorders>
            <w:shd w:val="clear" w:color="auto" w:fill="E5E5E5"/>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6400" w:type="dxa"/>
            <w:vAlign w:val="bottom"/>
            <w:tcBorders>
              <w:right w:val="single" w:sz="8" w:color="E5E5E5"/>
            </w:tcBorders>
            <w:shd w:val="clear" w:color="auto" w:fill="E5E5E5"/>
          </w:tcPr>
          <w:p>
            <w:pPr>
              <w:spacing w:after="0"/>
              <w:rPr>
                <w:sz w:val="20"/>
                <w:szCs w:val="20"/>
                <w:color w:val="auto"/>
              </w:rPr>
            </w:pPr>
            <w:r>
              <w:rPr>
                <w:rFonts w:ascii="Calibri" w:cs="Calibri" w:eastAsia="Calibri" w:hAnsi="Calibri"/>
                <w:sz w:val="20"/>
                <w:szCs w:val="20"/>
                <w:color w:val="auto"/>
              </w:rPr>
              <w:t>Gross proceeds</w:t>
            </w:r>
          </w:p>
        </w:tc>
        <w:tc>
          <w:tcPr>
            <w:tcW w:w="520" w:type="dxa"/>
            <w:vAlign w:val="bottom"/>
            <w:shd w:val="clear" w:color="auto" w:fill="E5E5E5"/>
          </w:tcPr>
          <w:p>
            <w:pPr>
              <w:jc w:val="right"/>
              <w:ind w:right="320"/>
              <w:spacing w:after="0"/>
              <w:rPr>
                <w:sz w:val="20"/>
                <w:szCs w:val="20"/>
                <w:color w:val="auto"/>
              </w:rPr>
            </w:pPr>
            <w:r>
              <w:rPr>
                <w:rFonts w:ascii="Calibri" w:cs="Calibri" w:eastAsia="Calibri" w:hAnsi="Calibri"/>
                <w:sz w:val="20"/>
                <w:szCs w:val="20"/>
                <w:color w:val="auto"/>
                <w:w w:val="78"/>
              </w:rPr>
              <w:t>$</w:t>
            </w:r>
          </w:p>
        </w:tc>
        <w:tc>
          <w:tcPr>
            <w:tcW w:w="1740" w:type="dxa"/>
            <w:vAlign w:val="bottom"/>
            <w:shd w:val="clear" w:color="auto" w:fill="E5E5E5"/>
          </w:tcPr>
          <w:p>
            <w:pPr>
              <w:ind w:left="1500"/>
              <w:spacing w:after="0"/>
              <w:rPr>
                <w:sz w:val="20"/>
                <w:szCs w:val="20"/>
                <w:color w:val="auto"/>
              </w:rPr>
            </w:pPr>
            <w:r>
              <w:rPr>
                <w:rFonts w:ascii="Calibri" w:cs="Calibri" w:eastAsia="Calibri" w:hAnsi="Calibri"/>
                <w:sz w:val="20"/>
                <w:szCs w:val="20"/>
                <w:color w:val="auto"/>
              </w:rPr>
              <w:t>—</w:t>
            </w:r>
          </w:p>
        </w:tc>
        <w:tc>
          <w:tcPr>
            <w:tcW w:w="1080" w:type="dxa"/>
            <w:vAlign w:val="bottom"/>
            <w:gridSpan w:val="2"/>
            <w:shd w:val="clear" w:color="auto" w:fill="E5E5E5"/>
          </w:tcPr>
          <w:p>
            <w:pPr>
              <w:jc w:val="right"/>
              <w:ind w:right="640"/>
              <w:spacing w:after="0"/>
              <w:rPr>
                <w:sz w:val="20"/>
                <w:szCs w:val="20"/>
                <w:color w:val="auto"/>
              </w:rPr>
            </w:pPr>
            <w:r>
              <w:rPr>
                <w:rFonts w:ascii="Calibri" w:cs="Calibri" w:eastAsia="Calibri" w:hAnsi="Calibri"/>
                <w:sz w:val="20"/>
                <w:szCs w:val="20"/>
                <w:color w:val="auto"/>
              </w:rPr>
              <w:t>$</w:t>
            </w:r>
          </w:p>
        </w:tc>
        <w:tc>
          <w:tcPr>
            <w:tcW w:w="142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1,589</w:t>
            </w:r>
          </w:p>
        </w:tc>
        <w:tc>
          <w:tcPr>
            <w:tcW w:w="0" w:type="dxa"/>
            <w:vAlign w:val="bottom"/>
          </w:tcPr>
          <w:p>
            <w:pPr>
              <w:spacing w:after="0"/>
              <w:rPr>
                <w:sz w:val="1"/>
                <w:szCs w:val="1"/>
                <w:color w:val="auto"/>
              </w:rPr>
            </w:pPr>
          </w:p>
        </w:tc>
      </w:tr>
      <w:tr>
        <w:trPr>
          <w:trHeight w:val="269"/>
        </w:trPr>
        <w:tc>
          <w:tcPr>
            <w:tcW w:w="6400" w:type="dxa"/>
            <w:vAlign w:val="bottom"/>
            <w:tcBorders>
              <w:bottom w:val="single" w:sz="8" w:color="E5E5E5"/>
            </w:tcBorders>
          </w:tcPr>
          <w:p>
            <w:pPr>
              <w:spacing w:after="0"/>
              <w:rPr>
                <w:sz w:val="20"/>
                <w:szCs w:val="20"/>
                <w:color w:val="auto"/>
              </w:rPr>
            </w:pPr>
            <w:r>
              <w:rPr>
                <w:rFonts w:ascii="Calibri" w:cs="Calibri" w:eastAsia="Calibri" w:hAnsi="Calibri"/>
                <w:sz w:val="20"/>
                <w:szCs w:val="20"/>
                <w:color w:val="auto"/>
              </w:rPr>
              <w:t>Less commissions and fees</w:t>
            </w:r>
          </w:p>
        </w:tc>
        <w:tc>
          <w:tcPr>
            <w:tcW w:w="5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ind w:left="1500"/>
              <w:spacing w:after="0"/>
              <w:rPr>
                <w:sz w:val="20"/>
                <w:szCs w:val="20"/>
                <w:color w:val="auto"/>
              </w:rPr>
            </w:pPr>
            <w:r>
              <w:rPr>
                <w:rFonts w:ascii="Calibri" w:cs="Calibri" w:eastAsia="Calibri" w:hAnsi="Calibri"/>
                <w:sz w:val="20"/>
                <w:szCs w:val="20"/>
                <w:color w:val="auto"/>
              </w:rPr>
              <w:t>—</w:t>
            </w:r>
          </w:p>
        </w:tc>
        <w:tc>
          <w:tcPr>
            <w:tcW w:w="240" w:type="dxa"/>
            <w:vAlign w:val="bottom"/>
            <w:tcBorders>
              <w:bottom w:val="single" w:sz="8" w:color="E5E5E5"/>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(40)</w:t>
            </w:r>
          </w:p>
        </w:tc>
        <w:tc>
          <w:tcPr>
            <w:tcW w:w="0" w:type="dxa"/>
            <w:vAlign w:val="bottom"/>
          </w:tcPr>
          <w:p>
            <w:pPr>
              <w:spacing w:after="0"/>
              <w:rPr>
                <w:sz w:val="1"/>
                <w:szCs w:val="1"/>
                <w:color w:val="auto"/>
              </w:rPr>
            </w:pPr>
          </w:p>
        </w:tc>
      </w:tr>
      <w:tr>
        <w:trPr>
          <w:trHeight w:val="270"/>
        </w:trPr>
        <w:tc>
          <w:tcPr>
            <w:tcW w:w="6400" w:type="dxa"/>
            <w:vAlign w:val="bottom"/>
            <w:tcBorders>
              <w:right w:val="single" w:sz="8" w:color="E5E5E5"/>
            </w:tcBorders>
            <w:shd w:val="clear" w:color="auto" w:fill="E5E5E5"/>
          </w:tcPr>
          <w:p>
            <w:pPr>
              <w:spacing w:after="0"/>
              <w:rPr>
                <w:sz w:val="20"/>
                <w:szCs w:val="20"/>
                <w:color w:val="auto"/>
              </w:rPr>
            </w:pPr>
            <w:r>
              <w:rPr>
                <w:rFonts w:ascii="Calibri" w:cs="Calibri" w:eastAsia="Calibri" w:hAnsi="Calibri"/>
                <w:sz w:val="20"/>
                <w:szCs w:val="20"/>
                <w:color w:val="auto"/>
              </w:rPr>
              <w:t>Net proceeds after commissions and fees</w:t>
            </w:r>
          </w:p>
        </w:tc>
        <w:tc>
          <w:tcPr>
            <w:tcW w:w="520" w:type="dxa"/>
            <w:vAlign w:val="bottom"/>
            <w:tcBorders>
              <w:bottom w:val="single" w:sz="8" w:color="auto"/>
            </w:tcBorders>
            <w:shd w:val="clear" w:color="auto" w:fill="E5E5E5"/>
          </w:tcPr>
          <w:p>
            <w:pPr>
              <w:jc w:val="right"/>
              <w:ind w:right="320"/>
              <w:spacing w:after="0"/>
              <w:rPr>
                <w:sz w:val="20"/>
                <w:szCs w:val="20"/>
                <w:color w:val="auto"/>
              </w:rPr>
            </w:pPr>
            <w:r>
              <w:rPr>
                <w:rFonts w:ascii="Calibri" w:cs="Calibri" w:eastAsia="Calibri" w:hAnsi="Calibri"/>
                <w:sz w:val="20"/>
                <w:szCs w:val="20"/>
                <w:color w:val="auto"/>
                <w:w w:val="78"/>
              </w:rPr>
              <w:t>$</w:t>
            </w:r>
          </w:p>
        </w:tc>
        <w:tc>
          <w:tcPr>
            <w:tcW w:w="1740" w:type="dxa"/>
            <w:vAlign w:val="bottom"/>
            <w:tcBorders>
              <w:bottom w:val="single" w:sz="8" w:color="auto"/>
            </w:tcBorders>
            <w:shd w:val="clear" w:color="auto" w:fill="E5E5E5"/>
          </w:tcPr>
          <w:p>
            <w:pPr>
              <w:ind w:left="1500"/>
              <w:spacing w:after="0"/>
              <w:rPr>
                <w:sz w:val="20"/>
                <w:szCs w:val="20"/>
                <w:color w:val="auto"/>
              </w:rPr>
            </w:pPr>
            <w:r>
              <w:rPr>
                <w:rFonts w:ascii="Calibri" w:cs="Calibri" w:eastAsia="Calibri" w:hAnsi="Calibri"/>
                <w:sz w:val="20"/>
                <w:szCs w:val="20"/>
                <w:color w:val="auto"/>
              </w:rPr>
              <w:t>—</w:t>
            </w:r>
          </w:p>
        </w:tc>
        <w:tc>
          <w:tcPr>
            <w:tcW w:w="240" w:type="dxa"/>
            <w:vAlign w:val="bottom"/>
            <w:tcBorders>
              <w:right w:val="single" w:sz="8" w:color="E5E5E5"/>
            </w:tcBorders>
            <w:shd w:val="clear" w:color="auto" w:fill="E5E5E5"/>
          </w:tcPr>
          <w:p>
            <w:pPr>
              <w:spacing w:after="0"/>
              <w:rPr>
                <w:sz w:val="23"/>
                <w:szCs w:val="23"/>
                <w:color w:val="auto"/>
              </w:rPr>
            </w:pPr>
          </w:p>
        </w:tc>
        <w:tc>
          <w:tcPr>
            <w:tcW w:w="840" w:type="dxa"/>
            <w:vAlign w:val="bottom"/>
            <w:tcBorders>
              <w:bottom w:val="single" w:sz="8" w:color="auto"/>
            </w:tcBorders>
            <w:shd w:val="clear" w:color="auto" w:fill="E5E5E5"/>
          </w:tcPr>
          <w:p>
            <w:pPr>
              <w:jc w:val="right"/>
              <w:ind w:right="640"/>
              <w:spacing w:after="0"/>
              <w:rPr>
                <w:sz w:val="20"/>
                <w:szCs w:val="20"/>
                <w:color w:val="auto"/>
              </w:rPr>
            </w:pPr>
            <w:r>
              <w:rPr>
                <w:rFonts w:ascii="Calibri" w:cs="Calibri" w:eastAsia="Calibri" w:hAnsi="Calibri"/>
                <w:sz w:val="20"/>
                <w:szCs w:val="20"/>
                <w:color w:val="auto"/>
                <w:w w:val="78"/>
              </w:rPr>
              <w:t>$</w:t>
            </w:r>
          </w:p>
        </w:tc>
        <w:tc>
          <w:tcPr>
            <w:tcW w:w="142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1,549</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Private Placement</w:t>
      </w:r>
    </w:p>
    <w:p>
      <w:pPr>
        <w:spacing w:after="0" w:line="241"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On October 21, 2025, the Company sold to certain unaffiliated third-party investors (i) an aggregate of 4,634,995 shares of our common stock (the “PIPE Shares”) and (ii) the PIPE Warrants to purchase an aggregate of 463,498 shares of common stock, each for an exercise price of $0.01 per share, for an aggregate gross purchase price of $8.0 million (collectively, the “Private Placement”). The PIPE Warrants may be exercised at any time on or before October 21, 2030, and there have been no exercises as of December 31, 2025. The PIPE Warrants are subject to appropriate adjustment in the event of share dividends, stock splits, reorganizations or similar events affecting our common stock.</w:t>
      </w:r>
    </w:p>
    <w:p>
      <w:pPr>
        <w:sectPr>
          <w:pgSz w:w="12240" w:h="15840" w:orient="portrait"/>
          <w:cols w:equalWidth="0" w:num="1">
            <w:col w:w="11160"/>
          </w:cols>
          <w:pgMar w:left="540" w:top="533" w:right="54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106</w:t>
      </w:r>
    </w:p>
    <w:p>
      <w:pPr>
        <w:sectPr>
          <w:pgSz w:w="12240" w:h="15840" w:orient="portrait"/>
          <w:cols w:equalWidth="0" w:num="1">
            <w:col w:w="11160"/>
          </w:cols>
          <w:pgMar w:left="540" w:top="533" w:right="540" w:bottom="0" w:gutter="0" w:footer="0" w:header="0"/>
          <w:type w:val="continuous"/>
        </w:sectPr>
      </w:pPr>
    </w:p>
    <w:bookmarkStart w:id="108" w:name="page109"/>
    <w:bookmarkEnd w:id="108"/>
    <w:p>
      <w:pPr>
        <w:ind w:right="6220" w:firstLine="7"/>
        <w:spacing w:after="0" w:line="476" w:lineRule="auto"/>
        <w:tabs>
          <w:tab w:leader="none" w:pos="721" w:val="left"/>
        </w:tabs>
        <w:numPr>
          <w:ilvl w:val="0"/>
          <w:numId w:val="71"/>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Stock-Based Compensation and Employee Benefits Equity Incentive Plans</w:t>
      </w:r>
    </w:p>
    <w:p>
      <w:pPr>
        <w:spacing w:after="0" w:line="1" w:lineRule="exact"/>
        <w:rPr>
          <w:sz w:val="20"/>
          <w:szCs w:val="20"/>
          <w:color w:val="auto"/>
        </w:rPr>
      </w:pPr>
    </w:p>
    <w:p>
      <w:pPr>
        <w:jc w:val="both"/>
        <w:ind w:firstLine="720"/>
        <w:spacing w:after="0" w:line="241" w:lineRule="auto"/>
        <w:rPr>
          <w:sz w:val="20"/>
          <w:szCs w:val="20"/>
          <w:color w:val="auto"/>
        </w:rPr>
      </w:pPr>
      <w:r>
        <w:rPr>
          <w:rFonts w:ascii="Calibri" w:cs="Calibri" w:eastAsia="Calibri" w:hAnsi="Calibri"/>
          <w:sz w:val="20"/>
          <w:szCs w:val="20"/>
          <w:color w:val="auto"/>
        </w:rPr>
        <w:t>In October 2014, the Company’s board of directors and its stockholders adopted the 2014 Equity Incentive Award Plan (the “Original 2014 Plan”), which became effective upon the closing of the Company’s IPO on November 6, 2014. The Original 2014 Plan was subject to automatic annual increases in the number of shares available for issuance on the first business day of each fiscal year equal to four percent (4%) of the number of shares of the Company’s common stock outstanding as of such date or a lesser number of shares as determined by the Company’s board of directors with 2024 being the last calendar year with an automatic annual increase under the Original 2014 Plan. The Original 2014 Plan was amended and restated effective May 29, 2024 as the 2014 Plan with amendments that included an additional 7,000,000 shares reserved for issuance over the existing share reserve and certain other changes to the Original 2014 Plan. Additionally, the evergreen provision has been removed from the 2014 Plan such that any increase in the total number of shares of common stock that may be issued must be approved by stockholders. All shares remaining under the Company’s 2010 Equity Incentive Stock Plan (the “2010 Plan”) were transferred to the Original 2014 Plan upon adoption and any additional shares that would otherwise return to the 2010 Plan as a result of forfeiture, termination or expiration of the awards return to the 2014 Plan. The 2014 Plan enables the Company to grant shares and/or options to purchase shares of common stock to employees, directors, consultants and other service providers. While the 2014 Plan allows for non-qualified or incentive stock options, primarily all option grants made since June 2016 have been for non-qualified stock options. Under the 2010 Plan, no awards have been issued since 2014, and there were no shares of common stock available for future issuance as of December 31, 2025. There were 5,683,408 shares of common stock available for future issuance as of December 31, 2025 under the 2014 Plan.</w:t>
      </w:r>
    </w:p>
    <w:p>
      <w:pPr>
        <w:spacing w:after="0" w:line="224"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In June 2016, the Company adopted the 2016 Plan. The 2016 Plan was designed to comply with the inducement exemption contained in Nasdaq’s Rule 5635(c)(4), which provides for the grant of non-qualified stock options, restricted stock units, restricted stock awards, performance awards, dividend equivalents, deferred stock awards, deferred stock units, stock payment and stock appreciation rights to a person not previously an employee or director of the Company, or following a bona fide period of non-employment, as an inducement material to the individual’s entering into employment with the Company. In connection with the approval of the amendment and restatement of the Original 2014 Plan as the 2014 Plan in 2024, the Company agreed to not make any new awards under the 2016 Plan after May 29, 2024, such that all remaining shares under the 2016 Plan will remain unissued.</w:t>
      </w:r>
    </w:p>
    <w:p>
      <w:pPr>
        <w:spacing w:after="0" w:line="220"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Stock option exercises are settled with common stock from the plans’ previously authorized and available pool of shares. If any shares subject to an award granted under the 2014 Plan or 2016 Plan expire, are forfeited or canceled without the issuance of shares, the shares subject to such awards return to the 2014 Plan. In addition, shares withheld to pay for minimum statutory tax obligations with respect to full-value awards are added back to the 2014 Plan. The annual grant to eligible employees can vary depending on the type of award, and the award size is determined by the employee’s grade level.</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Stock Options</w:t>
      </w:r>
    </w:p>
    <w:p>
      <w:pPr>
        <w:spacing w:after="0" w:line="240"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Incentive stock options and non-statutory stock options may be granted with exercise prices of not less than the fair market value of the common stock on the date of grant. These stock options generally vest over four years, expire in ten years from the date of grant and are generally exercisable after vesting.</w:t>
      </w:r>
    </w:p>
    <w:p>
      <w:pPr>
        <w:spacing w:after="0" w:line="207"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In 2024, the Company granted a total of 2,622,500 PSOs to its Chief Executive Officer and certain other senior officers. The PSOs had a term of ten years and 1,982,500 PSOs included performance-based vesting conditions tied to commercial, clinical and strategic milestones (the “Performance Condition PSOs”) and 640,000 PSOs included performance-based vesting conditions tied to total shareholder return during specified periods (the “Market Condition PSOs”).</w:t>
      </w:r>
    </w:p>
    <w:p>
      <w:pPr>
        <w:spacing w:after="0" w:line="211"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The fair value of each Performance Condition PSO was estimated on the grant date, using the Black-Scholes model. Expense has been recognized only when the performance condition is considered probable of being achieved and is recognized over the period from the grant date through the time the milestone is expected to be achieved. The fair value of each Market Condition PSO was estimated on the grant date using a Monte Carlo simulation model and expense has been recognized over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107</w:t>
      </w:r>
    </w:p>
    <w:p>
      <w:pPr>
        <w:sectPr>
          <w:pgSz w:w="12240" w:h="15840" w:orient="portrait"/>
          <w:cols w:equalWidth="0" w:num="1">
            <w:col w:w="11160"/>
          </w:cols>
          <w:pgMar w:left="540" w:top="775" w:right="540" w:bottom="0" w:gutter="0" w:footer="0" w:header="0"/>
        </w:sectPr>
      </w:pPr>
    </w:p>
    <w:bookmarkStart w:id="109" w:name="page110"/>
    <w:bookmarkEnd w:id="109"/>
    <w:p>
      <w:pPr>
        <w:ind w:left="720"/>
        <w:spacing w:after="0"/>
        <w:rPr>
          <w:sz w:val="20"/>
          <w:szCs w:val="20"/>
          <w:color w:val="auto"/>
        </w:rPr>
      </w:pPr>
      <w:r>
        <w:rPr>
          <w:rFonts w:ascii="Calibri" w:cs="Calibri" w:eastAsia="Calibri" w:hAnsi="Calibri"/>
          <w:sz w:val="20"/>
          <w:szCs w:val="20"/>
          <w:color w:val="auto"/>
        </w:rPr>
        <w:t>The following table summarizes option activity from December 31, 2024 through December 31,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860"/>
              <w:spacing w:after="0"/>
              <w:rPr>
                <w:sz w:val="20"/>
                <w:szCs w:val="20"/>
                <w:color w:val="auto"/>
              </w:rPr>
            </w:pPr>
            <w:r>
              <w:rPr>
                <w:rFonts w:ascii="Calibri" w:cs="Calibri" w:eastAsia="Calibri" w:hAnsi="Calibri"/>
                <w:sz w:val="16"/>
                <w:szCs w:val="16"/>
                <w:b w:val="1"/>
                <w:bCs w:val="1"/>
                <w:color w:val="auto"/>
                <w:w w:val="95"/>
              </w:rPr>
              <w:t>Options</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72"/>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line="172" w:lineRule="exact"/>
              <w:rPr>
                <w:sz w:val="20"/>
                <w:szCs w:val="20"/>
                <w:color w:val="auto"/>
              </w:rPr>
            </w:pPr>
            <w:r>
              <w:rPr>
                <w:rFonts w:ascii="Calibri" w:cs="Calibri" w:eastAsia="Calibri" w:hAnsi="Calibri"/>
                <w:sz w:val="16"/>
                <w:szCs w:val="16"/>
                <w:b w:val="1"/>
                <w:bCs w:val="1"/>
                <w:color w:val="auto"/>
              </w:rPr>
              <w:t>Weighted-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7"/>
        </w:trPr>
        <w:tc>
          <w:tcPr>
            <w:tcW w:w="6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Calibri" w:cs="Calibri" w:eastAsia="Calibri" w:hAnsi="Calibri"/>
                <w:sz w:val="16"/>
                <w:szCs w:val="16"/>
                <w:b w:val="1"/>
                <w:bCs w:val="1"/>
                <w:color w:val="auto"/>
                <w:w w:val="98"/>
              </w:rPr>
              <w:t>Average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52"/>
              <w:spacing w:after="0"/>
              <w:rPr>
                <w:sz w:val="20"/>
                <w:szCs w:val="20"/>
                <w:color w:val="auto"/>
              </w:rPr>
            </w:pPr>
            <w:r>
              <w:rPr>
                <w:rFonts w:ascii="Calibri" w:cs="Calibri" w:eastAsia="Calibri" w:hAnsi="Calibri"/>
                <w:sz w:val="16"/>
                <w:szCs w:val="16"/>
                <w:b w:val="1"/>
                <w:bCs w:val="1"/>
                <w:color w:val="auto"/>
              </w:rPr>
              <w:t>Aggregate</w:t>
            </w:r>
          </w:p>
        </w:tc>
      </w:tr>
      <w:tr>
        <w:trPr>
          <w:trHeight w:val="197"/>
        </w:trPr>
        <w:tc>
          <w:tcPr>
            <w:tcW w:w="6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5"/>
              <w:spacing w:after="0"/>
              <w:rPr>
                <w:sz w:val="20"/>
                <w:szCs w:val="20"/>
                <w:color w:val="auto"/>
              </w:rPr>
            </w:pPr>
            <w:r>
              <w:rPr>
                <w:rFonts w:ascii="Calibri" w:cs="Calibri" w:eastAsia="Calibri" w:hAnsi="Calibri"/>
                <w:sz w:val="16"/>
                <w:szCs w:val="16"/>
                <w:b w:val="1"/>
                <w:bCs w:val="1"/>
                <w:color w:val="auto"/>
                <w:w w:val="97"/>
              </w:rPr>
              <w:t>Weighted-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Remaining</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72"/>
              <w:spacing w:after="0"/>
              <w:rPr>
                <w:sz w:val="20"/>
                <w:szCs w:val="20"/>
                <w:color w:val="auto"/>
              </w:rPr>
            </w:pPr>
            <w:r>
              <w:rPr>
                <w:rFonts w:ascii="Calibri" w:cs="Calibri" w:eastAsia="Calibri" w:hAnsi="Calibri"/>
                <w:sz w:val="16"/>
                <w:szCs w:val="16"/>
                <w:b w:val="1"/>
                <w:bCs w:val="1"/>
                <w:color w:val="auto"/>
              </w:rPr>
              <w:t>Intrinsic</w:t>
            </w:r>
          </w:p>
        </w:tc>
      </w:tr>
      <w:tr>
        <w:trPr>
          <w:trHeight w:val="196"/>
        </w:trPr>
        <w:tc>
          <w:tcPr>
            <w:tcW w:w="6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Calibri" w:cs="Calibri" w:eastAsia="Calibri" w:hAnsi="Calibri"/>
                <w:sz w:val="16"/>
                <w:szCs w:val="16"/>
                <w:b w:val="1"/>
                <w:bCs w:val="1"/>
                <w:color w:val="auto"/>
              </w:rPr>
              <w:t>Number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5"/>
              <w:spacing w:after="0"/>
              <w:rPr>
                <w:sz w:val="20"/>
                <w:szCs w:val="20"/>
                <w:color w:val="auto"/>
              </w:rPr>
            </w:pPr>
            <w:r>
              <w:rPr>
                <w:rFonts w:ascii="Calibri" w:cs="Calibri" w:eastAsia="Calibri" w:hAnsi="Calibri"/>
                <w:sz w:val="16"/>
                <w:szCs w:val="16"/>
                <w:b w:val="1"/>
                <w:bCs w:val="1"/>
                <w:color w:val="auto"/>
              </w:rPr>
              <w:t>Average</w:t>
            </w:r>
          </w:p>
        </w:tc>
        <w:tc>
          <w:tcPr>
            <w:tcW w:w="40" w:type="dxa"/>
            <w:vAlign w:val="bottom"/>
          </w:tcPr>
          <w:p>
            <w:pPr>
              <w:spacing w:after="0"/>
              <w:rPr>
                <w:sz w:val="17"/>
                <w:szCs w:val="17"/>
                <w:color w:val="auto"/>
              </w:rPr>
            </w:pPr>
          </w:p>
        </w:tc>
        <w:tc>
          <w:tcPr>
            <w:tcW w:w="1420" w:type="dxa"/>
            <w:vAlign w:val="bottom"/>
            <w:gridSpan w:val="2"/>
          </w:tcPr>
          <w:p>
            <w:pPr>
              <w:jc w:val="center"/>
              <w:ind w:left="120"/>
              <w:spacing w:after="0"/>
              <w:rPr>
                <w:sz w:val="20"/>
                <w:szCs w:val="20"/>
                <w:color w:val="auto"/>
              </w:rPr>
            </w:pPr>
            <w:r>
              <w:rPr>
                <w:rFonts w:ascii="Calibri" w:cs="Calibri" w:eastAsia="Calibri" w:hAnsi="Calibri"/>
                <w:sz w:val="16"/>
                <w:szCs w:val="16"/>
                <w:b w:val="1"/>
                <w:bCs w:val="1"/>
                <w:color w:val="auto"/>
                <w:w w:val="99"/>
              </w:rPr>
              <w:t>Contractual Terms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72"/>
              <w:spacing w:after="0"/>
              <w:rPr>
                <w:sz w:val="20"/>
                <w:szCs w:val="20"/>
                <w:color w:val="auto"/>
              </w:rPr>
            </w:pPr>
            <w:r>
              <w:rPr>
                <w:rFonts w:ascii="Calibri" w:cs="Calibri" w:eastAsia="Calibri" w:hAnsi="Calibri"/>
                <w:sz w:val="16"/>
                <w:szCs w:val="16"/>
                <w:b w:val="1"/>
                <w:bCs w:val="1"/>
                <w:color w:val="auto"/>
              </w:rPr>
              <w:t>Value</w:t>
            </w:r>
          </w:p>
        </w:tc>
      </w:tr>
      <w:tr>
        <w:trPr>
          <w:trHeight w:val="210"/>
        </w:trPr>
        <w:tc>
          <w:tcPr>
            <w:tcW w:w="6200" w:type="dxa"/>
            <w:vAlign w:val="bottom"/>
            <w:tcBorders>
              <w:bottom w:val="single" w:sz="8" w:color="E5E5E5"/>
            </w:tcBorders>
          </w:tcPr>
          <w:p>
            <w:pPr>
              <w:spacing w:after="0"/>
              <w:rPr>
                <w:sz w:val="18"/>
                <w:szCs w:val="18"/>
                <w:color w:val="auto"/>
              </w:rPr>
            </w:pPr>
          </w:p>
        </w:tc>
        <w:tc>
          <w:tcPr>
            <w:tcW w:w="20" w:type="dxa"/>
            <w:vAlign w:val="bottom"/>
            <w:tcBorders>
              <w:bottom w:val="single" w:sz="8" w:color="E5E5E5"/>
            </w:tcBorders>
          </w:tcPr>
          <w:p>
            <w:pPr>
              <w:spacing w:after="0"/>
              <w:rPr>
                <w:sz w:val="18"/>
                <w:szCs w:val="18"/>
                <w:color w:val="auto"/>
              </w:rPr>
            </w:pPr>
          </w:p>
        </w:tc>
        <w:tc>
          <w:tcPr>
            <w:tcW w:w="1000" w:type="dxa"/>
            <w:vAlign w:val="bottom"/>
            <w:tcBorders>
              <w:bottom w:val="single" w:sz="8" w:color="auto"/>
            </w:tcBorders>
          </w:tcPr>
          <w:p>
            <w:pPr>
              <w:jc w:val="right"/>
              <w:ind w:right="145"/>
              <w:spacing w:after="0"/>
              <w:rPr>
                <w:sz w:val="20"/>
                <w:szCs w:val="20"/>
                <w:color w:val="auto"/>
              </w:rPr>
            </w:pPr>
            <w:r>
              <w:rPr>
                <w:rFonts w:ascii="Calibri" w:cs="Calibri" w:eastAsia="Calibri" w:hAnsi="Calibri"/>
                <w:sz w:val="16"/>
                <w:szCs w:val="16"/>
                <w:b w:val="1"/>
                <w:bCs w:val="1"/>
                <w:color w:val="auto"/>
              </w:rPr>
              <w:t>Options</w:t>
            </w:r>
          </w:p>
        </w:tc>
        <w:tc>
          <w:tcPr>
            <w:tcW w:w="80" w:type="dxa"/>
            <w:vAlign w:val="bottom"/>
            <w:tcBorders>
              <w:bottom w:val="single" w:sz="8" w:color="E5E5E5"/>
            </w:tcBorders>
          </w:tcPr>
          <w:p>
            <w:pPr>
              <w:spacing w:after="0"/>
              <w:rPr>
                <w:sz w:val="18"/>
                <w:szCs w:val="18"/>
                <w:color w:val="auto"/>
              </w:rPr>
            </w:pPr>
          </w:p>
        </w:tc>
        <w:tc>
          <w:tcPr>
            <w:tcW w:w="80" w:type="dxa"/>
            <w:vAlign w:val="bottom"/>
            <w:tcBorders>
              <w:bottom w:val="single" w:sz="8" w:color="E5E5E5"/>
            </w:tcBorders>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Calibri" w:cs="Calibri" w:eastAsia="Calibri" w:hAnsi="Calibri"/>
                <w:sz w:val="16"/>
                <w:szCs w:val="16"/>
                <w:b w:val="1"/>
                <w:bCs w:val="1"/>
                <w:color w:val="auto"/>
              </w:rPr>
              <w:t>Exercise Price</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E5E5E5"/>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9"/>
              </w:rPr>
              <w:t>(Years)</w:t>
            </w:r>
          </w:p>
        </w:tc>
        <w:tc>
          <w:tcPr>
            <w:tcW w:w="200" w:type="dxa"/>
            <w:vAlign w:val="bottom"/>
            <w:tcBorders>
              <w:bottom w:val="single" w:sz="8" w:color="E5E5E5"/>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Calibri" w:cs="Calibri" w:eastAsia="Calibri" w:hAnsi="Calibri"/>
                <w:sz w:val="16"/>
                <w:szCs w:val="16"/>
                <w:b w:val="1"/>
                <w:bCs w:val="1"/>
                <w:color w:val="auto"/>
              </w:rPr>
              <w:t>(in thousands)</w:t>
            </w:r>
          </w:p>
        </w:tc>
      </w:tr>
      <w:tr>
        <w:trPr>
          <w:trHeight w:val="234"/>
        </w:trPr>
        <w:tc>
          <w:tcPr>
            <w:tcW w:w="6220" w:type="dxa"/>
            <w:vAlign w:val="bottom"/>
            <w:gridSpan w:val="2"/>
            <w:shd w:val="clear" w:color="auto" w:fill="E5E5E5"/>
          </w:tcPr>
          <w:p>
            <w:pPr>
              <w:spacing w:after="0" w:line="234" w:lineRule="exact"/>
              <w:rPr>
                <w:sz w:val="20"/>
                <w:szCs w:val="20"/>
                <w:color w:val="auto"/>
              </w:rPr>
            </w:pPr>
            <w:r>
              <w:rPr>
                <w:rFonts w:ascii="Calibri" w:cs="Calibri" w:eastAsia="Calibri" w:hAnsi="Calibri"/>
                <w:sz w:val="20"/>
                <w:szCs w:val="20"/>
                <w:color w:val="auto"/>
              </w:rPr>
              <w:t>Outstanding at December 31, 2024</w:t>
            </w:r>
          </w:p>
        </w:tc>
        <w:tc>
          <w:tcPr>
            <w:tcW w:w="100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28,705,110</w:t>
            </w:r>
          </w:p>
        </w:tc>
        <w:tc>
          <w:tcPr>
            <w:tcW w:w="80" w:type="dxa"/>
            <w:vAlign w:val="bottom"/>
            <w:shd w:val="clear" w:color="auto" w:fill="E5E5E5"/>
          </w:tcPr>
          <w:p>
            <w:pPr>
              <w:spacing w:after="0"/>
              <w:rPr>
                <w:sz w:val="20"/>
                <w:szCs w:val="20"/>
                <w:color w:val="auto"/>
              </w:rPr>
            </w:pPr>
          </w:p>
        </w:tc>
        <w:tc>
          <w:tcPr>
            <w:tcW w:w="220" w:type="dxa"/>
            <w:vAlign w:val="bottom"/>
            <w:gridSpan w:val="2"/>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w:t>
            </w:r>
          </w:p>
        </w:tc>
        <w:tc>
          <w:tcPr>
            <w:tcW w:w="90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10.10</w:t>
            </w:r>
          </w:p>
        </w:tc>
        <w:tc>
          <w:tcPr>
            <w:tcW w:w="4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122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940" w:type="dxa"/>
            <w:vAlign w:val="bottom"/>
            <w:shd w:val="clear" w:color="auto" w:fill="E5E5E5"/>
          </w:tcPr>
          <w:p>
            <w:pPr>
              <w:spacing w:after="0"/>
              <w:rPr>
                <w:sz w:val="20"/>
                <w:szCs w:val="20"/>
                <w:color w:val="auto"/>
              </w:rPr>
            </w:pPr>
          </w:p>
        </w:tc>
      </w:tr>
      <w:tr>
        <w:trPr>
          <w:trHeight w:val="246"/>
        </w:trPr>
        <w:tc>
          <w:tcPr>
            <w:tcW w:w="6220" w:type="dxa"/>
            <w:vAlign w:val="bottom"/>
            <w:gridSpan w:val="2"/>
          </w:tcPr>
          <w:p>
            <w:pPr>
              <w:ind w:left="120"/>
              <w:spacing w:after="0"/>
              <w:rPr>
                <w:sz w:val="20"/>
                <w:szCs w:val="20"/>
                <w:color w:val="auto"/>
              </w:rPr>
            </w:pPr>
            <w:r>
              <w:rPr>
                <w:rFonts w:ascii="Calibri" w:cs="Calibri" w:eastAsia="Calibri" w:hAnsi="Calibri"/>
                <w:sz w:val="20"/>
                <w:szCs w:val="20"/>
                <w:color w:val="auto"/>
              </w:rPr>
              <w:t>Granted - at fair value</w:t>
            </w:r>
          </w:p>
        </w:tc>
        <w:tc>
          <w:tcPr>
            <w:tcW w:w="1000" w:type="dxa"/>
            <w:vAlign w:val="bottom"/>
          </w:tcPr>
          <w:p>
            <w:pPr>
              <w:jc w:val="right"/>
              <w:spacing w:after="0"/>
              <w:rPr>
                <w:sz w:val="20"/>
                <w:szCs w:val="20"/>
                <w:color w:val="auto"/>
              </w:rPr>
            </w:pPr>
            <w:r>
              <w:rPr>
                <w:rFonts w:ascii="Calibri" w:cs="Calibri" w:eastAsia="Calibri" w:hAnsi="Calibri"/>
                <w:sz w:val="20"/>
                <w:szCs w:val="20"/>
                <w:color w:val="auto"/>
              </w:rPr>
              <w:t>6,257,000</w:t>
            </w:r>
          </w:p>
        </w:tc>
        <w:tc>
          <w:tcPr>
            <w:tcW w:w="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900" w:type="dxa"/>
            <w:vAlign w:val="bottom"/>
          </w:tcPr>
          <w:p>
            <w:pPr>
              <w:jc w:val="right"/>
              <w:spacing w:after="0"/>
              <w:rPr>
                <w:sz w:val="20"/>
                <w:szCs w:val="20"/>
                <w:color w:val="auto"/>
              </w:rPr>
            </w:pPr>
            <w:r>
              <w:rPr>
                <w:rFonts w:ascii="Calibri" w:cs="Calibri" w:eastAsia="Calibri" w:hAnsi="Calibri"/>
                <w:sz w:val="20"/>
                <w:szCs w:val="20"/>
                <w:color w:val="auto"/>
              </w:rPr>
              <w:t>1.23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5"/>
        </w:trPr>
        <w:tc>
          <w:tcPr>
            <w:tcW w:w="6220" w:type="dxa"/>
            <w:vAlign w:val="bottom"/>
            <w:gridSpan w:val="2"/>
            <w:shd w:val="clear" w:color="auto" w:fill="E5E5E5"/>
          </w:tcPr>
          <w:p>
            <w:pPr>
              <w:ind w:left="120"/>
              <w:spacing w:after="0"/>
              <w:rPr>
                <w:sz w:val="20"/>
                <w:szCs w:val="20"/>
                <w:color w:val="auto"/>
              </w:rPr>
            </w:pPr>
            <w:r>
              <w:rPr>
                <w:rFonts w:ascii="Calibri" w:cs="Calibri" w:eastAsia="Calibri" w:hAnsi="Calibri"/>
                <w:sz w:val="20"/>
                <w:szCs w:val="20"/>
                <w:color w:val="auto"/>
              </w:rPr>
              <w:t>Exercised</w:t>
            </w:r>
          </w:p>
        </w:tc>
        <w:tc>
          <w:tcPr>
            <w:tcW w:w="1080" w:type="dxa"/>
            <w:vAlign w:val="bottom"/>
            <w:gridSpan w:val="2"/>
            <w:shd w:val="clear" w:color="auto" w:fill="E5E5E5"/>
          </w:tcPr>
          <w:p>
            <w:pPr>
              <w:jc w:val="right"/>
              <w:ind w:right="60"/>
              <w:spacing w:after="0"/>
              <w:rPr>
                <w:sz w:val="20"/>
                <w:szCs w:val="20"/>
                <w:color w:val="auto"/>
              </w:rPr>
            </w:pPr>
            <w:r>
              <w:rPr>
                <w:rFonts w:ascii="Calibri" w:cs="Calibri" w:eastAsia="Calibri" w:hAnsi="Calibri"/>
                <w:sz w:val="20"/>
                <w:szCs w:val="20"/>
                <w:color w:val="auto"/>
              </w:rPr>
              <w:t>(35,500)</w:t>
            </w:r>
          </w:p>
        </w:tc>
        <w:tc>
          <w:tcPr>
            <w:tcW w:w="220" w:type="dxa"/>
            <w:vAlign w:val="bottom"/>
            <w:gridSpan w:val="2"/>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9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0.77</w:t>
            </w:r>
          </w:p>
        </w:tc>
        <w:tc>
          <w:tcPr>
            <w:tcW w:w="4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122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940" w:type="dxa"/>
            <w:vAlign w:val="bottom"/>
            <w:shd w:val="clear" w:color="auto" w:fill="E5E5E5"/>
          </w:tcPr>
          <w:p>
            <w:pPr>
              <w:spacing w:after="0"/>
              <w:rPr>
                <w:sz w:val="21"/>
                <w:szCs w:val="21"/>
                <w:color w:val="auto"/>
              </w:rPr>
            </w:pPr>
          </w:p>
        </w:tc>
      </w:tr>
      <w:tr>
        <w:trPr>
          <w:trHeight w:val="245"/>
        </w:trPr>
        <w:tc>
          <w:tcPr>
            <w:tcW w:w="6220" w:type="dxa"/>
            <w:vAlign w:val="bottom"/>
            <w:gridSpan w:val="2"/>
          </w:tcPr>
          <w:p>
            <w:pPr>
              <w:ind w:left="120"/>
              <w:spacing w:after="0"/>
              <w:rPr>
                <w:sz w:val="20"/>
                <w:szCs w:val="20"/>
                <w:color w:val="auto"/>
              </w:rPr>
            </w:pPr>
            <w:r>
              <w:rPr>
                <w:rFonts w:ascii="Calibri" w:cs="Calibri" w:eastAsia="Calibri" w:hAnsi="Calibri"/>
                <w:sz w:val="20"/>
                <w:szCs w:val="20"/>
                <w:color w:val="auto"/>
              </w:rPr>
              <w:t>Forfeited/Canceled</w:t>
            </w:r>
          </w:p>
        </w:tc>
        <w:tc>
          <w:tcPr>
            <w:tcW w:w="1080" w:type="dxa"/>
            <w:vAlign w:val="bottom"/>
            <w:gridSpan w:val="2"/>
          </w:tcPr>
          <w:p>
            <w:pPr>
              <w:jc w:val="right"/>
              <w:ind w:right="60"/>
              <w:spacing w:after="0"/>
              <w:rPr>
                <w:sz w:val="20"/>
                <w:szCs w:val="20"/>
                <w:color w:val="auto"/>
              </w:rPr>
            </w:pPr>
            <w:r>
              <w:rPr>
                <w:rFonts w:ascii="Calibri" w:cs="Calibri" w:eastAsia="Calibri" w:hAnsi="Calibri"/>
                <w:sz w:val="20"/>
                <w:szCs w:val="20"/>
                <w:color w:val="auto"/>
              </w:rPr>
              <w:t>(5,677,197)</w:t>
            </w:r>
          </w:p>
        </w:tc>
        <w:tc>
          <w:tcPr>
            <w:tcW w:w="22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900" w:type="dxa"/>
            <w:vAlign w:val="bottom"/>
          </w:tcPr>
          <w:p>
            <w:pPr>
              <w:jc w:val="right"/>
              <w:spacing w:after="0"/>
              <w:rPr>
                <w:sz w:val="20"/>
                <w:szCs w:val="20"/>
                <w:color w:val="auto"/>
              </w:rPr>
            </w:pPr>
            <w:r>
              <w:rPr>
                <w:rFonts w:ascii="Calibri" w:cs="Calibri" w:eastAsia="Calibri" w:hAnsi="Calibri"/>
                <w:sz w:val="20"/>
                <w:szCs w:val="20"/>
                <w:color w:val="auto"/>
              </w:rPr>
              <w:t>13.33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4"/>
        </w:trPr>
        <w:tc>
          <w:tcPr>
            <w:tcW w:w="6220" w:type="dxa"/>
            <w:vAlign w:val="bottom"/>
            <w:tcBorders>
              <w:top w:val="single" w:sz="8" w:color="E5E5E5"/>
            </w:tcBorders>
            <w:gridSpan w:val="2"/>
            <w:shd w:val="clear" w:color="auto" w:fill="E5E5E5"/>
          </w:tcPr>
          <w:p>
            <w:pPr>
              <w:spacing w:after="0" w:line="235" w:lineRule="exact"/>
              <w:rPr>
                <w:sz w:val="20"/>
                <w:szCs w:val="20"/>
                <w:color w:val="auto"/>
              </w:rPr>
            </w:pPr>
            <w:r>
              <w:rPr>
                <w:rFonts w:ascii="Calibri" w:cs="Calibri" w:eastAsia="Calibri" w:hAnsi="Calibri"/>
                <w:sz w:val="20"/>
                <w:szCs w:val="20"/>
                <w:color w:val="auto"/>
              </w:rPr>
              <w:t>Outstanding at December 31, 2025</w:t>
            </w:r>
          </w:p>
        </w:tc>
        <w:tc>
          <w:tcPr>
            <w:tcW w:w="1000" w:type="dxa"/>
            <w:vAlign w:val="bottom"/>
            <w:tcBorders>
              <w:top w:val="single" w:sz="8" w:color="auto"/>
              <w:bottom w:val="single" w:sz="8" w:color="auto"/>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29,249,413</w:t>
            </w:r>
          </w:p>
        </w:tc>
        <w:tc>
          <w:tcPr>
            <w:tcW w:w="80" w:type="dxa"/>
            <w:vAlign w:val="bottom"/>
            <w:tcBorders>
              <w:top w:val="single" w:sz="8" w:color="E5E5E5"/>
            </w:tcBorders>
            <w:shd w:val="clear" w:color="auto" w:fill="E5E5E5"/>
          </w:tcPr>
          <w:p>
            <w:pPr>
              <w:spacing w:after="0"/>
              <w:rPr>
                <w:sz w:val="21"/>
                <w:szCs w:val="21"/>
                <w:color w:val="auto"/>
              </w:rPr>
            </w:pPr>
          </w:p>
        </w:tc>
        <w:tc>
          <w:tcPr>
            <w:tcW w:w="220" w:type="dxa"/>
            <w:vAlign w:val="bottom"/>
            <w:tcBorders>
              <w:top w:val="single" w:sz="8" w:color="E5E5E5"/>
            </w:tcBorders>
            <w:gridSpan w:val="2"/>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w:t>
            </w:r>
          </w:p>
        </w:tc>
        <w:tc>
          <w:tcPr>
            <w:tcW w:w="900" w:type="dxa"/>
            <w:vAlign w:val="bottom"/>
            <w:tcBorders>
              <w:top w:val="single" w:sz="8" w:color="E5E5E5"/>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7.59</w:t>
            </w:r>
          </w:p>
        </w:tc>
        <w:tc>
          <w:tcPr>
            <w:tcW w:w="1460" w:type="dxa"/>
            <w:vAlign w:val="bottom"/>
            <w:tcBorders>
              <w:top w:val="single" w:sz="8" w:color="E5E5E5"/>
            </w:tcBorders>
            <w:gridSpan w:val="3"/>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5.7</w:t>
            </w:r>
          </w:p>
        </w:tc>
        <w:tc>
          <w:tcPr>
            <w:tcW w:w="340" w:type="dxa"/>
            <w:vAlign w:val="bottom"/>
            <w:tcBorders>
              <w:top w:val="single" w:sz="8" w:color="E5E5E5"/>
            </w:tcBorders>
            <w:gridSpan w:val="2"/>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w:t>
            </w:r>
          </w:p>
        </w:tc>
        <w:tc>
          <w:tcPr>
            <w:tcW w:w="940" w:type="dxa"/>
            <w:vAlign w:val="bottom"/>
            <w:tcBorders>
              <w:top w:val="single" w:sz="8" w:color="E5E5E5"/>
            </w:tcBorders>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2,330</w:t>
            </w:r>
          </w:p>
        </w:tc>
      </w:tr>
      <w:tr>
        <w:trPr>
          <w:trHeight w:val="256"/>
        </w:trPr>
        <w:tc>
          <w:tcPr>
            <w:tcW w:w="6200" w:type="dxa"/>
            <w:vAlign w:val="bottom"/>
          </w:tcPr>
          <w:p>
            <w:pPr>
              <w:spacing w:after="0"/>
              <w:rPr>
                <w:sz w:val="20"/>
                <w:szCs w:val="20"/>
                <w:color w:val="auto"/>
              </w:rPr>
            </w:pPr>
            <w:r>
              <w:rPr>
                <w:rFonts w:ascii="Calibri" w:cs="Calibri" w:eastAsia="Calibri" w:hAnsi="Calibri"/>
                <w:sz w:val="20"/>
                <w:szCs w:val="20"/>
                <w:color w:val="auto"/>
              </w:rPr>
              <w:t>Exercisable at December 31, 2025</w:t>
            </w: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18,237,402</w:t>
            </w:r>
          </w:p>
        </w:tc>
        <w:tc>
          <w:tcPr>
            <w:tcW w:w="8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900" w:type="dxa"/>
            <w:vAlign w:val="bottom"/>
          </w:tcPr>
          <w:p>
            <w:pPr>
              <w:jc w:val="right"/>
              <w:spacing w:after="0"/>
              <w:rPr>
                <w:sz w:val="20"/>
                <w:szCs w:val="20"/>
                <w:color w:val="auto"/>
              </w:rPr>
            </w:pPr>
            <w:r>
              <w:rPr>
                <w:rFonts w:ascii="Calibri" w:cs="Calibri" w:eastAsia="Calibri" w:hAnsi="Calibri"/>
                <w:sz w:val="20"/>
                <w:szCs w:val="20"/>
                <w:color w:val="auto"/>
              </w:rPr>
              <w:t>10.91</w:t>
            </w:r>
          </w:p>
        </w:tc>
        <w:tc>
          <w:tcPr>
            <w:tcW w:w="1460" w:type="dxa"/>
            <w:vAlign w:val="bottom"/>
            <w:gridSpan w:val="3"/>
          </w:tcPr>
          <w:p>
            <w:pPr>
              <w:jc w:val="right"/>
              <w:spacing w:after="0"/>
              <w:rPr>
                <w:sz w:val="20"/>
                <w:szCs w:val="20"/>
                <w:color w:val="auto"/>
              </w:rPr>
            </w:pPr>
            <w:r>
              <w:rPr>
                <w:rFonts w:ascii="Calibri" w:cs="Calibri" w:eastAsia="Calibri" w:hAnsi="Calibri"/>
                <w:sz w:val="20"/>
                <w:szCs w:val="20"/>
                <w:color w:val="auto"/>
              </w:rPr>
              <w:t>4.3</w:t>
            </w:r>
          </w:p>
        </w:tc>
        <w:tc>
          <w:tcPr>
            <w:tcW w:w="34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940" w:type="dxa"/>
            <w:vAlign w:val="bottom"/>
          </w:tcPr>
          <w:p>
            <w:pPr>
              <w:jc w:val="right"/>
              <w:spacing w:after="0"/>
              <w:rPr>
                <w:sz w:val="20"/>
                <w:szCs w:val="20"/>
                <w:color w:val="auto"/>
              </w:rPr>
            </w:pPr>
            <w:r>
              <w:rPr>
                <w:rFonts w:ascii="Calibri" w:cs="Calibri" w:eastAsia="Calibri" w:hAnsi="Calibri"/>
                <w:sz w:val="20"/>
                <w:szCs w:val="20"/>
                <w:color w:val="auto"/>
              </w:rPr>
              <w:t>435</w:t>
            </w:r>
          </w:p>
        </w:tc>
      </w:tr>
    </w:tbl>
    <w:p>
      <w:pPr>
        <w:spacing w:after="0" w:line="230"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Aggregate intrinsic value represents the value of the Company’s closing stock price on the last trading day of the year in excess of the exercise price multiplied by the number of options outstanding or exercisable.</w:t>
      </w:r>
    </w:p>
    <w:p>
      <w:pPr>
        <w:spacing w:after="0" w:line="197"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A summary of the options outstanding and exercisable as of December 31, 2025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b w:val="1"/>
                <w:bCs w:val="1"/>
                <w:color w:val="auto"/>
              </w:rPr>
              <w:t>Options Outstanding</w:t>
            </w: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907"/>
              <w:spacing w:after="0"/>
              <w:rPr>
                <w:sz w:val="20"/>
                <w:szCs w:val="20"/>
                <w:color w:val="auto"/>
              </w:rPr>
            </w:pPr>
            <w:r>
              <w:rPr>
                <w:rFonts w:ascii="Calibri" w:cs="Calibri" w:eastAsia="Calibri" w:hAnsi="Calibri"/>
                <w:sz w:val="16"/>
                <w:szCs w:val="16"/>
                <w:b w:val="1"/>
                <w:bCs w:val="1"/>
                <w:color w:val="auto"/>
              </w:rPr>
              <w:t>Options Exercisable</w:t>
            </w: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jc w:val="center"/>
              <w:spacing w:after="0" w:line="172" w:lineRule="exact"/>
              <w:rPr>
                <w:sz w:val="20"/>
                <w:szCs w:val="20"/>
                <w:color w:val="auto"/>
              </w:rPr>
            </w:pPr>
            <w:r>
              <w:rPr>
                <w:rFonts w:ascii="Calibri" w:cs="Calibri" w:eastAsia="Calibri" w:hAnsi="Calibri"/>
                <w:sz w:val="16"/>
                <w:szCs w:val="16"/>
                <w:b w:val="1"/>
                <w:bCs w:val="1"/>
                <w:color w:val="auto"/>
              </w:rPr>
              <w:t>Weighted-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Calibri" w:cs="Calibri" w:eastAsia="Calibri" w:hAnsi="Calibri"/>
                <w:sz w:val="16"/>
                <w:szCs w:val="16"/>
                <w:b w:val="1"/>
                <w:bCs w:val="1"/>
                <w:color w:val="auto"/>
                <w:w w:val="98"/>
              </w:rPr>
              <w:t>Average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27"/>
              <w:spacing w:after="0"/>
              <w:rPr>
                <w:sz w:val="20"/>
                <w:szCs w:val="20"/>
                <w:color w:val="auto"/>
              </w:rPr>
            </w:pPr>
            <w:r>
              <w:rPr>
                <w:rFonts w:ascii="Calibri" w:cs="Calibri" w:eastAsia="Calibri" w:hAnsi="Calibri"/>
                <w:sz w:val="16"/>
                <w:szCs w:val="16"/>
                <w:b w:val="1"/>
                <w:bCs w:val="1"/>
                <w:color w:val="auto"/>
              </w:rPr>
              <w:t>Weighted-</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67"/>
              <w:spacing w:after="0"/>
              <w:rPr>
                <w:sz w:val="20"/>
                <w:szCs w:val="20"/>
                <w:color w:val="auto"/>
              </w:rPr>
            </w:pPr>
            <w:r>
              <w:rPr>
                <w:rFonts w:ascii="Calibri" w:cs="Calibri" w:eastAsia="Calibri" w:hAnsi="Calibri"/>
                <w:sz w:val="16"/>
                <w:szCs w:val="16"/>
                <w:b w:val="1"/>
                <w:bCs w:val="1"/>
                <w:color w:val="auto"/>
              </w:rPr>
              <w:t>Weighted-</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Remaining</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07"/>
              <w:spacing w:after="0"/>
              <w:rPr>
                <w:sz w:val="20"/>
                <w:szCs w:val="20"/>
                <w:color w:val="auto"/>
              </w:rPr>
            </w:pPr>
            <w:r>
              <w:rPr>
                <w:rFonts w:ascii="Calibri" w:cs="Calibri" w:eastAsia="Calibri" w:hAnsi="Calibri"/>
                <w:sz w:val="16"/>
                <w:szCs w:val="16"/>
                <w:b w:val="1"/>
                <w:bCs w:val="1"/>
                <w:color w:val="auto"/>
              </w:rPr>
              <w:t>Average</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67"/>
              <w:spacing w:after="0"/>
              <w:rPr>
                <w:sz w:val="20"/>
                <w:szCs w:val="20"/>
                <w:color w:val="auto"/>
              </w:rPr>
            </w:pPr>
            <w:r>
              <w:rPr>
                <w:rFonts w:ascii="Calibri" w:cs="Calibri" w:eastAsia="Calibri" w:hAnsi="Calibri"/>
                <w:sz w:val="16"/>
                <w:szCs w:val="16"/>
                <w:b w:val="1"/>
                <w:bCs w:val="1"/>
                <w:color w:val="auto"/>
                <w:w w:val="98"/>
              </w:rPr>
              <w:t>Average</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ind w:right="264"/>
              <w:spacing w:after="0"/>
              <w:rPr>
                <w:sz w:val="20"/>
                <w:szCs w:val="20"/>
                <w:color w:val="auto"/>
              </w:rPr>
            </w:pPr>
            <w:r>
              <w:rPr>
                <w:rFonts w:ascii="Calibri" w:cs="Calibri" w:eastAsia="Calibri" w:hAnsi="Calibri"/>
                <w:sz w:val="16"/>
                <w:szCs w:val="16"/>
                <w:b w:val="1"/>
                <w:bCs w:val="1"/>
                <w:color w:val="auto"/>
              </w:rPr>
              <w:t>Number</w:t>
            </w:r>
          </w:p>
        </w:tc>
        <w:tc>
          <w:tcPr>
            <w:tcW w:w="3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Calibri" w:cs="Calibri" w:eastAsia="Calibri" w:hAnsi="Calibri"/>
                <w:sz w:val="16"/>
                <w:szCs w:val="16"/>
                <w:b w:val="1"/>
                <w:bCs w:val="1"/>
                <w:color w:val="auto"/>
                <w:w w:val="99"/>
              </w:rPr>
              <w:t>Contractual Terms</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27"/>
              <w:spacing w:after="0"/>
              <w:rPr>
                <w:sz w:val="20"/>
                <w:szCs w:val="20"/>
                <w:color w:val="auto"/>
              </w:rPr>
            </w:pPr>
            <w:r>
              <w:rPr>
                <w:rFonts w:ascii="Calibri" w:cs="Calibri" w:eastAsia="Calibri" w:hAnsi="Calibri"/>
                <w:sz w:val="16"/>
                <w:szCs w:val="16"/>
                <w:b w:val="1"/>
                <w:bCs w:val="1"/>
                <w:color w:val="auto"/>
              </w:rPr>
              <w:t>Exercise</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87"/>
              <w:spacing w:after="0"/>
              <w:rPr>
                <w:sz w:val="20"/>
                <w:szCs w:val="20"/>
                <w:color w:val="auto"/>
              </w:rPr>
            </w:pPr>
            <w:r>
              <w:rPr>
                <w:rFonts w:ascii="Calibri" w:cs="Calibri" w:eastAsia="Calibri" w:hAnsi="Calibri"/>
                <w:sz w:val="16"/>
                <w:szCs w:val="16"/>
                <w:b w:val="1"/>
                <w:bCs w:val="1"/>
                <w:color w:val="auto"/>
              </w:rPr>
              <w:t>Number</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167"/>
              <w:spacing w:after="0"/>
              <w:rPr>
                <w:sz w:val="20"/>
                <w:szCs w:val="20"/>
                <w:color w:val="auto"/>
              </w:rPr>
            </w:pPr>
            <w:r>
              <w:rPr>
                <w:rFonts w:ascii="Calibri" w:cs="Calibri" w:eastAsia="Calibri" w:hAnsi="Calibri"/>
                <w:sz w:val="16"/>
                <w:szCs w:val="16"/>
                <w:b w:val="1"/>
                <w:bCs w:val="1"/>
                <w:color w:val="auto"/>
              </w:rPr>
              <w:t>Exercise</w:t>
            </w:r>
          </w:p>
        </w:tc>
        <w:tc>
          <w:tcPr>
            <w:tcW w:w="0" w:type="dxa"/>
            <w:vAlign w:val="bottom"/>
          </w:tcPr>
          <w:p>
            <w:pPr>
              <w:spacing w:after="0"/>
              <w:rPr>
                <w:sz w:val="1"/>
                <w:szCs w:val="1"/>
                <w:color w:val="auto"/>
              </w:rPr>
            </w:pPr>
          </w:p>
        </w:tc>
      </w:tr>
      <w:tr>
        <w:trPr>
          <w:trHeight w:val="209"/>
        </w:trPr>
        <w:tc>
          <w:tcPr>
            <w:tcW w:w="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center"/>
              <w:ind w:right="160"/>
              <w:spacing w:after="0"/>
              <w:rPr>
                <w:sz w:val="20"/>
                <w:szCs w:val="20"/>
                <w:color w:val="auto"/>
              </w:rPr>
            </w:pPr>
            <w:r>
              <w:rPr>
                <w:rFonts w:ascii="Calibri" w:cs="Calibri" w:eastAsia="Calibri" w:hAnsi="Calibri"/>
                <w:sz w:val="16"/>
                <w:szCs w:val="16"/>
                <w:b w:val="1"/>
                <w:bCs w:val="1"/>
                <w:color w:val="auto"/>
                <w:w w:val="99"/>
              </w:rPr>
              <w:t>Range of Exercise Prices</w:t>
            </w:r>
          </w:p>
        </w:tc>
        <w:tc>
          <w:tcPr>
            <w:tcW w:w="320" w:type="dxa"/>
            <w:vAlign w:val="bottom"/>
            <w:tcBorders>
              <w:bottom w:val="single" w:sz="8" w:color="E5E5E5"/>
            </w:tcBorders>
            <w:gridSpan w:val="2"/>
          </w:tcPr>
          <w:p>
            <w:pPr>
              <w:spacing w:after="0"/>
              <w:rPr>
                <w:sz w:val="18"/>
                <w:szCs w:val="18"/>
                <w:color w:val="auto"/>
              </w:rPr>
            </w:pPr>
          </w:p>
        </w:tc>
        <w:tc>
          <w:tcPr>
            <w:tcW w:w="1260" w:type="dxa"/>
            <w:vAlign w:val="bottom"/>
            <w:tcBorders>
              <w:bottom w:val="single" w:sz="8" w:color="auto"/>
            </w:tcBorders>
          </w:tcPr>
          <w:p>
            <w:pPr>
              <w:jc w:val="right"/>
              <w:ind w:right="124"/>
              <w:spacing w:after="0"/>
              <w:rPr>
                <w:sz w:val="20"/>
                <w:szCs w:val="20"/>
                <w:color w:val="auto"/>
              </w:rPr>
            </w:pPr>
            <w:r>
              <w:rPr>
                <w:rFonts w:ascii="Calibri" w:cs="Calibri" w:eastAsia="Calibri" w:hAnsi="Calibri"/>
                <w:sz w:val="16"/>
                <w:szCs w:val="16"/>
                <w:b w:val="1"/>
                <w:bCs w:val="1"/>
                <w:color w:val="auto"/>
              </w:rPr>
              <w:t>Outstanding</w:t>
            </w:r>
          </w:p>
        </w:tc>
        <w:tc>
          <w:tcPr>
            <w:tcW w:w="320" w:type="dxa"/>
            <w:vAlign w:val="bottom"/>
            <w:tcBorders>
              <w:bottom w:val="single" w:sz="8" w:color="E5E5E5"/>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Calibri" w:cs="Calibri" w:eastAsia="Calibri" w:hAnsi="Calibri"/>
                <w:sz w:val="16"/>
                <w:szCs w:val="16"/>
                <w:b w:val="1"/>
                <w:bCs w:val="1"/>
                <w:color w:val="auto"/>
                <w:w w:val="99"/>
              </w:rPr>
              <w:t>(Years)</w:t>
            </w:r>
          </w:p>
        </w:tc>
        <w:tc>
          <w:tcPr>
            <w:tcW w:w="320" w:type="dxa"/>
            <w:vAlign w:val="bottom"/>
            <w:tcBorders>
              <w:bottom w:val="single" w:sz="8" w:color="E5E5E5"/>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07"/>
              <w:spacing w:after="0"/>
              <w:rPr>
                <w:sz w:val="20"/>
                <w:szCs w:val="20"/>
                <w:color w:val="auto"/>
              </w:rPr>
            </w:pPr>
            <w:r>
              <w:rPr>
                <w:rFonts w:ascii="Calibri" w:cs="Calibri" w:eastAsia="Calibri" w:hAnsi="Calibri"/>
                <w:sz w:val="16"/>
                <w:szCs w:val="16"/>
                <w:b w:val="1"/>
                <w:bCs w:val="1"/>
                <w:color w:val="auto"/>
                <w:w w:val="97"/>
              </w:rPr>
              <w:t>Price</w:t>
            </w:r>
          </w:p>
        </w:tc>
        <w:tc>
          <w:tcPr>
            <w:tcW w:w="300" w:type="dxa"/>
            <w:vAlign w:val="bottom"/>
            <w:tcBorders>
              <w:bottom w:val="single" w:sz="8" w:color="E5E5E5"/>
            </w:tcBorders>
          </w:tcPr>
          <w:p>
            <w:pPr>
              <w:spacing w:after="0"/>
              <w:rPr>
                <w:sz w:val="18"/>
                <w:szCs w:val="18"/>
                <w:color w:val="auto"/>
              </w:rPr>
            </w:pPr>
          </w:p>
        </w:tc>
        <w:tc>
          <w:tcPr>
            <w:tcW w:w="20" w:type="dxa"/>
            <w:vAlign w:val="bottom"/>
            <w:tcBorders>
              <w:bottom w:val="single" w:sz="8" w:color="E5E5E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7"/>
              <w:spacing w:after="0"/>
              <w:rPr>
                <w:sz w:val="20"/>
                <w:szCs w:val="20"/>
                <w:color w:val="auto"/>
              </w:rPr>
            </w:pPr>
            <w:r>
              <w:rPr>
                <w:rFonts w:ascii="Calibri" w:cs="Calibri" w:eastAsia="Calibri" w:hAnsi="Calibri"/>
                <w:sz w:val="16"/>
                <w:szCs w:val="16"/>
                <w:b w:val="1"/>
                <w:bCs w:val="1"/>
                <w:color w:val="auto"/>
              </w:rPr>
              <w:t>Exercisable</w:t>
            </w:r>
          </w:p>
        </w:tc>
        <w:tc>
          <w:tcPr>
            <w:tcW w:w="40" w:type="dxa"/>
            <w:vAlign w:val="bottom"/>
            <w:tcBorders>
              <w:bottom w:val="single" w:sz="8" w:color="E5E5E5"/>
            </w:tcBorders>
          </w:tcPr>
          <w:p>
            <w:pPr>
              <w:spacing w:after="0"/>
              <w:rPr>
                <w:sz w:val="18"/>
                <w:szCs w:val="18"/>
                <w:color w:val="auto"/>
              </w:rPr>
            </w:pPr>
          </w:p>
        </w:tc>
        <w:tc>
          <w:tcPr>
            <w:tcW w:w="280" w:type="dxa"/>
            <w:vAlign w:val="bottom"/>
            <w:tcBorders>
              <w:bottom w:val="single" w:sz="8" w:color="E5E5E5"/>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67"/>
              <w:spacing w:after="0"/>
              <w:rPr>
                <w:sz w:val="20"/>
                <w:szCs w:val="20"/>
                <w:color w:val="auto"/>
              </w:rPr>
            </w:pPr>
            <w:r>
              <w:rPr>
                <w:rFonts w:ascii="Calibri" w:cs="Calibri" w:eastAsia="Calibri" w:hAnsi="Calibri"/>
                <w:sz w:val="16"/>
                <w:szCs w:val="16"/>
                <w:b w:val="1"/>
                <w:bCs w:val="1"/>
                <w:color w:val="auto"/>
              </w:rPr>
              <w:t>Price</w:t>
            </w:r>
          </w:p>
        </w:tc>
        <w:tc>
          <w:tcPr>
            <w:tcW w:w="0" w:type="dxa"/>
            <w:vAlign w:val="bottom"/>
          </w:tcPr>
          <w:p>
            <w:pPr>
              <w:spacing w:after="0"/>
              <w:rPr>
                <w:sz w:val="1"/>
                <w:szCs w:val="1"/>
                <w:color w:val="auto"/>
              </w:rPr>
            </w:pPr>
          </w:p>
        </w:tc>
      </w:tr>
      <w:tr>
        <w:trPr>
          <w:trHeight w:val="233"/>
        </w:trPr>
        <w:tc>
          <w:tcPr>
            <w:tcW w:w="280" w:type="dxa"/>
            <w:vAlign w:val="bottom"/>
            <w:shd w:val="clear" w:color="auto" w:fill="E5E5E5"/>
          </w:tcPr>
          <w:p>
            <w:pPr>
              <w:spacing w:after="0" w:line="233" w:lineRule="exact"/>
              <w:rPr>
                <w:sz w:val="20"/>
                <w:szCs w:val="20"/>
                <w:color w:val="auto"/>
              </w:rPr>
            </w:pPr>
            <w:r>
              <w:rPr>
                <w:rFonts w:ascii="Calibri" w:cs="Calibri" w:eastAsia="Calibri" w:hAnsi="Calibri"/>
                <w:sz w:val="20"/>
                <w:szCs w:val="20"/>
                <w:color w:val="auto"/>
              </w:rPr>
              <w:t>$</w:t>
            </w:r>
          </w:p>
        </w:tc>
        <w:tc>
          <w:tcPr>
            <w:tcW w:w="860" w:type="dxa"/>
            <w:vAlign w:val="bottom"/>
            <w:shd w:val="clear" w:color="auto" w:fill="E5E5E5"/>
          </w:tcPr>
          <w:p>
            <w:pPr>
              <w:jc w:val="right"/>
              <w:ind w:right="2"/>
              <w:spacing w:after="0" w:line="233" w:lineRule="exact"/>
              <w:rPr>
                <w:sz w:val="20"/>
                <w:szCs w:val="20"/>
                <w:color w:val="auto"/>
              </w:rPr>
            </w:pPr>
            <w:r>
              <w:rPr>
                <w:rFonts w:ascii="Calibri" w:cs="Calibri" w:eastAsia="Calibri" w:hAnsi="Calibri"/>
                <w:sz w:val="20"/>
                <w:szCs w:val="20"/>
                <w:color w:val="auto"/>
              </w:rPr>
              <w:t>0.75</w:t>
            </w:r>
          </w:p>
        </w:tc>
        <w:tc>
          <w:tcPr>
            <w:tcW w:w="220" w:type="dxa"/>
            <w:vAlign w:val="bottom"/>
            <w:shd w:val="clear" w:color="auto" w:fill="E5E5E5"/>
          </w:tcPr>
          <w:p>
            <w:pPr>
              <w:jc w:val="center"/>
              <w:spacing w:after="0" w:line="233" w:lineRule="exact"/>
              <w:rPr>
                <w:sz w:val="20"/>
                <w:szCs w:val="20"/>
                <w:color w:val="auto"/>
              </w:rPr>
            </w:pPr>
            <w:r>
              <w:rPr>
                <w:rFonts w:ascii="Calibri" w:cs="Calibri" w:eastAsia="Calibri" w:hAnsi="Calibri"/>
                <w:sz w:val="20"/>
                <w:szCs w:val="20"/>
                <w:color w:val="auto"/>
                <w:w w:val="97"/>
              </w:rPr>
              <w:t>-</w:t>
            </w:r>
          </w:p>
        </w:tc>
        <w:tc>
          <w:tcPr>
            <w:tcW w:w="400" w:type="dxa"/>
            <w:vAlign w:val="bottom"/>
            <w:shd w:val="clear" w:color="auto" w:fill="E5E5E5"/>
          </w:tcPr>
          <w:p>
            <w:pPr>
              <w:jc w:val="right"/>
              <w:ind w:right="140"/>
              <w:spacing w:after="0" w:line="233" w:lineRule="exact"/>
              <w:rPr>
                <w:sz w:val="20"/>
                <w:szCs w:val="20"/>
                <w:color w:val="auto"/>
              </w:rPr>
            </w:pPr>
            <w:r>
              <w:rPr>
                <w:rFonts w:ascii="Calibri" w:cs="Calibri" w:eastAsia="Calibri" w:hAnsi="Calibri"/>
                <w:sz w:val="20"/>
                <w:szCs w:val="20"/>
                <w:color w:val="auto"/>
              </w:rPr>
              <w:t>$</w:t>
            </w:r>
          </w:p>
        </w:tc>
        <w:tc>
          <w:tcPr>
            <w:tcW w:w="76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1.47</w:t>
            </w:r>
          </w:p>
        </w:tc>
        <w:tc>
          <w:tcPr>
            <w:tcW w:w="3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26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5,112,300</w:t>
            </w:r>
          </w:p>
        </w:tc>
        <w:tc>
          <w:tcPr>
            <w:tcW w:w="1820" w:type="dxa"/>
            <w:vAlign w:val="bottom"/>
            <w:gridSpan w:val="2"/>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8.8</w:t>
            </w:r>
          </w:p>
        </w:tc>
        <w:tc>
          <w:tcPr>
            <w:tcW w:w="320" w:type="dxa"/>
            <w:vAlign w:val="bottom"/>
            <w:shd w:val="clear" w:color="auto" w:fill="E5E5E5"/>
          </w:tcPr>
          <w:p>
            <w:pPr>
              <w:spacing w:after="0"/>
              <w:rPr>
                <w:sz w:val="20"/>
                <w:szCs w:val="20"/>
                <w:color w:val="auto"/>
              </w:rPr>
            </w:pPr>
          </w:p>
        </w:tc>
        <w:tc>
          <w:tcPr>
            <w:tcW w:w="20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w w:val="78"/>
              </w:rPr>
              <w:t>$</w:t>
            </w:r>
          </w:p>
        </w:tc>
        <w:tc>
          <w:tcPr>
            <w:tcW w:w="112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0.97</w:t>
            </w:r>
          </w:p>
        </w:tc>
        <w:tc>
          <w:tcPr>
            <w:tcW w:w="3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spacing w:after="0"/>
              <w:rPr>
                <w:sz w:val="20"/>
                <w:szCs w:val="20"/>
                <w:color w:val="auto"/>
              </w:rPr>
            </w:pPr>
          </w:p>
        </w:tc>
        <w:tc>
          <w:tcPr>
            <w:tcW w:w="160" w:type="dxa"/>
            <w:vAlign w:val="bottom"/>
            <w:shd w:val="clear" w:color="auto" w:fill="E5E5E5"/>
          </w:tcPr>
          <w:p>
            <w:pPr>
              <w:spacing w:after="0"/>
              <w:rPr>
                <w:sz w:val="20"/>
                <w:szCs w:val="20"/>
                <w:color w:val="auto"/>
              </w:rPr>
            </w:pPr>
          </w:p>
        </w:tc>
        <w:tc>
          <w:tcPr>
            <w:tcW w:w="120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712,021</w:t>
            </w:r>
          </w:p>
        </w:tc>
        <w:tc>
          <w:tcPr>
            <w:tcW w:w="580" w:type="dxa"/>
            <w:vAlign w:val="bottom"/>
            <w:gridSpan w:val="4"/>
            <w:shd w:val="clear" w:color="auto" w:fill="E5E5E5"/>
          </w:tcPr>
          <w:p>
            <w:pPr>
              <w:jc w:val="right"/>
              <w:ind w:right="60"/>
              <w:spacing w:after="0" w:line="233" w:lineRule="exact"/>
              <w:rPr>
                <w:sz w:val="20"/>
                <w:szCs w:val="20"/>
                <w:color w:val="auto"/>
              </w:rPr>
            </w:pPr>
            <w:r>
              <w:rPr>
                <w:rFonts w:ascii="Calibri" w:cs="Calibri" w:eastAsia="Calibri" w:hAnsi="Calibri"/>
                <w:sz w:val="20"/>
                <w:szCs w:val="20"/>
                <w:color w:val="auto"/>
              </w:rPr>
              <w:t>$</w:t>
            </w:r>
          </w:p>
        </w:tc>
        <w:tc>
          <w:tcPr>
            <w:tcW w:w="120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0.81</w:t>
            </w:r>
          </w:p>
        </w:tc>
        <w:tc>
          <w:tcPr>
            <w:tcW w:w="0" w:type="dxa"/>
            <w:vAlign w:val="bottom"/>
          </w:tcPr>
          <w:p>
            <w:pPr>
              <w:spacing w:after="0"/>
              <w:rPr>
                <w:sz w:val="1"/>
                <w:szCs w:val="1"/>
                <w:color w:val="auto"/>
              </w:rPr>
            </w:pPr>
          </w:p>
        </w:tc>
      </w:tr>
      <w:tr>
        <w:trPr>
          <w:trHeight w:val="245"/>
        </w:trPr>
        <w:tc>
          <w:tcPr>
            <w:tcW w:w="280" w:type="dxa"/>
            <w:vAlign w:val="bottom"/>
          </w:tcPr>
          <w:p>
            <w:pPr>
              <w:spacing w:after="0"/>
              <w:rPr>
                <w:sz w:val="20"/>
                <w:szCs w:val="20"/>
                <w:color w:val="auto"/>
              </w:rPr>
            </w:pPr>
            <w:r>
              <w:rPr>
                <w:rFonts w:ascii="Calibri" w:cs="Calibri" w:eastAsia="Calibri" w:hAnsi="Calibri"/>
                <w:sz w:val="20"/>
                <w:szCs w:val="20"/>
                <w:color w:val="auto"/>
              </w:rPr>
              <w:t>$</w:t>
            </w:r>
          </w:p>
        </w:tc>
        <w:tc>
          <w:tcPr>
            <w:tcW w:w="860" w:type="dxa"/>
            <w:vAlign w:val="bottom"/>
          </w:tcPr>
          <w:p>
            <w:pPr>
              <w:jc w:val="right"/>
              <w:ind w:right="2"/>
              <w:spacing w:after="0"/>
              <w:rPr>
                <w:sz w:val="20"/>
                <w:szCs w:val="20"/>
                <w:color w:val="auto"/>
              </w:rPr>
            </w:pPr>
            <w:r>
              <w:rPr>
                <w:rFonts w:ascii="Calibri" w:cs="Calibri" w:eastAsia="Calibri" w:hAnsi="Calibri"/>
                <w:sz w:val="20"/>
                <w:szCs w:val="20"/>
                <w:color w:val="auto"/>
              </w:rPr>
              <w:t>1.52</w:t>
            </w:r>
          </w:p>
        </w:tc>
        <w:tc>
          <w:tcPr>
            <w:tcW w:w="220" w:type="dxa"/>
            <w:vAlign w:val="bottom"/>
          </w:tcPr>
          <w:p>
            <w:pPr>
              <w:jc w:val="center"/>
              <w:spacing w:after="0"/>
              <w:rPr>
                <w:sz w:val="20"/>
                <w:szCs w:val="20"/>
                <w:color w:val="auto"/>
              </w:rPr>
            </w:pPr>
            <w:r>
              <w:rPr>
                <w:rFonts w:ascii="Calibri" w:cs="Calibri" w:eastAsia="Calibri" w:hAnsi="Calibri"/>
                <w:sz w:val="20"/>
                <w:szCs w:val="20"/>
                <w:color w:val="auto"/>
                <w:w w:val="97"/>
              </w:rPr>
              <w:t>-</w:t>
            </w:r>
          </w:p>
        </w:tc>
        <w:tc>
          <w:tcPr>
            <w:tcW w:w="400" w:type="dxa"/>
            <w:vAlign w:val="bottom"/>
          </w:tcPr>
          <w:p>
            <w:pPr>
              <w:jc w:val="right"/>
              <w:ind w:right="140"/>
              <w:spacing w:after="0"/>
              <w:rPr>
                <w:sz w:val="20"/>
                <w:szCs w:val="20"/>
                <w:color w:val="auto"/>
              </w:rPr>
            </w:pPr>
            <w:r>
              <w:rPr>
                <w:rFonts w:ascii="Calibri" w:cs="Calibri" w:eastAsia="Calibri" w:hAnsi="Calibri"/>
                <w:sz w:val="20"/>
                <w:szCs w:val="20"/>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color w:val="auto"/>
              </w:rPr>
              <w:t>2.41</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color w:val="auto"/>
              </w:rPr>
              <w:t>6,230,461</w:t>
            </w:r>
          </w:p>
        </w:tc>
        <w:tc>
          <w:tcPr>
            <w:tcW w:w="1820" w:type="dxa"/>
            <w:vAlign w:val="bottom"/>
            <w:gridSpan w:val="2"/>
          </w:tcPr>
          <w:p>
            <w:pPr>
              <w:jc w:val="right"/>
              <w:spacing w:after="0"/>
              <w:rPr>
                <w:sz w:val="20"/>
                <w:szCs w:val="20"/>
                <w:color w:val="auto"/>
              </w:rPr>
            </w:pPr>
            <w:r>
              <w:rPr>
                <w:rFonts w:ascii="Calibri" w:cs="Calibri" w:eastAsia="Calibri" w:hAnsi="Calibri"/>
                <w:sz w:val="20"/>
                <w:szCs w:val="20"/>
                <w:color w:val="auto"/>
              </w:rPr>
              <w:t>7.5</w:t>
            </w:r>
          </w:p>
        </w:tc>
        <w:tc>
          <w:tcPr>
            <w:tcW w:w="52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color w:val="auto"/>
              </w:rPr>
              <w:t>1.94</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color w:val="auto"/>
              </w:rPr>
              <w:t>1,685,611</w:t>
            </w:r>
          </w:p>
        </w:tc>
        <w:tc>
          <w:tcPr>
            <w:tcW w:w="580" w:type="dxa"/>
            <w:vAlign w:val="bottom"/>
            <w:gridSpan w:val="4"/>
          </w:tcPr>
          <w:p>
            <w:pPr>
              <w:jc w:val="right"/>
              <w:ind w:right="60"/>
              <w:spacing w:after="0"/>
              <w:rPr>
                <w:sz w:val="20"/>
                <w:szCs w:val="20"/>
                <w:color w:val="auto"/>
              </w:rPr>
            </w:pPr>
            <w:r>
              <w:rPr>
                <w:rFonts w:ascii="Calibri" w:cs="Calibri" w:eastAsia="Calibri" w:hAnsi="Calibri"/>
                <w:sz w:val="20"/>
                <w:szCs w:val="20"/>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color w:val="auto"/>
              </w:rPr>
              <w:t>1.93</w:t>
            </w:r>
          </w:p>
        </w:tc>
        <w:tc>
          <w:tcPr>
            <w:tcW w:w="0" w:type="dxa"/>
            <w:vAlign w:val="bottom"/>
          </w:tcPr>
          <w:p>
            <w:pPr>
              <w:spacing w:after="0"/>
              <w:rPr>
                <w:sz w:val="1"/>
                <w:szCs w:val="1"/>
                <w:color w:val="auto"/>
              </w:rPr>
            </w:pPr>
          </w:p>
        </w:tc>
      </w:tr>
      <w:tr>
        <w:trPr>
          <w:trHeight w:val="244"/>
        </w:trPr>
        <w:tc>
          <w:tcPr>
            <w:tcW w:w="280" w:type="dxa"/>
            <w:vAlign w:val="bottom"/>
            <w:shd w:val="clear" w:color="auto" w:fill="E5E5E5"/>
          </w:tcPr>
          <w:p>
            <w:pPr>
              <w:spacing w:after="0"/>
              <w:rPr>
                <w:sz w:val="20"/>
                <w:szCs w:val="20"/>
                <w:color w:val="auto"/>
              </w:rPr>
            </w:pPr>
            <w:r>
              <w:rPr>
                <w:rFonts w:ascii="Calibri" w:cs="Calibri" w:eastAsia="Calibri" w:hAnsi="Calibri"/>
                <w:sz w:val="20"/>
                <w:szCs w:val="20"/>
                <w:color w:val="auto"/>
              </w:rPr>
              <w:t>$</w:t>
            </w:r>
          </w:p>
        </w:tc>
        <w:tc>
          <w:tcPr>
            <w:tcW w:w="860" w:type="dxa"/>
            <w:vAlign w:val="bottom"/>
            <w:shd w:val="clear" w:color="auto" w:fill="E5E5E5"/>
          </w:tcPr>
          <w:p>
            <w:pPr>
              <w:jc w:val="right"/>
              <w:ind w:right="2"/>
              <w:spacing w:after="0"/>
              <w:rPr>
                <w:sz w:val="20"/>
                <w:szCs w:val="20"/>
                <w:color w:val="auto"/>
              </w:rPr>
            </w:pPr>
            <w:r>
              <w:rPr>
                <w:rFonts w:ascii="Calibri" w:cs="Calibri" w:eastAsia="Calibri" w:hAnsi="Calibri"/>
                <w:sz w:val="20"/>
                <w:szCs w:val="20"/>
                <w:color w:val="auto"/>
              </w:rPr>
              <w:t>2.59</w:t>
            </w:r>
          </w:p>
        </w:tc>
        <w:tc>
          <w:tcPr>
            <w:tcW w:w="220" w:type="dxa"/>
            <w:vAlign w:val="bottom"/>
            <w:shd w:val="clear" w:color="auto" w:fill="E5E5E5"/>
          </w:tcPr>
          <w:p>
            <w:pPr>
              <w:jc w:val="center"/>
              <w:spacing w:after="0"/>
              <w:rPr>
                <w:sz w:val="20"/>
                <w:szCs w:val="20"/>
                <w:color w:val="auto"/>
              </w:rPr>
            </w:pPr>
            <w:r>
              <w:rPr>
                <w:rFonts w:ascii="Calibri" w:cs="Calibri" w:eastAsia="Calibri" w:hAnsi="Calibri"/>
                <w:sz w:val="20"/>
                <w:szCs w:val="20"/>
                <w:color w:val="auto"/>
                <w:w w:val="97"/>
              </w:rPr>
              <w:t>-</w:t>
            </w:r>
          </w:p>
        </w:tc>
        <w:tc>
          <w:tcPr>
            <w:tcW w:w="400" w:type="dxa"/>
            <w:vAlign w:val="bottom"/>
            <w:shd w:val="clear" w:color="auto" w:fill="E5E5E5"/>
          </w:tcPr>
          <w:p>
            <w:pPr>
              <w:jc w:val="right"/>
              <w:ind w:right="140"/>
              <w:spacing w:after="0"/>
              <w:rPr>
                <w:sz w:val="20"/>
                <w:szCs w:val="20"/>
                <w:color w:val="auto"/>
              </w:rPr>
            </w:pPr>
            <w:r>
              <w:rPr>
                <w:rFonts w:ascii="Calibri" w:cs="Calibri" w:eastAsia="Calibri" w:hAnsi="Calibri"/>
                <w:sz w:val="20"/>
                <w:szCs w:val="20"/>
                <w:color w:val="auto"/>
              </w:rPr>
              <w:t>$</w:t>
            </w:r>
          </w:p>
        </w:tc>
        <w:tc>
          <w:tcPr>
            <w:tcW w:w="7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5.44</w:t>
            </w:r>
          </w:p>
        </w:tc>
        <w:tc>
          <w:tcPr>
            <w:tcW w:w="3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2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5,020,846</w:t>
            </w:r>
          </w:p>
        </w:tc>
        <w:tc>
          <w:tcPr>
            <w:tcW w:w="1820" w:type="dxa"/>
            <w:vAlign w:val="bottom"/>
            <w:gridSpan w:val="2"/>
            <w:shd w:val="clear" w:color="auto" w:fill="E5E5E5"/>
          </w:tcPr>
          <w:p>
            <w:pPr>
              <w:jc w:val="right"/>
              <w:spacing w:after="0"/>
              <w:rPr>
                <w:sz w:val="20"/>
                <w:szCs w:val="20"/>
                <w:color w:val="auto"/>
              </w:rPr>
            </w:pPr>
            <w:r>
              <w:rPr>
                <w:rFonts w:ascii="Calibri" w:cs="Calibri" w:eastAsia="Calibri" w:hAnsi="Calibri"/>
                <w:sz w:val="20"/>
                <w:szCs w:val="20"/>
                <w:color w:val="auto"/>
              </w:rPr>
              <w:t>6.2</w:t>
            </w:r>
          </w:p>
        </w:tc>
        <w:tc>
          <w:tcPr>
            <w:tcW w:w="520" w:type="dxa"/>
            <w:vAlign w:val="bottom"/>
            <w:gridSpan w:val="2"/>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112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3.87</w:t>
            </w:r>
          </w:p>
        </w:tc>
        <w:tc>
          <w:tcPr>
            <w:tcW w:w="3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3,425,135</w:t>
            </w:r>
          </w:p>
        </w:tc>
        <w:tc>
          <w:tcPr>
            <w:tcW w:w="580" w:type="dxa"/>
            <w:vAlign w:val="bottom"/>
            <w:gridSpan w:val="4"/>
            <w:shd w:val="clear" w:color="auto" w:fill="E5E5E5"/>
          </w:tcPr>
          <w:p>
            <w:pPr>
              <w:jc w:val="right"/>
              <w:ind w:right="60"/>
              <w:spacing w:after="0"/>
              <w:rPr>
                <w:sz w:val="20"/>
                <w:szCs w:val="20"/>
                <w:color w:val="auto"/>
              </w:rPr>
            </w:pPr>
            <w:r>
              <w:rPr>
                <w:rFonts w:ascii="Calibri" w:cs="Calibri" w:eastAsia="Calibri" w:hAnsi="Calibri"/>
                <w:sz w:val="20"/>
                <w:szCs w:val="20"/>
                <w:color w:val="auto"/>
              </w:rPr>
              <w:t>$</w:t>
            </w:r>
          </w:p>
        </w:tc>
        <w:tc>
          <w:tcPr>
            <w:tcW w:w="12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4.19</w:t>
            </w:r>
          </w:p>
        </w:tc>
        <w:tc>
          <w:tcPr>
            <w:tcW w:w="0" w:type="dxa"/>
            <w:vAlign w:val="bottom"/>
          </w:tcPr>
          <w:p>
            <w:pPr>
              <w:spacing w:after="0"/>
              <w:rPr>
                <w:sz w:val="1"/>
                <w:szCs w:val="1"/>
                <w:color w:val="auto"/>
              </w:rPr>
            </w:pPr>
          </w:p>
        </w:tc>
      </w:tr>
      <w:tr>
        <w:trPr>
          <w:trHeight w:val="245"/>
        </w:trPr>
        <w:tc>
          <w:tcPr>
            <w:tcW w:w="280" w:type="dxa"/>
            <w:vAlign w:val="bottom"/>
          </w:tcPr>
          <w:p>
            <w:pPr>
              <w:spacing w:after="0"/>
              <w:rPr>
                <w:sz w:val="20"/>
                <w:szCs w:val="20"/>
                <w:color w:val="auto"/>
              </w:rPr>
            </w:pPr>
            <w:r>
              <w:rPr>
                <w:rFonts w:ascii="Calibri" w:cs="Calibri" w:eastAsia="Calibri" w:hAnsi="Calibri"/>
                <w:sz w:val="20"/>
                <w:szCs w:val="20"/>
                <w:color w:val="auto"/>
              </w:rPr>
              <w:t>$</w:t>
            </w:r>
          </w:p>
        </w:tc>
        <w:tc>
          <w:tcPr>
            <w:tcW w:w="860" w:type="dxa"/>
            <w:vAlign w:val="bottom"/>
          </w:tcPr>
          <w:p>
            <w:pPr>
              <w:jc w:val="right"/>
              <w:ind w:right="2"/>
              <w:spacing w:after="0"/>
              <w:rPr>
                <w:sz w:val="20"/>
                <w:szCs w:val="20"/>
                <w:color w:val="auto"/>
              </w:rPr>
            </w:pPr>
            <w:r>
              <w:rPr>
                <w:rFonts w:ascii="Calibri" w:cs="Calibri" w:eastAsia="Calibri" w:hAnsi="Calibri"/>
                <w:sz w:val="20"/>
                <w:szCs w:val="20"/>
                <w:color w:val="auto"/>
              </w:rPr>
              <w:t>5.86</w:t>
            </w:r>
          </w:p>
        </w:tc>
        <w:tc>
          <w:tcPr>
            <w:tcW w:w="220" w:type="dxa"/>
            <w:vAlign w:val="bottom"/>
          </w:tcPr>
          <w:p>
            <w:pPr>
              <w:jc w:val="center"/>
              <w:spacing w:after="0"/>
              <w:rPr>
                <w:sz w:val="20"/>
                <w:szCs w:val="20"/>
                <w:color w:val="auto"/>
              </w:rPr>
            </w:pPr>
            <w:r>
              <w:rPr>
                <w:rFonts w:ascii="Calibri" w:cs="Calibri" w:eastAsia="Calibri" w:hAnsi="Calibri"/>
                <w:sz w:val="20"/>
                <w:szCs w:val="20"/>
                <w:color w:val="auto"/>
                <w:w w:val="97"/>
              </w:rPr>
              <w:t>-</w:t>
            </w:r>
          </w:p>
        </w:tc>
        <w:tc>
          <w:tcPr>
            <w:tcW w:w="400" w:type="dxa"/>
            <w:vAlign w:val="bottom"/>
          </w:tcPr>
          <w:p>
            <w:pPr>
              <w:jc w:val="right"/>
              <w:ind w:right="140"/>
              <w:spacing w:after="0"/>
              <w:rPr>
                <w:sz w:val="20"/>
                <w:szCs w:val="20"/>
                <w:color w:val="auto"/>
              </w:rPr>
            </w:pPr>
            <w:r>
              <w:rPr>
                <w:rFonts w:ascii="Calibri" w:cs="Calibri" w:eastAsia="Calibri" w:hAnsi="Calibri"/>
                <w:sz w:val="20"/>
                <w:szCs w:val="20"/>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color w:val="auto"/>
              </w:rPr>
              <w:t>12.37</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Calibri" w:cs="Calibri" w:eastAsia="Calibri" w:hAnsi="Calibri"/>
                <w:sz w:val="20"/>
                <w:szCs w:val="20"/>
                <w:color w:val="auto"/>
              </w:rPr>
              <w:t>4,971,503</w:t>
            </w:r>
          </w:p>
        </w:tc>
        <w:tc>
          <w:tcPr>
            <w:tcW w:w="1820" w:type="dxa"/>
            <w:vAlign w:val="bottom"/>
            <w:gridSpan w:val="2"/>
          </w:tcPr>
          <w:p>
            <w:pPr>
              <w:jc w:val="right"/>
              <w:spacing w:after="0"/>
              <w:rPr>
                <w:sz w:val="20"/>
                <w:szCs w:val="20"/>
                <w:color w:val="auto"/>
              </w:rPr>
            </w:pPr>
            <w:r>
              <w:rPr>
                <w:rFonts w:ascii="Calibri" w:cs="Calibri" w:eastAsia="Calibri" w:hAnsi="Calibri"/>
                <w:sz w:val="20"/>
                <w:szCs w:val="20"/>
                <w:color w:val="auto"/>
              </w:rPr>
              <w:t>3.7</w:t>
            </w:r>
          </w:p>
        </w:tc>
        <w:tc>
          <w:tcPr>
            <w:tcW w:w="52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120" w:type="dxa"/>
            <w:vAlign w:val="bottom"/>
          </w:tcPr>
          <w:p>
            <w:pPr>
              <w:jc w:val="right"/>
              <w:spacing w:after="0"/>
              <w:rPr>
                <w:sz w:val="20"/>
                <w:szCs w:val="20"/>
                <w:color w:val="auto"/>
              </w:rPr>
            </w:pPr>
            <w:r>
              <w:rPr>
                <w:rFonts w:ascii="Calibri" w:cs="Calibri" w:eastAsia="Calibri" w:hAnsi="Calibri"/>
                <w:sz w:val="20"/>
                <w:szCs w:val="20"/>
                <w:color w:val="auto"/>
              </w:rPr>
              <w:t>10.36</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color w:val="auto"/>
              </w:rPr>
              <w:t>4,539,701</w:t>
            </w:r>
          </w:p>
        </w:tc>
        <w:tc>
          <w:tcPr>
            <w:tcW w:w="580" w:type="dxa"/>
            <w:vAlign w:val="bottom"/>
            <w:gridSpan w:val="4"/>
          </w:tcPr>
          <w:p>
            <w:pPr>
              <w:jc w:val="right"/>
              <w:ind w:right="60"/>
              <w:spacing w:after="0"/>
              <w:rPr>
                <w:sz w:val="20"/>
                <w:szCs w:val="20"/>
                <w:color w:val="auto"/>
              </w:rPr>
            </w:pPr>
            <w:r>
              <w:rPr>
                <w:rFonts w:ascii="Calibri" w:cs="Calibri" w:eastAsia="Calibri" w:hAnsi="Calibri"/>
                <w:sz w:val="20"/>
                <w:szCs w:val="20"/>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color w:val="auto"/>
              </w:rPr>
              <w:t>10.44</w:t>
            </w:r>
          </w:p>
        </w:tc>
        <w:tc>
          <w:tcPr>
            <w:tcW w:w="0" w:type="dxa"/>
            <w:vAlign w:val="bottom"/>
          </w:tcPr>
          <w:p>
            <w:pPr>
              <w:spacing w:after="0"/>
              <w:rPr>
                <w:sz w:val="1"/>
                <w:szCs w:val="1"/>
                <w:color w:val="auto"/>
              </w:rPr>
            </w:pPr>
          </w:p>
        </w:tc>
      </w:tr>
      <w:tr>
        <w:trPr>
          <w:trHeight w:val="244"/>
        </w:trPr>
        <w:tc>
          <w:tcPr>
            <w:tcW w:w="280" w:type="dxa"/>
            <w:vAlign w:val="bottom"/>
            <w:shd w:val="clear" w:color="auto" w:fill="E5E5E5"/>
          </w:tcPr>
          <w:p>
            <w:pPr>
              <w:spacing w:after="0"/>
              <w:rPr>
                <w:sz w:val="20"/>
                <w:szCs w:val="20"/>
                <w:color w:val="auto"/>
              </w:rPr>
            </w:pPr>
            <w:r>
              <w:rPr>
                <w:rFonts w:ascii="Calibri" w:cs="Calibri" w:eastAsia="Calibri" w:hAnsi="Calibri"/>
                <w:sz w:val="20"/>
                <w:szCs w:val="20"/>
                <w:color w:val="auto"/>
              </w:rPr>
              <w:t>$</w:t>
            </w:r>
          </w:p>
        </w:tc>
        <w:tc>
          <w:tcPr>
            <w:tcW w:w="860" w:type="dxa"/>
            <w:vAlign w:val="bottom"/>
            <w:shd w:val="clear" w:color="auto" w:fill="E5E5E5"/>
          </w:tcPr>
          <w:p>
            <w:pPr>
              <w:jc w:val="right"/>
              <w:ind w:right="2"/>
              <w:spacing w:after="0"/>
              <w:rPr>
                <w:sz w:val="20"/>
                <w:szCs w:val="20"/>
                <w:color w:val="auto"/>
              </w:rPr>
            </w:pPr>
            <w:r>
              <w:rPr>
                <w:rFonts w:ascii="Calibri" w:cs="Calibri" w:eastAsia="Calibri" w:hAnsi="Calibri"/>
                <w:sz w:val="20"/>
                <w:szCs w:val="20"/>
                <w:color w:val="auto"/>
              </w:rPr>
              <w:t>12.44</w:t>
            </w:r>
          </w:p>
        </w:tc>
        <w:tc>
          <w:tcPr>
            <w:tcW w:w="220" w:type="dxa"/>
            <w:vAlign w:val="bottom"/>
            <w:shd w:val="clear" w:color="auto" w:fill="E5E5E5"/>
          </w:tcPr>
          <w:p>
            <w:pPr>
              <w:jc w:val="center"/>
              <w:spacing w:after="0"/>
              <w:rPr>
                <w:sz w:val="20"/>
                <w:szCs w:val="20"/>
                <w:color w:val="auto"/>
              </w:rPr>
            </w:pPr>
            <w:r>
              <w:rPr>
                <w:rFonts w:ascii="Calibri" w:cs="Calibri" w:eastAsia="Calibri" w:hAnsi="Calibri"/>
                <w:sz w:val="20"/>
                <w:szCs w:val="20"/>
                <w:color w:val="auto"/>
                <w:w w:val="97"/>
              </w:rPr>
              <w:t>-</w:t>
            </w:r>
          </w:p>
        </w:tc>
        <w:tc>
          <w:tcPr>
            <w:tcW w:w="400" w:type="dxa"/>
            <w:vAlign w:val="bottom"/>
            <w:shd w:val="clear" w:color="auto" w:fill="E5E5E5"/>
          </w:tcPr>
          <w:p>
            <w:pPr>
              <w:jc w:val="right"/>
              <w:ind w:right="140"/>
              <w:spacing w:after="0"/>
              <w:rPr>
                <w:sz w:val="20"/>
                <w:szCs w:val="20"/>
                <w:color w:val="auto"/>
              </w:rPr>
            </w:pPr>
            <w:r>
              <w:rPr>
                <w:rFonts w:ascii="Calibri" w:cs="Calibri" w:eastAsia="Calibri" w:hAnsi="Calibri"/>
                <w:sz w:val="20"/>
                <w:szCs w:val="20"/>
                <w:color w:val="auto"/>
              </w:rPr>
              <w:t>$</w:t>
            </w:r>
          </w:p>
        </w:tc>
        <w:tc>
          <w:tcPr>
            <w:tcW w:w="7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17.58</w:t>
            </w:r>
          </w:p>
        </w:tc>
        <w:tc>
          <w:tcPr>
            <w:tcW w:w="3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2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4,959,964</w:t>
            </w:r>
          </w:p>
        </w:tc>
        <w:tc>
          <w:tcPr>
            <w:tcW w:w="1820" w:type="dxa"/>
            <w:vAlign w:val="bottom"/>
            <w:gridSpan w:val="2"/>
            <w:shd w:val="clear" w:color="auto" w:fill="E5E5E5"/>
          </w:tcPr>
          <w:p>
            <w:pPr>
              <w:jc w:val="right"/>
              <w:spacing w:after="0"/>
              <w:rPr>
                <w:sz w:val="20"/>
                <w:szCs w:val="20"/>
                <w:color w:val="auto"/>
              </w:rPr>
            </w:pPr>
            <w:r>
              <w:rPr>
                <w:rFonts w:ascii="Calibri" w:cs="Calibri" w:eastAsia="Calibri" w:hAnsi="Calibri"/>
                <w:sz w:val="20"/>
                <w:szCs w:val="20"/>
                <w:color w:val="auto"/>
              </w:rPr>
              <w:t>3.4</w:t>
            </w:r>
          </w:p>
        </w:tc>
        <w:tc>
          <w:tcPr>
            <w:tcW w:w="520" w:type="dxa"/>
            <w:vAlign w:val="bottom"/>
            <w:gridSpan w:val="2"/>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112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15.30</w:t>
            </w:r>
          </w:p>
        </w:tc>
        <w:tc>
          <w:tcPr>
            <w:tcW w:w="3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12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4,920,595</w:t>
            </w:r>
          </w:p>
        </w:tc>
        <w:tc>
          <w:tcPr>
            <w:tcW w:w="580" w:type="dxa"/>
            <w:vAlign w:val="bottom"/>
            <w:gridSpan w:val="4"/>
            <w:shd w:val="clear" w:color="auto" w:fill="E5E5E5"/>
          </w:tcPr>
          <w:p>
            <w:pPr>
              <w:jc w:val="right"/>
              <w:ind w:right="60"/>
              <w:spacing w:after="0"/>
              <w:rPr>
                <w:sz w:val="20"/>
                <w:szCs w:val="20"/>
                <w:color w:val="auto"/>
              </w:rPr>
            </w:pPr>
            <w:r>
              <w:rPr>
                <w:rFonts w:ascii="Calibri" w:cs="Calibri" w:eastAsia="Calibri" w:hAnsi="Calibri"/>
                <w:sz w:val="20"/>
                <w:szCs w:val="20"/>
                <w:color w:val="auto"/>
              </w:rPr>
              <w:t>$</w:t>
            </w:r>
          </w:p>
        </w:tc>
        <w:tc>
          <w:tcPr>
            <w:tcW w:w="12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15.31</w:t>
            </w:r>
          </w:p>
        </w:tc>
        <w:tc>
          <w:tcPr>
            <w:tcW w:w="0" w:type="dxa"/>
            <w:vAlign w:val="bottom"/>
          </w:tcPr>
          <w:p>
            <w:pPr>
              <w:spacing w:after="0"/>
              <w:rPr>
                <w:sz w:val="1"/>
                <w:szCs w:val="1"/>
                <w:color w:val="auto"/>
              </w:rPr>
            </w:pPr>
          </w:p>
        </w:tc>
      </w:tr>
      <w:tr>
        <w:trPr>
          <w:trHeight w:val="245"/>
        </w:trPr>
        <w:tc>
          <w:tcPr>
            <w:tcW w:w="280" w:type="dxa"/>
            <w:vAlign w:val="bottom"/>
            <w:tcBorders>
              <w:bottom w:val="single" w:sz="8" w:color="E5E5E5"/>
            </w:tcBorders>
          </w:tcPr>
          <w:p>
            <w:pPr>
              <w:spacing w:after="0"/>
              <w:rPr>
                <w:sz w:val="20"/>
                <w:szCs w:val="20"/>
                <w:color w:val="auto"/>
              </w:rPr>
            </w:pPr>
            <w:r>
              <w:rPr>
                <w:rFonts w:ascii="Calibri" w:cs="Calibri" w:eastAsia="Calibri" w:hAnsi="Calibri"/>
                <w:sz w:val="20"/>
                <w:szCs w:val="20"/>
                <w:color w:val="auto"/>
              </w:rPr>
              <w:t>$</w:t>
            </w:r>
          </w:p>
        </w:tc>
        <w:tc>
          <w:tcPr>
            <w:tcW w:w="860" w:type="dxa"/>
            <w:vAlign w:val="bottom"/>
            <w:tcBorders>
              <w:bottom w:val="single" w:sz="8" w:color="E5E5E5"/>
            </w:tcBorders>
          </w:tcPr>
          <w:p>
            <w:pPr>
              <w:jc w:val="right"/>
              <w:ind w:right="2"/>
              <w:spacing w:after="0"/>
              <w:rPr>
                <w:sz w:val="20"/>
                <w:szCs w:val="20"/>
                <w:color w:val="auto"/>
              </w:rPr>
            </w:pPr>
            <w:r>
              <w:rPr>
                <w:rFonts w:ascii="Calibri" w:cs="Calibri" w:eastAsia="Calibri" w:hAnsi="Calibri"/>
                <w:sz w:val="20"/>
                <w:szCs w:val="20"/>
                <w:color w:val="auto"/>
              </w:rPr>
              <w:t>17.60</w:t>
            </w:r>
          </w:p>
        </w:tc>
        <w:tc>
          <w:tcPr>
            <w:tcW w:w="220" w:type="dxa"/>
            <w:vAlign w:val="bottom"/>
            <w:tcBorders>
              <w:bottom w:val="single" w:sz="8" w:color="E5E5E5"/>
            </w:tcBorders>
          </w:tcPr>
          <w:p>
            <w:pPr>
              <w:jc w:val="center"/>
              <w:spacing w:after="0"/>
              <w:rPr>
                <w:sz w:val="20"/>
                <w:szCs w:val="20"/>
                <w:color w:val="auto"/>
              </w:rPr>
            </w:pPr>
            <w:r>
              <w:rPr>
                <w:rFonts w:ascii="Calibri" w:cs="Calibri" w:eastAsia="Calibri" w:hAnsi="Calibri"/>
                <w:sz w:val="20"/>
                <w:szCs w:val="20"/>
                <w:color w:val="auto"/>
                <w:w w:val="97"/>
              </w:rPr>
              <w:t>-</w:t>
            </w:r>
          </w:p>
        </w:tc>
        <w:tc>
          <w:tcPr>
            <w:tcW w:w="400" w:type="dxa"/>
            <w:vAlign w:val="bottom"/>
            <w:tcBorders>
              <w:bottom w:val="single" w:sz="8" w:color="E5E5E5"/>
            </w:tcBorders>
          </w:tcPr>
          <w:p>
            <w:pPr>
              <w:jc w:val="right"/>
              <w:ind w:right="140"/>
              <w:spacing w:after="0"/>
              <w:rPr>
                <w:sz w:val="20"/>
                <w:szCs w:val="20"/>
                <w:color w:val="auto"/>
              </w:rPr>
            </w:pPr>
            <w:r>
              <w:rPr>
                <w:rFonts w:ascii="Calibri" w:cs="Calibri" w:eastAsia="Calibri" w:hAnsi="Calibri"/>
                <w:sz w:val="20"/>
                <w:szCs w:val="20"/>
                <w:color w:val="auto"/>
              </w:rPr>
              <w:t>$</w:t>
            </w:r>
          </w:p>
        </w:tc>
        <w:tc>
          <w:tcPr>
            <w:tcW w:w="760" w:type="dxa"/>
            <w:vAlign w:val="bottom"/>
            <w:tcBorders>
              <w:bottom w:val="single" w:sz="8" w:color="E5E5E5"/>
            </w:tcBorders>
          </w:tcPr>
          <w:p>
            <w:pPr>
              <w:jc w:val="right"/>
              <w:spacing w:after="0"/>
              <w:rPr>
                <w:sz w:val="20"/>
                <w:szCs w:val="20"/>
                <w:color w:val="auto"/>
              </w:rPr>
            </w:pPr>
            <w:r>
              <w:rPr>
                <w:rFonts w:ascii="Calibri" w:cs="Calibri" w:eastAsia="Calibri" w:hAnsi="Calibri"/>
                <w:sz w:val="20"/>
                <w:szCs w:val="20"/>
                <w:color w:val="auto"/>
              </w:rPr>
              <w:t>30.98</w:t>
            </w:r>
          </w:p>
        </w:tc>
        <w:tc>
          <w:tcPr>
            <w:tcW w:w="30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2,954,339</w:t>
            </w:r>
          </w:p>
        </w:tc>
        <w:tc>
          <w:tcPr>
            <w:tcW w:w="1820" w:type="dxa"/>
            <w:vAlign w:val="bottom"/>
            <w:tcBorders>
              <w:bottom w:val="single" w:sz="8" w:color="E5E5E5"/>
            </w:tcBorders>
            <w:gridSpan w:val="2"/>
          </w:tcPr>
          <w:p>
            <w:pPr>
              <w:jc w:val="right"/>
              <w:spacing w:after="0"/>
              <w:rPr>
                <w:sz w:val="20"/>
                <w:szCs w:val="20"/>
                <w:color w:val="auto"/>
              </w:rPr>
            </w:pPr>
            <w:r>
              <w:rPr>
                <w:rFonts w:ascii="Calibri" w:cs="Calibri" w:eastAsia="Calibri" w:hAnsi="Calibri"/>
                <w:sz w:val="20"/>
                <w:szCs w:val="20"/>
                <w:color w:val="auto"/>
              </w:rPr>
              <w:t>3.2</w:t>
            </w:r>
          </w:p>
        </w:tc>
        <w:tc>
          <w:tcPr>
            <w:tcW w:w="520" w:type="dxa"/>
            <w:vAlign w:val="bottom"/>
            <w:tcBorders>
              <w:bottom w:val="single" w:sz="8" w:color="E5E5E5"/>
            </w:tcBorders>
            <w:gridSpan w:val="2"/>
          </w:tcPr>
          <w:p>
            <w:pPr>
              <w:jc w:val="right"/>
              <w:spacing w:after="0"/>
              <w:rPr>
                <w:sz w:val="20"/>
                <w:szCs w:val="20"/>
                <w:color w:val="auto"/>
              </w:rPr>
            </w:pPr>
            <w:r>
              <w:rPr>
                <w:rFonts w:ascii="Calibri" w:cs="Calibri" w:eastAsia="Calibri" w:hAnsi="Calibri"/>
                <w:sz w:val="20"/>
                <w:szCs w:val="20"/>
                <w:color w:val="auto"/>
              </w:rPr>
              <w:t>$</w:t>
            </w:r>
          </w:p>
        </w:tc>
        <w:tc>
          <w:tcPr>
            <w:tcW w:w="1120" w:type="dxa"/>
            <w:vAlign w:val="bottom"/>
            <w:tcBorders>
              <w:bottom w:val="single" w:sz="8" w:color="E5E5E5"/>
            </w:tcBorders>
          </w:tcPr>
          <w:p>
            <w:pPr>
              <w:jc w:val="right"/>
              <w:spacing w:after="0"/>
              <w:rPr>
                <w:sz w:val="20"/>
                <w:szCs w:val="20"/>
                <w:color w:val="auto"/>
              </w:rPr>
            </w:pPr>
            <w:r>
              <w:rPr>
                <w:rFonts w:ascii="Calibri" w:cs="Calibri" w:eastAsia="Calibri" w:hAnsi="Calibri"/>
                <w:sz w:val="20"/>
                <w:szCs w:val="20"/>
                <w:color w:val="auto"/>
              </w:rPr>
              <w:t>19.63</w:t>
            </w:r>
          </w:p>
        </w:tc>
        <w:tc>
          <w:tcPr>
            <w:tcW w:w="30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2,954,339</w:t>
            </w:r>
          </w:p>
        </w:tc>
        <w:tc>
          <w:tcPr>
            <w:tcW w:w="580" w:type="dxa"/>
            <w:vAlign w:val="bottom"/>
            <w:tcBorders>
              <w:bottom w:val="single" w:sz="8" w:color="E5E5E5"/>
            </w:tcBorders>
            <w:gridSpan w:val="4"/>
          </w:tcPr>
          <w:p>
            <w:pPr>
              <w:jc w:val="right"/>
              <w:ind w:right="60"/>
              <w:spacing w:after="0"/>
              <w:rPr>
                <w:sz w:val="20"/>
                <w:szCs w:val="20"/>
                <w:color w:val="auto"/>
              </w:rPr>
            </w:pPr>
            <w:r>
              <w:rPr>
                <w:rFonts w:ascii="Calibri" w:cs="Calibri" w:eastAsia="Calibri" w:hAnsi="Calibri"/>
                <w:sz w:val="20"/>
                <w:szCs w:val="20"/>
                <w:color w:val="auto"/>
              </w:rPr>
              <w:t>$</w:t>
            </w:r>
          </w:p>
        </w:tc>
        <w:tc>
          <w:tcPr>
            <w:tcW w:w="1200" w:type="dxa"/>
            <w:vAlign w:val="bottom"/>
            <w:tcBorders>
              <w:bottom w:val="single" w:sz="8" w:color="E5E5E5"/>
            </w:tcBorders>
          </w:tcPr>
          <w:p>
            <w:pPr>
              <w:jc w:val="right"/>
              <w:spacing w:after="0"/>
              <w:rPr>
                <w:sz w:val="20"/>
                <w:szCs w:val="20"/>
                <w:color w:val="auto"/>
              </w:rPr>
            </w:pPr>
            <w:r>
              <w:rPr>
                <w:rFonts w:ascii="Calibri" w:cs="Calibri" w:eastAsia="Calibri" w:hAnsi="Calibri"/>
                <w:sz w:val="20"/>
                <w:szCs w:val="20"/>
                <w:color w:val="auto"/>
              </w:rPr>
              <w:t>19.63</w:t>
            </w:r>
          </w:p>
        </w:tc>
        <w:tc>
          <w:tcPr>
            <w:tcW w:w="0" w:type="dxa"/>
            <w:vAlign w:val="bottom"/>
          </w:tcPr>
          <w:p>
            <w:pPr>
              <w:spacing w:after="0"/>
              <w:rPr>
                <w:sz w:val="1"/>
                <w:szCs w:val="1"/>
                <w:color w:val="auto"/>
              </w:rPr>
            </w:pPr>
          </w:p>
        </w:tc>
      </w:tr>
      <w:tr>
        <w:trPr>
          <w:trHeight w:val="243"/>
        </w:trPr>
        <w:tc>
          <w:tcPr>
            <w:tcW w:w="280" w:type="dxa"/>
            <w:vAlign w:val="bottom"/>
            <w:shd w:val="clear" w:color="auto" w:fill="E5E5E5"/>
          </w:tcPr>
          <w:p>
            <w:pPr>
              <w:spacing w:after="0"/>
              <w:rPr>
                <w:sz w:val="21"/>
                <w:szCs w:val="21"/>
                <w:color w:val="auto"/>
              </w:rPr>
            </w:pPr>
          </w:p>
        </w:tc>
        <w:tc>
          <w:tcPr>
            <w:tcW w:w="860" w:type="dxa"/>
            <w:vAlign w:val="bottom"/>
            <w:shd w:val="clear" w:color="auto" w:fill="E5E5E5"/>
          </w:tcPr>
          <w:p>
            <w:pPr>
              <w:spacing w:after="0"/>
              <w:rPr>
                <w:sz w:val="21"/>
                <w:szCs w:val="21"/>
                <w:color w:val="auto"/>
              </w:rPr>
            </w:pPr>
          </w:p>
        </w:tc>
        <w:tc>
          <w:tcPr>
            <w:tcW w:w="220" w:type="dxa"/>
            <w:vAlign w:val="bottom"/>
            <w:shd w:val="clear" w:color="auto" w:fill="E5E5E5"/>
          </w:tcPr>
          <w:p>
            <w:pPr>
              <w:spacing w:after="0"/>
              <w:rPr>
                <w:sz w:val="21"/>
                <w:szCs w:val="21"/>
                <w:color w:val="auto"/>
              </w:rPr>
            </w:pPr>
          </w:p>
        </w:tc>
        <w:tc>
          <w:tcPr>
            <w:tcW w:w="400" w:type="dxa"/>
            <w:vAlign w:val="bottom"/>
            <w:shd w:val="clear" w:color="auto" w:fill="E5E5E5"/>
          </w:tcPr>
          <w:p>
            <w:pPr>
              <w:spacing w:after="0"/>
              <w:rPr>
                <w:sz w:val="21"/>
                <w:szCs w:val="21"/>
                <w:color w:val="auto"/>
              </w:rPr>
            </w:pPr>
          </w:p>
        </w:tc>
        <w:tc>
          <w:tcPr>
            <w:tcW w:w="76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20" w:type="dxa"/>
            <w:vAlign w:val="bottom"/>
            <w:tcBorders>
              <w:bottom w:val="single" w:sz="8" w:color="auto"/>
            </w:tcBorders>
            <w:shd w:val="clear" w:color="auto" w:fill="E5E5E5"/>
          </w:tcPr>
          <w:p>
            <w:pPr>
              <w:spacing w:after="0"/>
              <w:rPr>
                <w:sz w:val="21"/>
                <w:szCs w:val="21"/>
                <w:color w:val="auto"/>
              </w:rPr>
            </w:pPr>
          </w:p>
        </w:tc>
        <w:tc>
          <w:tcPr>
            <w:tcW w:w="1260" w:type="dxa"/>
            <w:vAlign w:val="bottom"/>
            <w:tcBorders>
              <w:bottom w:val="single" w:sz="8" w:color="auto"/>
            </w:tcBorders>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29,249,413</w:t>
            </w:r>
          </w:p>
        </w:tc>
        <w:tc>
          <w:tcPr>
            <w:tcW w:w="1820" w:type="dxa"/>
            <w:vAlign w:val="bottom"/>
            <w:gridSpan w:val="2"/>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5.7</w:t>
            </w:r>
          </w:p>
        </w:tc>
        <w:tc>
          <w:tcPr>
            <w:tcW w:w="520" w:type="dxa"/>
            <w:vAlign w:val="bottom"/>
            <w:gridSpan w:val="2"/>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w:t>
            </w:r>
          </w:p>
        </w:tc>
        <w:tc>
          <w:tcPr>
            <w:tcW w:w="112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7.59</w:t>
            </w:r>
          </w:p>
        </w:tc>
        <w:tc>
          <w:tcPr>
            <w:tcW w:w="300" w:type="dxa"/>
            <w:vAlign w:val="bottom"/>
            <w:shd w:val="clear" w:color="auto" w:fill="E5E5E5"/>
          </w:tcPr>
          <w:p>
            <w:pPr>
              <w:spacing w:after="0"/>
              <w:rPr>
                <w:sz w:val="21"/>
                <w:szCs w:val="21"/>
                <w:color w:val="auto"/>
              </w:rPr>
            </w:pPr>
          </w:p>
        </w:tc>
        <w:tc>
          <w:tcPr>
            <w:tcW w:w="20" w:type="dxa"/>
            <w:vAlign w:val="bottom"/>
            <w:tcBorders>
              <w:bottom w:val="single" w:sz="8" w:color="auto"/>
            </w:tcBorders>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1200" w:type="dxa"/>
            <w:vAlign w:val="bottom"/>
            <w:tcBorders>
              <w:bottom w:val="single" w:sz="8" w:color="auto"/>
            </w:tcBorders>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18,237,402</w:t>
            </w:r>
          </w:p>
        </w:tc>
        <w:tc>
          <w:tcPr>
            <w:tcW w:w="580" w:type="dxa"/>
            <w:vAlign w:val="bottom"/>
            <w:gridSpan w:val="4"/>
            <w:shd w:val="clear" w:color="auto" w:fill="E5E5E5"/>
          </w:tcPr>
          <w:p>
            <w:pPr>
              <w:jc w:val="right"/>
              <w:ind w:right="60"/>
              <w:spacing w:after="0" w:line="233" w:lineRule="exact"/>
              <w:rPr>
                <w:sz w:val="20"/>
                <w:szCs w:val="20"/>
                <w:color w:val="auto"/>
              </w:rPr>
            </w:pPr>
            <w:r>
              <w:rPr>
                <w:rFonts w:ascii="Calibri" w:cs="Calibri" w:eastAsia="Calibri" w:hAnsi="Calibri"/>
                <w:sz w:val="20"/>
                <w:szCs w:val="20"/>
                <w:color w:val="auto"/>
              </w:rPr>
              <w:t>$</w:t>
            </w:r>
          </w:p>
        </w:tc>
        <w:tc>
          <w:tcPr>
            <w:tcW w:w="1200" w:type="dxa"/>
            <w:vAlign w:val="bottom"/>
            <w:shd w:val="clear" w:color="auto" w:fill="E5E5E5"/>
          </w:tcPr>
          <w:p>
            <w:pPr>
              <w:jc w:val="right"/>
              <w:spacing w:after="0" w:line="233" w:lineRule="exact"/>
              <w:rPr>
                <w:sz w:val="20"/>
                <w:szCs w:val="20"/>
                <w:color w:val="auto"/>
              </w:rPr>
            </w:pPr>
            <w:r>
              <w:rPr>
                <w:rFonts w:ascii="Calibri" w:cs="Calibri" w:eastAsia="Calibri" w:hAnsi="Calibri"/>
                <w:sz w:val="20"/>
                <w:szCs w:val="20"/>
                <w:color w:val="auto"/>
              </w:rPr>
              <w:t>10.91</w:t>
            </w:r>
          </w:p>
        </w:tc>
        <w:tc>
          <w:tcPr>
            <w:tcW w:w="0" w:type="dxa"/>
            <w:vAlign w:val="bottom"/>
          </w:tcPr>
          <w:p>
            <w:pPr>
              <w:spacing w:after="0"/>
              <w:rPr>
                <w:sz w:val="1"/>
                <w:szCs w:val="1"/>
                <w:color w:val="auto"/>
              </w:rPr>
            </w:pPr>
          </w:p>
        </w:tc>
      </w:tr>
      <w:tr>
        <w:trPr>
          <w:trHeight w:val="498"/>
        </w:trPr>
        <w:tc>
          <w:tcPr>
            <w:tcW w:w="280" w:type="dxa"/>
            <w:vAlign w:val="bottom"/>
          </w:tcPr>
          <w:p>
            <w:pPr>
              <w:spacing w:after="0"/>
              <w:rPr>
                <w:sz w:val="24"/>
                <w:szCs w:val="24"/>
                <w:color w:val="auto"/>
              </w:rPr>
            </w:pPr>
          </w:p>
        </w:tc>
        <w:tc>
          <w:tcPr>
            <w:tcW w:w="5640" w:type="dxa"/>
            <w:vAlign w:val="bottom"/>
            <w:gridSpan w:val="9"/>
          </w:tcPr>
          <w:p>
            <w:pPr>
              <w:jc w:val="right"/>
              <w:ind w:right="240"/>
              <w:spacing w:after="0"/>
              <w:rPr>
                <w:sz w:val="20"/>
                <w:szCs w:val="20"/>
                <w:color w:val="auto"/>
              </w:rPr>
            </w:pPr>
            <w:r>
              <w:rPr>
                <w:rFonts w:ascii="Calibri" w:cs="Calibri" w:eastAsia="Calibri" w:hAnsi="Calibri"/>
                <w:sz w:val="20"/>
                <w:szCs w:val="20"/>
                <w:color w:val="auto"/>
              </w:rPr>
              <w:t>Additional information on options is summarized as follows: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920" w:type="dxa"/>
            <w:vAlign w:val="bottom"/>
            <w:gridSpan w:val="10"/>
            <w:vMerge w:val="restart"/>
          </w:tcPr>
          <w:p>
            <w:pPr>
              <w:spacing w:after="0"/>
              <w:rPr>
                <w:sz w:val="20"/>
                <w:szCs w:val="20"/>
                <w:color w:val="auto"/>
              </w:rPr>
            </w:pPr>
            <w:r>
              <w:rPr>
                <w:rFonts w:ascii="Calibri" w:cs="Calibri" w:eastAsia="Calibri" w:hAnsi="Calibri"/>
                <w:sz w:val="16"/>
                <w:szCs w:val="16"/>
                <w:b w:val="1"/>
                <w:bCs w:val="1"/>
                <w:color w:val="auto"/>
              </w:rPr>
              <w:t>(in thousands, except weighted-average grant-date fair value per share)</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627"/>
              <w:spacing w:after="0"/>
              <w:rPr>
                <w:sz w:val="20"/>
                <w:szCs w:val="20"/>
                <w:color w:val="auto"/>
              </w:rPr>
            </w:pPr>
            <w:r>
              <w:rPr>
                <w:rFonts w:ascii="Calibri" w:cs="Calibri" w:eastAsia="Calibri" w:hAnsi="Calibri"/>
                <w:sz w:val="16"/>
                <w:szCs w:val="16"/>
                <w:b w:val="1"/>
                <w:bCs w:val="1"/>
                <w:color w:val="auto"/>
              </w:rPr>
              <w:t>Year Ended December 31,</w:t>
            </w:r>
          </w:p>
        </w:tc>
        <w:tc>
          <w:tcPr>
            <w:tcW w:w="0" w:type="dxa"/>
            <w:vAlign w:val="bottom"/>
          </w:tcPr>
          <w:p>
            <w:pPr>
              <w:spacing w:after="0"/>
              <w:rPr>
                <w:sz w:val="1"/>
                <w:szCs w:val="1"/>
                <w:color w:val="auto"/>
              </w:rPr>
            </w:pPr>
          </w:p>
        </w:tc>
      </w:tr>
      <w:tr>
        <w:trPr>
          <w:trHeight w:val="186"/>
        </w:trPr>
        <w:tc>
          <w:tcPr>
            <w:tcW w:w="5920" w:type="dxa"/>
            <w:vAlign w:val="bottom"/>
            <w:tcBorders>
              <w:bottom w:val="single" w:sz="8" w:color="E5E5E5"/>
            </w:tcBorders>
            <w:gridSpan w:val="10"/>
            <w:vMerge w:val="continue"/>
          </w:tcPr>
          <w:p>
            <w:pPr>
              <w:spacing w:after="0"/>
              <w:rPr>
                <w:sz w:val="16"/>
                <w:szCs w:val="16"/>
                <w:color w:val="auto"/>
              </w:rPr>
            </w:pPr>
          </w:p>
        </w:tc>
        <w:tc>
          <w:tcPr>
            <w:tcW w:w="320" w:type="dxa"/>
            <w:vAlign w:val="bottom"/>
            <w:tcBorders>
              <w:bottom w:val="single" w:sz="8" w:color="E5E5E5"/>
            </w:tcBorders>
          </w:tcPr>
          <w:p>
            <w:pPr>
              <w:spacing w:after="0"/>
              <w:rPr>
                <w:sz w:val="16"/>
                <w:szCs w:val="16"/>
                <w:color w:val="auto"/>
              </w:rPr>
            </w:pPr>
          </w:p>
        </w:tc>
        <w:tc>
          <w:tcPr>
            <w:tcW w:w="200" w:type="dxa"/>
            <w:vAlign w:val="bottom"/>
            <w:tcBorders>
              <w:bottom w:val="single" w:sz="8" w:color="E5E5E5"/>
            </w:tcBorders>
          </w:tcPr>
          <w:p>
            <w:pPr>
              <w:spacing w:after="0"/>
              <w:rPr>
                <w:sz w:val="16"/>
                <w:szCs w:val="16"/>
                <w:color w:val="auto"/>
              </w:rPr>
            </w:pPr>
          </w:p>
        </w:tc>
        <w:tc>
          <w:tcPr>
            <w:tcW w:w="1120" w:type="dxa"/>
            <w:vAlign w:val="bottom"/>
            <w:tcBorders>
              <w:bottom w:val="single" w:sz="8" w:color="E5E5E5"/>
            </w:tcBorders>
          </w:tcPr>
          <w:p>
            <w:pPr>
              <w:spacing w:after="0"/>
              <w:rPr>
                <w:sz w:val="16"/>
                <w:szCs w:val="16"/>
                <w:color w:val="auto"/>
              </w:rPr>
            </w:pPr>
          </w:p>
        </w:tc>
        <w:tc>
          <w:tcPr>
            <w:tcW w:w="30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4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07"/>
              <w:spacing w:after="0" w:line="187" w:lineRule="exact"/>
              <w:rPr>
                <w:sz w:val="20"/>
                <w:szCs w:val="20"/>
                <w:color w:val="auto"/>
              </w:rPr>
            </w:pPr>
            <w:r>
              <w:rPr>
                <w:rFonts w:ascii="Calibri" w:cs="Calibri" w:eastAsia="Calibri" w:hAnsi="Calibri"/>
                <w:sz w:val="16"/>
                <w:szCs w:val="16"/>
                <w:b w:val="1"/>
                <w:bCs w:val="1"/>
                <w:color w:val="auto"/>
              </w:rPr>
              <w:t>2025</w:t>
            </w: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E5E5E5"/>
            </w:tcBorders>
          </w:tcPr>
          <w:p>
            <w:pPr>
              <w:spacing w:after="0"/>
              <w:rPr>
                <w:sz w:val="16"/>
                <w:szCs w:val="16"/>
                <w:color w:val="auto"/>
              </w:rPr>
            </w:pPr>
          </w:p>
        </w:tc>
        <w:tc>
          <w:tcPr>
            <w:tcW w:w="40" w:type="dxa"/>
            <w:vAlign w:val="bottom"/>
            <w:tcBorders>
              <w:bottom w:val="single" w:sz="8" w:color="E5E5E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7"/>
              <w:spacing w:after="0" w:line="187" w:lineRule="exact"/>
              <w:rPr>
                <w:sz w:val="20"/>
                <w:szCs w:val="20"/>
                <w:color w:val="auto"/>
              </w:rPr>
            </w:pPr>
            <w:r>
              <w:rPr>
                <w:rFonts w:ascii="Calibri" w:cs="Calibri" w:eastAsia="Calibri" w:hAnsi="Calibri"/>
                <w:sz w:val="16"/>
                <w:szCs w:val="16"/>
                <w:b w:val="1"/>
                <w:bCs w:val="1"/>
                <w:color w:val="auto"/>
                <w:w w:val="98"/>
              </w:rPr>
              <w:t>2024</w:t>
            </w:r>
          </w:p>
        </w:tc>
        <w:tc>
          <w:tcPr>
            <w:tcW w:w="0" w:type="dxa"/>
            <w:vAlign w:val="bottom"/>
          </w:tcPr>
          <w:p>
            <w:pPr>
              <w:spacing w:after="0"/>
              <w:rPr>
                <w:sz w:val="1"/>
                <w:szCs w:val="1"/>
                <w:color w:val="auto"/>
              </w:rPr>
            </w:pPr>
          </w:p>
        </w:tc>
      </w:tr>
      <w:tr>
        <w:trPr>
          <w:trHeight w:val="234"/>
        </w:trPr>
        <w:tc>
          <w:tcPr>
            <w:tcW w:w="4100" w:type="dxa"/>
            <w:vAlign w:val="bottom"/>
            <w:gridSpan w:val="8"/>
            <w:shd w:val="clear" w:color="auto" w:fill="E5E5E5"/>
          </w:tcPr>
          <w:p>
            <w:pPr>
              <w:spacing w:after="0" w:line="234" w:lineRule="exact"/>
              <w:rPr>
                <w:sz w:val="20"/>
                <w:szCs w:val="20"/>
                <w:color w:val="auto"/>
              </w:rPr>
            </w:pPr>
            <w:r>
              <w:rPr>
                <w:rFonts w:ascii="Calibri" w:cs="Calibri" w:eastAsia="Calibri" w:hAnsi="Calibri"/>
                <w:sz w:val="20"/>
                <w:szCs w:val="20"/>
                <w:color w:val="auto"/>
              </w:rPr>
              <w:t>Total intrinsic value of options exercised</w:t>
            </w:r>
          </w:p>
        </w:tc>
        <w:tc>
          <w:tcPr>
            <w:tcW w:w="320" w:type="dxa"/>
            <w:vAlign w:val="bottom"/>
            <w:shd w:val="clear" w:color="auto" w:fill="E5E5E5"/>
          </w:tcPr>
          <w:p>
            <w:pPr>
              <w:spacing w:after="0"/>
              <w:rPr>
                <w:sz w:val="20"/>
                <w:szCs w:val="20"/>
                <w:color w:val="auto"/>
              </w:rPr>
            </w:pPr>
          </w:p>
        </w:tc>
        <w:tc>
          <w:tcPr>
            <w:tcW w:w="150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1120" w:type="dxa"/>
            <w:vAlign w:val="bottom"/>
            <w:shd w:val="clear" w:color="auto" w:fill="E5E5E5"/>
          </w:tcPr>
          <w:p>
            <w:pPr>
              <w:spacing w:after="0"/>
              <w:rPr>
                <w:sz w:val="20"/>
                <w:szCs w:val="20"/>
                <w:color w:val="auto"/>
              </w:rPr>
            </w:pPr>
          </w:p>
        </w:tc>
        <w:tc>
          <w:tcPr>
            <w:tcW w:w="460" w:type="dxa"/>
            <w:vAlign w:val="bottom"/>
            <w:gridSpan w:val="3"/>
            <w:shd w:val="clear" w:color="auto" w:fill="E5E5E5"/>
          </w:tcPr>
          <w:p>
            <w:pPr>
              <w:spacing w:after="0"/>
              <w:rPr>
                <w:sz w:val="20"/>
                <w:szCs w:val="20"/>
                <w:color w:val="auto"/>
              </w:rPr>
            </w:pPr>
          </w:p>
        </w:tc>
        <w:tc>
          <w:tcPr>
            <w:tcW w:w="16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120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18</w:t>
            </w:r>
          </w:p>
        </w:tc>
        <w:tc>
          <w:tcPr>
            <w:tcW w:w="40" w:type="dxa"/>
            <w:vAlign w:val="bottom"/>
            <w:shd w:val="clear" w:color="auto" w:fill="E5E5E5"/>
          </w:tcPr>
          <w:p>
            <w:pPr>
              <w:spacing w:after="0"/>
              <w:rPr>
                <w:sz w:val="20"/>
                <w:szCs w:val="20"/>
                <w:color w:val="auto"/>
              </w:rPr>
            </w:pPr>
          </w:p>
        </w:tc>
        <w:tc>
          <w:tcPr>
            <w:tcW w:w="320" w:type="dxa"/>
            <w:vAlign w:val="bottom"/>
            <w:gridSpan w:val="2"/>
            <w:shd w:val="clear" w:color="auto" w:fill="E5E5E5"/>
          </w:tcPr>
          <w:p>
            <w:pPr>
              <w:spacing w:after="0"/>
              <w:rPr>
                <w:sz w:val="20"/>
                <w:szCs w:val="20"/>
                <w:color w:val="auto"/>
              </w:rPr>
            </w:pPr>
          </w:p>
        </w:tc>
        <w:tc>
          <w:tcPr>
            <w:tcW w:w="220" w:type="dxa"/>
            <w:vAlign w:val="bottom"/>
            <w:shd w:val="clear" w:color="auto" w:fill="E5E5E5"/>
          </w:tcPr>
          <w:p>
            <w:pPr>
              <w:jc w:val="right"/>
              <w:ind w:right="20"/>
              <w:spacing w:after="0" w:line="234" w:lineRule="exact"/>
              <w:rPr>
                <w:sz w:val="20"/>
                <w:szCs w:val="20"/>
                <w:color w:val="auto"/>
              </w:rPr>
            </w:pPr>
            <w:r>
              <w:rPr>
                <w:rFonts w:ascii="Calibri" w:cs="Calibri" w:eastAsia="Calibri" w:hAnsi="Calibri"/>
                <w:sz w:val="20"/>
                <w:szCs w:val="20"/>
                <w:color w:val="auto"/>
                <w:w w:val="78"/>
              </w:rPr>
              <w:t>$</w:t>
            </w:r>
          </w:p>
        </w:tc>
        <w:tc>
          <w:tcPr>
            <w:tcW w:w="120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110</w:t>
            </w:r>
          </w:p>
        </w:tc>
        <w:tc>
          <w:tcPr>
            <w:tcW w:w="0" w:type="dxa"/>
            <w:vAlign w:val="bottom"/>
          </w:tcPr>
          <w:p>
            <w:pPr>
              <w:spacing w:after="0"/>
              <w:rPr>
                <w:sz w:val="1"/>
                <w:szCs w:val="1"/>
                <w:color w:val="auto"/>
              </w:rPr>
            </w:pPr>
          </w:p>
        </w:tc>
      </w:tr>
      <w:tr>
        <w:trPr>
          <w:trHeight w:val="245"/>
        </w:trPr>
        <w:tc>
          <w:tcPr>
            <w:tcW w:w="4100" w:type="dxa"/>
            <w:vAlign w:val="bottom"/>
            <w:gridSpan w:val="8"/>
          </w:tcPr>
          <w:p>
            <w:pPr>
              <w:spacing w:after="0"/>
              <w:rPr>
                <w:sz w:val="20"/>
                <w:szCs w:val="20"/>
                <w:color w:val="auto"/>
              </w:rPr>
            </w:pPr>
            <w:r>
              <w:rPr>
                <w:rFonts w:ascii="Calibri" w:cs="Calibri" w:eastAsia="Calibri" w:hAnsi="Calibri"/>
                <w:sz w:val="20"/>
                <w:szCs w:val="20"/>
                <w:color w:val="auto"/>
              </w:rPr>
              <w:t>Total grant date fair value of options vested</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Calibri" w:cs="Calibri" w:eastAsia="Calibri" w:hAnsi="Calibri"/>
                <w:sz w:val="20"/>
                <w:szCs w:val="20"/>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color w:val="auto"/>
              </w:rPr>
              <w:t>15,891</w:t>
            </w:r>
          </w:p>
        </w:tc>
        <w:tc>
          <w:tcPr>
            <w:tcW w:w="40" w:type="dxa"/>
            <w:vAlign w:val="bottom"/>
          </w:tcPr>
          <w:p>
            <w:pPr>
              <w:spacing w:after="0"/>
              <w:rPr>
                <w:sz w:val="21"/>
                <w:szCs w:val="21"/>
                <w:color w:val="auto"/>
              </w:rPr>
            </w:pPr>
          </w:p>
        </w:tc>
        <w:tc>
          <w:tcPr>
            <w:tcW w:w="540" w:type="dxa"/>
            <w:vAlign w:val="bottom"/>
            <w:gridSpan w:val="3"/>
          </w:tcPr>
          <w:p>
            <w:pPr>
              <w:jc w:val="right"/>
              <w:ind w:right="20"/>
              <w:spacing w:after="0"/>
              <w:rPr>
                <w:sz w:val="20"/>
                <w:szCs w:val="20"/>
                <w:color w:val="auto"/>
              </w:rPr>
            </w:pPr>
            <w:r>
              <w:rPr>
                <w:rFonts w:ascii="Calibri" w:cs="Calibri" w:eastAsia="Calibri" w:hAnsi="Calibri"/>
                <w:sz w:val="20"/>
                <w:szCs w:val="20"/>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color w:val="auto"/>
              </w:rPr>
              <w:t>22,778</w:t>
            </w:r>
          </w:p>
        </w:tc>
        <w:tc>
          <w:tcPr>
            <w:tcW w:w="0" w:type="dxa"/>
            <w:vAlign w:val="bottom"/>
          </w:tcPr>
          <w:p>
            <w:pPr>
              <w:spacing w:after="0"/>
              <w:rPr>
                <w:sz w:val="1"/>
                <w:szCs w:val="1"/>
                <w:color w:val="auto"/>
              </w:rPr>
            </w:pPr>
          </w:p>
        </w:tc>
      </w:tr>
      <w:tr>
        <w:trPr>
          <w:trHeight w:val="246"/>
        </w:trPr>
        <w:tc>
          <w:tcPr>
            <w:tcW w:w="5920" w:type="dxa"/>
            <w:vAlign w:val="bottom"/>
            <w:gridSpan w:val="10"/>
            <w:shd w:val="clear" w:color="auto" w:fill="E5E5E5"/>
          </w:tcPr>
          <w:p>
            <w:pPr>
              <w:spacing w:after="0"/>
              <w:rPr>
                <w:sz w:val="20"/>
                <w:szCs w:val="20"/>
                <w:color w:val="auto"/>
              </w:rPr>
            </w:pPr>
            <w:r>
              <w:rPr>
                <w:rFonts w:ascii="Calibri" w:cs="Calibri" w:eastAsia="Calibri" w:hAnsi="Calibri"/>
                <w:sz w:val="20"/>
                <w:szCs w:val="20"/>
                <w:color w:val="auto"/>
              </w:rPr>
              <w:t>Weighted-average grant date fair value per share of options granted</w:t>
            </w:r>
          </w:p>
        </w:tc>
        <w:tc>
          <w:tcPr>
            <w:tcW w:w="32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1120" w:type="dxa"/>
            <w:vAlign w:val="bottom"/>
            <w:shd w:val="clear" w:color="auto" w:fill="E5E5E5"/>
          </w:tcPr>
          <w:p>
            <w:pPr>
              <w:spacing w:after="0"/>
              <w:rPr>
                <w:sz w:val="21"/>
                <w:szCs w:val="21"/>
                <w:color w:val="auto"/>
              </w:rPr>
            </w:pPr>
          </w:p>
        </w:tc>
        <w:tc>
          <w:tcPr>
            <w:tcW w:w="620" w:type="dxa"/>
            <w:vAlign w:val="bottom"/>
            <w:gridSpan w:val="4"/>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12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0.86</w:t>
            </w:r>
          </w:p>
        </w:tc>
        <w:tc>
          <w:tcPr>
            <w:tcW w:w="40" w:type="dxa"/>
            <w:vAlign w:val="bottom"/>
            <w:shd w:val="clear" w:color="auto" w:fill="E5E5E5"/>
          </w:tcPr>
          <w:p>
            <w:pPr>
              <w:spacing w:after="0"/>
              <w:rPr>
                <w:sz w:val="21"/>
                <w:szCs w:val="21"/>
                <w:color w:val="auto"/>
              </w:rPr>
            </w:pPr>
          </w:p>
        </w:tc>
        <w:tc>
          <w:tcPr>
            <w:tcW w:w="540" w:type="dxa"/>
            <w:vAlign w:val="bottom"/>
            <w:gridSpan w:val="3"/>
            <w:shd w:val="clear" w:color="auto" w:fill="E5E5E5"/>
          </w:tcPr>
          <w:p>
            <w:pPr>
              <w:jc w:val="right"/>
              <w:ind w:right="20"/>
              <w:spacing w:after="0"/>
              <w:rPr>
                <w:sz w:val="20"/>
                <w:szCs w:val="20"/>
                <w:color w:val="auto"/>
              </w:rPr>
            </w:pPr>
            <w:r>
              <w:rPr>
                <w:rFonts w:ascii="Calibri" w:cs="Calibri" w:eastAsia="Calibri" w:hAnsi="Calibri"/>
                <w:sz w:val="20"/>
                <w:szCs w:val="20"/>
                <w:color w:val="auto"/>
              </w:rPr>
              <w:t>$</w:t>
            </w:r>
          </w:p>
        </w:tc>
        <w:tc>
          <w:tcPr>
            <w:tcW w:w="12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1.49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720"/>
        <w:spacing w:after="0" w:line="263" w:lineRule="auto"/>
        <w:rPr>
          <w:sz w:val="20"/>
          <w:szCs w:val="20"/>
          <w:color w:val="auto"/>
        </w:rPr>
      </w:pPr>
      <w:r>
        <w:rPr>
          <w:rFonts w:ascii="Calibri" w:cs="Calibri" w:eastAsia="Calibri" w:hAnsi="Calibri"/>
          <w:sz w:val="20"/>
          <w:szCs w:val="20"/>
          <w:color w:val="auto"/>
        </w:rPr>
        <w:t>As of December 31, 2025, unrecognized stock-based compensation expense related to unvested stock options was $10.7 million, which is expected to be recognized over a weighted-average period of 2.7 years.</w:t>
      </w:r>
    </w:p>
    <w:p>
      <w:pPr>
        <w:spacing w:after="0" w:line="19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Restricted Stock Units (“RSUs”)</w:t>
      </w:r>
    </w:p>
    <w:p>
      <w:pPr>
        <w:spacing w:after="0" w:line="240"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The Company grants RSUs from time to time primarily to its employees. The fair value of each RSU is the closing price of the Company’s common stock on the date of grant. RSUs are share awards that entitle the holder to receive freely tradable shares of the Company’s common stock upon vesting. The RSUs cannot be transferred and are subject to forfeiture if the holder’s employment terminates prior to the release of the vesting restrictions. The Company’s RSUs generally vest over one to three years from the applicable grant date, provided the employee remains continuously employed with the Company. No RSU’s were issued in 2025.</w:t>
      </w:r>
    </w:p>
    <w:p>
      <w:pPr>
        <w:sectPr>
          <w:pgSz w:w="12240" w:h="15840" w:orient="portrait"/>
          <w:cols w:equalWidth="0" w:num="1">
            <w:col w:w="11160"/>
          </w:cols>
          <w:pgMar w:left="540" w:top="53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108</w:t>
      </w:r>
    </w:p>
    <w:p>
      <w:pPr>
        <w:sectPr>
          <w:pgSz w:w="12240" w:h="15840" w:orient="portrait"/>
          <w:cols w:equalWidth="0" w:num="1">
            <w:col w:w="11160"/>
          </w:cols>
          <w:pgMar w:left="540" w:top="533" w:right="540" w:bottom="0" w:gutter="0" w:footer="0" w:header="0"/>
          <w:type w:val="continuous"/>
        </w:sectPr>
      </w:pPr>
    </w:p>
    <w:bookmarkStart w:id="110" w:name="page111"/>
    <w:bookmarkEnd w:id="110"/>
    <w:p>
      <w:pPr>
        <w:ind w:left="720"/>
        <w:spacing w:after="0"/>
        <w:rPr>
          <w:sz w:val="20"/>
          <w:szCs w:val="20"/>
          <w:color w:val="auto"/>
        </w:rPr>
      </w:pPr>
      <w:r>
        <w:rPr>
          <w:rFonts w:ascii="Calibri" w:cs="Calibri" w:eastAsia="Calibri" w:hAnsi="Calibri"/>
          <w:sz w:val="20"/>
          <w:szCs w:val="20"/>
          <w:color w:val="auto"/>
        </w:rPr>
        <w:t>The following table sets forth the summary of RSU activity:</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tcBorders>
              <w:bottom w:val="single" w:sz="8" w:color="auto"/>
            </w:tcBorders>
            <w:gridSpan w:val="7"/>
          </w:tcPr>
          <w:p>
            <w:pPr>
              <w:jc w:val="right"/>
              <w:ind w:right="745"/>
              <w:spacing w:after="0"/>
              <w:rPr>
                <w:sz w:val="20"/>
                <w:szCs w:val="20"/>
                <w:color w:val="auto"/>
              </w:rPr>
            </w:pPr>
            <w:r>
              <w:rPr>
                <w:rFonts w:ascii="Calibri" w:cs="Calibri" w:eastAsia="Calibri" w:hAnsi="Calibri"/>
                <w:sz w:val="16"/>
                <w:szCs w:val="16"/>
                <w:b w:val="1"/>
                <w:bCs w:val="1"/>
                <w:color w:val="auto"/>
              </w:rPr>
              <w:t>RSUs Outstanding</w:t>
            </w:r>
          </w:p>
        </w:tc>
        <w:tc>
          <w:tcPr>
            <w:tcW w:w="0" w:type="dxa"/>
            <w:vAlign w:val="bottom"/>
          </w:tcPr>
          <w:p>
            <w:pPr>
              <w:spacing w:after="0"/>
              <w:rPr>
                <w:sz w:val="1"/>
                <w:szCs w:val="1"/>
                <w:color w:val="auto"/>
              </w:rPr>
            </w:pPr>
          </w:p>
        </w:tc>
      </w:tr>
      <w:tr>
        <w:trPr>
          <w:trHeight w:val="172"/>
        </w:trPr>
        <w:tc>
          <w:tcPr>
            <w:tcW w:w="6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2"/>
          </w:tcPr>
          <w:p>
            <w:pPr>
              <w:jc w:val="center"/>
              <w:spacing w:after="0" w:line="172" w:lineRule="exact"/>
              <w:rPr>
                <w:sz w:val="20"/>
                <w:szCs w:val="20"/>
                <w:color w:val="auto"/>
              </w:rPr>
            </w:pPr>
            <w:r>
              <w:rPr>
                <w:rFonts w:ascii="Calibri" w:cs="Calibri" w:eastAsia="Calibri" w:hAnsi="Calibri"/>
                <w:sz w:val="16"/>
                <w:szCs w:val="16"/>
                <w:b w:val="1"/>
                <w:bCs w:val="1"/>
                <w:color w:val="auto"/>
                <w:w w:val="99"/>
              </w:rPr>
              <w:t>Weighted-Average</w:t>
            </w:r>
          </w:p>
        </w:tc>
        <w:tc>
          <w:tcPr>
            <w:tcW w:w="0" w:type="dxa"/>
            <w:vAlign w:val="bottom"/>
          </w:tcPr>
          <w:p>
            <w:pPr>
              <w:spacing w:after="0"/>
              <w:rPr>
                <w:sz w:val="1"/>
                <w:szCs w:val="1"/>
                <w:color w:val="auto"/>
              </w:rPr>
            </w:pPr>
          </w:p>
        </w:tc>
      </w:tr>
      <w:tr>
        <w:trPr>
          <w:trHeight w:val="194"/>
        </w:trPr>
        <w:tc>
          <w:tcPr>
            <w:tcW w:w="6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3"/>
          </w:tcPr>
          <w:p>
            <w:pPr>
              <w:ind w:left="240"/>
              <w:spacing w:after="0"/>
              <w:rPr>
                <w:sz w:val="20"/>
                <w:szCs w:val="20"/>
                <w:color w:val="auto"/>
              </w:rPr>
            </w:pPr>
            <w:r>
              <w:rPr>
                <w:rFonts w:ascii="Calibri" w:cs="Calibri" w:eastAsia="Calibri" w:hAnsi="Calibri"/>
                <w:sz w:val="16"/>
                <w:szCs w:val="16"/>
                <w:b w:val="1"/>
                <w:bCs w:val="1"/>
                <w:color w:val="auto"/>
              </w:rPr>
              <w:t>Number of</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85"/>
              <w:spacing w:after="0"/>
              <w:rPr>
                <w:sz w:val="20"/>
                <w:szCs w:val="20"/>
                <w:color w:val="auto"/>
              </w:rPr>
            </w:pPr>
            <w:r>
              <w:rPr>
                <w:rFonts w:ascii="Calibri" w:cs="Calibri" w:eastAsia="Calibri" w:hAnsi="Calibri"/>
                <w:sz w:val="16"/>
                <w:szCs w:val="16"/>
                <w:b w:val="1"/>
                <w:bCs w:val="1"/>
                <w:color w:val="auto"/>
              </w:rPr>
              <w:t>Grant Date Fair</w:t>
            </w:r>
          </w:p>
        </w:tc>
        <w:tc>
          <w:tcPr>
            <w:tcW w:w="0" w:type="dxa"/>
            <w:vAlign w:val="bottom"/>
          </w:tcPr>
          <w:p>
            <w:pPr>
              <w:spacing w:after="0"/>
              <w:rPr>
                <w:sz w:val="1"/>
                <w:szCs w:val="1"/>
                <w:color w:val="auto"/>
              </w:rPr>
            </w:pPr>
          </w:p>
        </w:tc>
      </w:tr>
      <w:tr>
        <w:trPr>
          <w:trHeight w:val="209"/>
        </w:trPr>
        <w:tc>
          <w:tcPr>
            <w:tcW w:w="6720" w:type="dxa"/>
            <w:vAlign w:val="bottom"/>
            <w:tcBorders>
              <w:bottom w:val="single" w:sz="8" w:color="E5E5E5"/>
            </w:tcBorders>
          </w:tcPr>
          <w:p>
            <w:pPr>
              <w:spacing w:after="0"/>
              <w:rPr>
                <w:sz w:val="18"/>
                <w:szCs w:val="18"/>
                <w:color w:val="auto"/>
              </w:rPr>
            </w:pPr>
          </w:p>
        </w:tc>
        <w:tc>
          <w:tcPr>
            <w:tcW w:w="1300" w:type="dxa"/>
            <w:vAlign w:val="bottom"/>
            <w:tcBorders>
              <w:bottom w:val="single" w:sz="8" w:color="E5E5E5"/>
            </w:tcBorders>
          </w:tcPr>
          <w:p>
            <w:pPr>
              <w:spacing w:after="0"/>
              <w:rPr>
                <w:sz w:val="18"/>
                <w:szCs w:val="18"/>
                <w:color w:val="auto"/>
              </w:rPr>
            </w:pPr>
          </w:p>
        </w:tc>
        <w:tc>
          <w:tcPr>
            <w:tcW w:w="280" w:type="dxa"/>
            <w:vAlign w:val="bottom"/>
            <w:tcBorders>
              <w:bottom w:val="single" w:sz="8" w:color="E5E5E5"/>
            </w:tcBorders>
          </w:tcPr>
          <w:p>
            <w:pPr>
              <w:spacing w:after="0"/>
              <w:rPr>
                <w:sz w:val="18"/>
                <w:szCs w:val="18"/>
                <w:color w:val="auto"/>
              </w:rPr>
            </w:pPr>
          </w:p>
        </w:tc>
        <w:tc>
          <w:tcPr>
            <w:tcW w:w="20" w:type="dxa"/>
            <w:vAlign w:val="bottom"/>
            <w:tcBorders>
              <w:bottom w:val="single" w:sz="8" w:color="E5E5E5"/>
            </w:tcBorders>
          </w:tcPr>
          <w:p>
            <w:pPr>
              <w:spacing w:after="0"/>
              <w:rPr>
                <w:sz w:val="18"/>
                <w:szCs w:val="18"/>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Calibri" w:cs="Calibri" w:eastAsia="Calibri" w:hAnsi="Calibri"/>
                <w:sz w:val="16"/>
                <w:szCs w:val="16"/>
                <w:b w:val="1"/>
                <w:bCs w:val="1"/>
                <w:color w:val="auto"/>
              </w:rPr>
              <w:t>RSUs</w:t>
            </w:r>
          </w:p>
        </w:tc>
        <w:tc>
          <w:tcPr>
            <w:tcW w:w="120" w:type="dxa"/>
            <w:vAlign w:val="bottom"/>
            <w:tcBorders>
              <w:bottom w:val="single" w:sz="8" w:color="E5E5E5"/>
            </w:tcBorders>
          </w:tcPr>
          <w:p>
            <w:pPr>
              <w:spacing w:after="0"/>
              <w:rPr>
                <w:sz w:val="18"/>
                <w:szCs w:val="18"/>
                <w:color w:val="auto"/>
              </w:rPr>
            </w:pPr>
          </w:p>
        </w:tc>
        <w:tc>
          <w:tcPr>
            <w:tcW w:w="100" w:type="dxa"/>
            <w:vAlign w:val="bottom"/>
            <w:tcBorders>
              <w:bottom w:val="single" w:sz="8" w:color="E5E5E5"/>
            </w:tcBorders>
          </w:tcPr>
          <w:p>
            <w:pPr>
              <w:spacing w:after="0"/>
              <w:rPr>
                <w:sz w:val="18"/>
                <w:szCs w:val="18"/>
                <w:color w:val="auto"/>
              </w:rPr>
            </w:pPr>
          </w:p>
        </w:tc>
        <w:tc>
          <w:tcPr>
            <w:tcW w:w="40" w:type="dxa"/>
            <w:vAlign w:val="bottom"/>
            <w:tcBorders>
              <w:bottom w:val="single" w:sz="8" w:color="E5E5E5"/>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45"/>
              <w:spacing w:after="0"/>
              <w:rPr>
                <w:sz w:val="20"/>
                <w:szCs w:val="20"/>
                <w:color w:val="auto"/>
              </w:rPr>
            </w:pPr>
            <w:r>
              <w:rPr>
                <w:rFonts w:ascii="Calibri" w:cs="Calibri" w:eastAsia="Calibri" w:hAnsi="Calibri"/>
                <w:sz w:val="16"/>
                <w:szCs w:val="16"/>
                <w:b w:val="1"/>
                <w:bCs w:val="1"/>
                <w:color w:val="auto"/>
              </w:rPr>
              <w:t>Value</w:t>
            </w:r>
          </w:p>
        </w:tc>
        <w:tc>
          <w:tcPr>
            <w:tcW w:w="0" w:type="dxa"/>
            <w:vAlign w:val="bottom"/>
          </w:tcPr>
          <w:p>
            <w:pPr>
              <w:spacing w:after="0"/>
              <w:rPr>
                <w:sz w:val="1"/>
                <w:szCs w:val="1"/>
                <w:color w:val="auto"/>
              </w:rPr>
            </w:pPr>
          </w:p>
        </w:tc>
      </w:tr>
      <w:tr>
        <w:trPr>
          <w:trHeight w:val="234"/>
        </w:trPr>
        <w:tc>
          <w:tcPr>
            <w:tcW w:w="672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Balances at December 31, 2024</w:t>
            </w:r>
          </w:p>
        </w:tc>
        <w:tc>
          <w:tcPr>
            <w:tcW w:w="1300" w:type="dxa"/>
            <w:vAlign w:val="bottom"/>
            <w:shd w:val="clear" w:color="auto" w:fill="E5E5E5"/>
          </w:tcPr>
          <w:p>
            <w:pPr>
              <w:spacing w:after="0"/>
              <w:rPr>
                <w:sz w:val="20"/>
                <w:szCs w:val="20"/>
                <w:color w:val="auto"/>
              </w:rPr>
            </w:pPr>
          </w:p>
        </w:tc>
        <w:tc>
          <w:tcPr>
            <w:tcW w:w="28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1200" w:type="dxa"/>
            <w:vAlign w:val="bottom"/>
            <w:gridSpan w:val="2"/>
            <w:shd w:val="clear" w:color="auto" w:fill="E5E5E5"/>
          </w:tcPr>
          <w:p>
            <w:pPr>
              <w:jc w:val="right"/>
              <w:ind w:right="60"/>
              <w:spacing w:after="0" w:line="234" w:lineRule="exact"/>
              <w:rPr>
                <w:sz w:val="20"/>
                <w:szCs w:val="20"/>
                <w:color w:val="auto"/>
              </w:rPr>
            </w:pPr>
            <w:r>
              <w:rPr>
                <w:rFonts w:ascii="Calibri" w:cs="Calibri" w:eastAsia="Calibri" w:hAnsi="Calibri"/>
                <w:sz w:val="20"/>
                <w:szCs w:val="20"/>
                <w:color w:val="auto"/>
              </w:rPr>
              <w:t>768,237</w:t>
            </w:r>
          </w:p>
        </w:tc>
        <w:tc>
          <w:tcPr>
            <w:tcW w:w="120" w:type="dxa"/>
            <w:vAlign w:val="bottom"/>
            <w:shd w:val="clear" w:color="auto" w:fill="E5E5E5"/>
          </w:tcPr>
          <w:p>
            <w:pPr>
              <w:spacing w:after="0"/>
              <w:rPr>
                <w:sz w:val="20"/>
                <w:szCs w:val="20"/>
                <w:color w:val="auto"/>
              </w:rPr>
            </w:pPr>
          </w:p>
        </w:tc>
        <w:tc>
          <w:tcPr>
            <w:tcW w:w="280" w:type="dxa"/>
            <w:vAlign w:val="bottom"/>
            <w:gridSpan w:val="3"/>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w:t>
            </w:r>
          </w:p>
        </w:tc>
        <w:tc>
          <w:tcPr>
            <w:tcW w:w="124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10.79</w:t>
            </w:r>
          </w:p>
        </w:tc>
        <w:tc>
          <w:tcPr>
            <w:tcW w:w="0" w:type="dxa"/>
            <w:vAlign w:val="bottom"/>
          </w:tcPr>
          <w:p>
            <w:pPr>
              <w:spacing w:after="0"/>
              <w:rPr>
                <w:sz w:val="1"/>
                <w:szCs w:val="1"/>
                <w:color w:val="auto"/>
              </w:rPr>
            </w:pPr>
          </w:p>
        </w:tc>
      </w:tr>
      <w:tr>
        <w:trPr>
          <w:trHeight w:val="245"/>
        </w:trPr>
        <w:tc>
          <w:tcPr>
            <w:tcW w:w="6720" w:type="dxa"/>
            <w:vAlign w:val="bottom"/>
          </w:tcPr>
          <w:p>
            <w:pPr>
              <w:ind w:left="120"/>
              <w:spacing w:after="0"/>
              <w:rPr>
                <w:sz w:val="20"/>
                <w:szCs w:val="20"/>
                <w:color w:val="auto"/>
              </w:rPr>
            </w:pPr>
            <w:r>
              <w:rPr>
                <w:rFonts w:ascii="Calibri" w:cs="Calibri" w:eastAsia="Calibri" w:hAnsi="Calibri"/>
                <w:sz w:val="20"/>
                <w:szCs w:val="20"/>
                <w:color w:val="auto"/>
              </w:rPr>
              <w:t>RSUs granted</w:t>
            </w: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3"/>
          </w:tcPr>
          <w:p>
            <w:pPr>
              <w:jc w:val="right"/>
              <w:ind w:right="180"/>
              <w:spacing w:after="0"/>
              <w:rPr>
                <w:sz w:val="20"/>
                <w:szCs w:val="20"/>
                <w:color w:val="auto"/>
              </w:rPr>
            </w:pPr>
            <w:r>
              <w:rPr>
                <w:rFonts w:ascii="Calibri" w:cs="Calibri" w:eastAsia="Calibri" w:hAnsi="Calibri"/>
                <w:sz w:val="20"/>
                <w:szCs w:val="20"/>
                <w:color w:val="auto"/>
              </w:rPr>
              <w:t>—</w:t>
            </w:r>
          </w:p>
        </w:tc>
        <w:tc>
          <w:tcPr>
            <w:tcW w:w="280" w:type="dxa"/>
            <w:vAlign w:val="bottom"/>
            <w:gridSpan w:val="3"/>
          </w:tcPr>
          <w:p>
            <w:pPr>
              <w:jc w:val="right"/>
              <w:spacing w:after="0"/>
              <w:rPr>
                <w:sz w:val="20"/>
                <w:szCs w:val="20"/>
                <w:color w:val="auto"/>
              </w:rPr>
            </w:pPr>
            <w:r>
              <w:rPr>
                <w:rFonts w:ascii="Calibri" w:cs="Calibri" w:eastAsia="Calibri" w:hAnsi="Calibri"/>
                <w:sz w:val="20"/>
                <w:szCs w:val="20"/>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0" w:type="dxa"/>
            <w:vAlign w:val="bottom"/>
          </w:tcPr>
          <w:p>
            <w:pPr>
              <w:spacing w:after="0"/>
              <w:rPr>
                <w:sz w:val="1"/>
                <w:szCs w:val="1"/>
                <w:color w:val="auto"/>
              </w:rPr>
            </w:pPr>
          </w:p>
        </w:tc>
      </w:tr>
      <w:tr>
        <w:trPr>
          <w:trHeight w:val="244"/>
        </w:trPr>
        <w:tc>
          <w:tcPr>
            <w:tcW w:w="672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RSUs vested</w:t>
            </w:r>
          </w:p>
        </w:tc>
        <w:tc>
          <w:tcPr>
            <w:tcW w:w="130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320" w:type="dxa"/>
            <w:vAlign w:val="bottom"/>
            <w:gridSpan w:val="3"/>
            <w:shd w:val="clear" w:color="auto" w:fill="E5E5E5"/>
          </w:tcPr>
          <w:p>
            <w:pPr>
              <w:jc w:val="right"/>
              <w:ind w:right="120"/>
              <w:spacing w:after="0"/>
              <w:rPr>
                <w:sz w:val="20"/>
                <w:szCs w:val="20"/>
                <w:color w:val="auto"/>
              </w:rPr>
            </w:pPr>
            <w:r>
              <w:rPr>
                <w:rFonts w:ascii="Calibri" w:cs="Calibri" w:eastAsia="Calibri" w:hAnsi="Calibri"/>
                <w:sz w:val="20"/>
                <w:szCs w:val="20"/>
                <w:color w:val="auto"/>
              </w:rPr>
              <w:t>(528,673)</w:t>
            </w:r>
          </w:p>
        </w:tc>
        <w:tc>
          <w:tcPr>
            <w:tcW w:w="280" w:type="dxa"/>
            <w:vAlign w:val="bottom"/>
            <w:gridSpan w:val="3"/>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12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11.59</w:t>
            </w:r>
          </w:p>
        </w:tc>
        <w:tc>
          <w:tcPr>
            <w:tcW w:w="0" w:type="dxa"/>
            <w:vAlign w:val="bottom"/>
          </w:tcPr>
          <w:p>
            <w:pPr>
              <w:spacing w:after="0"/>
              <w:rPr>
                <w:sz w:val="1"/>
                <w:szCs w:val="1"/>
                <w:color w:val="auto"/>
              </w:rPr>
            </w:pPr>
          </w:p>
        </w:tc>
      </w:tr>
      <w:tr>
        <w:trPr>
          <w:trHeight w:val="244"/>
        </w:trPr>
        <w:tc>
          <w:tcPr>
            <w:tcW w:w="6720" w:type="dxa"/>
            <w:vAlign w:val="bottom"/>
          </w:tcPr>
          <w:p>
            <w:pPr>
              <w:ind w:left="120"/>
              <w:spacing w:after="0"/>
              <w:rPr>
                <w:sz w:val="20"/>
                <w:szCs w:val="20"/>
                <w:color w:val="auto"/>
              </w:rPr>
            </w:pPr>
            <w:r>
              <w:rPr>
                <w:rFonts w:ascii="Calibri" w:cs="Calibri" w:eastAsia="Calibri" w:hAnsi="Calibri"/>
                <w:sz w:val="20"/>
                <w:szCs w:val="20"/>
                <w:color w:val="auto"/>
              </w:rPr>
              <w:t>RSUs canceled</w:t>
            </w: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3"/>
          </w:tcPr>
          <w:p>
            <w:pPr>
              <w:jc w:val="right"/>
              <w:ind w:right="120"/>
              <w:spacing w:after="0"/>
              <w:rPr>
                <w:sz w:val="20"/>
                <w:szCs w:val="20"/>
                <w:color w:val="auto"/>
              </w:rPr>
            </w:pPr>
            <w:r>
              <w:rPr>
                <w:rFonts w:ascii="Calibri" w:cs="Calibri" w:eastAsia="Calibri" w:hAnsi="Calibri"/>
                <w:sz w:val="20"/>
                <w:szCs w:val="20"/>
                <w:color w:val="auto"/>
              </w:rPr>
              <w:t>(51,007)</w:t>
            </w:r>
          </w:p>
        </w:tc>
        <w:tc>
          <w:tcPr>
            <w:tcW w:w="280" w:type="dxa"/>
            <w:vAlign w:val="bottom"/>
            <w:gridSpan w:val="3"/>
          </w:tcPr>
          <w:p>
            <w:pPr>
              <w:jc w:val="right"/>
              <w:spacing w:after="0"/>
              <w:rPr>
                <w:sz w:val="20"/>
                <w:szCs w:val="20"/>
                <w:color w:val="auto"/>
              </w:rPr>
            </w:pPr>
            <w:r>
              <w:rPr>
                <w:rFonts w:ascii="Calibri" w:cs="Calibri" w:eastAsia="Calibri" w:hAnsi="Calibri"/>
                <w:sz w:val="20"/>
                <w:szCs w:val="20"/>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color w:val="auto"/>
              </w:rPr>
              <w:t>9.01</w:t>
            </w:r>
          </w:p>
        </w:tc>
        <w:tc>
          <w:tcPr>
            <w:tcW w:w="0" w:type="dxa"/>
            <w:vAlign w:val="bottom"/>
          </w:tcPr>
          <w:p>
            <w:pPr>
              <w:spacing w:after="0"/>
              <w:rPr>
                <w:sz w:val="1"/>
                <w:szCs w:val="1"/>
                <w:color w:val="auto"/>
              </w:rPr>
            </w:pPr>
          </w:p>
        </w:tc>
      </w:tr>
      <w:tr>
        <w:trPr>
          <w:trHeight w:val="244"/>
        </w:trPr>
        <w:tc>
          <w:tcPr>
            <w:tcW w:w="6720" w:type="dxa"/>
            <w:vAlign w:val="bottom"/>
            <w:tcBorders>
              <w:top w:val="single" w:sz="8" w:color="E5E5E5"/>
            </w:tcBorders>
            <w:shd w:val="clear" w:color="auto" w:fill="E5E5E5"/>
          </w:tcPr>
          <w:p>
            <w:pPr>
              <w:spacing w:after="0" w:line="234" w:lineRule="exact"/>
              <w:rPr>
                <w:sz w:val="20"/>
                <w:szCs w:val="20"/>
                <w:color w:val="auto"/>
              </w:rPr>
            </w:pPr>
            <w:r>
              <w:rPr>
                <w:rFonts w:ascii="Calibri" w:cs="Calibri" w:eastAsia="Calibri" w:hAnsi="Calibri"/>
                <w:sz w:val="20"/>
                <w:szCs w:val="20"/>
                <w:color w:val="auto"/>
              </w:rPr>
              <w:t>Balances at December 31, 2025</w:t>
            </w:r>
          </w:p>
        </w:tc>
        <w:tc>
          <w:tcPr>
            <w:tcW w:w="1300" w:type="dxa"/>
            <w:vAlign w:val="bottom"/>
            <w:tcBorders>
              <w:top w:val="single" w:sz="8" w:color="E5E5E5"/>
            </w:tcBorders>
            <w:shd w:val="clear" w:color="auto" w:fill="E5E5E5"/>
          </w:tcPr>
          <w:p>
            <w:pPr>
              <w:spacing w:after="0"/>
              <w:rPr>
                <w:sz w:val="21"/>
                <w:szCs w:val="21"/>
                <w:color w:val="auto"/>
              </w:rPr>
            </w:pPr>
          </w:p>
        </w:tc>
        <w:tc>
          <w:tcPr>
            <w:tcW w:w="280" w:type="dxa"/>
            <w:vAlign w:val="bottom"/>
            <w:tcBorders>
              <w:top w:val="single" w:sz="8" w:color="E5E5E5"/>
            </w:tcBorders>
            <w:shd w:val="clear" w:color="auto" w:fill="E5E5E5"/>
          </w:tcPr>
          <w:p>
            <w:pPr>
              <w:spacing w:after="0"/>
              <w:rPr>
                <w:sz w:val="21"/>
                <w:szCs w:val="21"/>
                <w:color w:val="auto"/>
              </w:rPr>
            </w:pPr>
          </w:p>
        </w:tc>
        <w:tc>
          <w:tcPr>
            <w:tcW w:w="20" w:type="dxa"/>
            <w:vAlign w:val="bottom"/>
            <w:tcBorders>
              <w:top w:val="single" w:sz="8" w:color="E5E5E5"/>
              <w:bottom w:val="single" w:sz="8" w:color="auto"/>
            </w:tcBorders>
            <w:shd w:val="clear" w:color="auto" w:fill="E5E5E5"/>
          </w:tcPr>
          <w:p>
            <w:pPr>
              <w:spacing w:after="0"/>
              <w:rPr>
                <w:sz w:val="21"/>
                <w:szCs w:val="21"/>
                <w:color w:val="auto"/>
              </w:rPr>
            </w:pPr>
          </w:p>
        </w:tc>
        <w:tc>
          <w:tcPr>
            <w:tcW w:w="1200" w:type="dxa"/>
            <w:vAlign w:val="bottom"/>
            <w:tcBorders>
              <w:top w:val="single" w:sz="8" w:color="auto"/>
              <w:bottom w:val="single" w:sz="8" w:color="auto"/>
            </w:tcBorders>
            <w:gridSpan w:val="2"/>
            <w:shd w:val="clear" w:color="auto" w:fill="E5E5E5"/>
          </w:tcPr>
          <w:p>
            <w:pPr>
              <w:jc w:val="right"/>
              <w:ind w:right="60"/>
              <w:spacing w:after="0" w:line="234" w:lineRule="exact"/>
              <w:rPr>
                <w:sz w:val="20"/>
                <w:szCs w:val="20"/>
                <w:color w:val="auto"/>
              </w:rPr>
            </w:pPr>
            <w:r>
              <w:rPr>
                <w:rFonts w:ascii="Calibri" w:cs="Calibri" w:eastAsia="Calibri" w:hAnsi="Calibri"/>
                <w:sz w:val="20"/>
                <w:szCs w:val="20"/>
                <w:color w:val="auto"/>
              </w:rPr>
              <w:t>188,557</w:t>
            </w:r>
          </w:p>
        </w:tc>
        <w:tc>
          <w:tcPr>
            <w:tcW w:w="120" w:type="dxa"/>
            <w:vAlign w:val="bottom"/>
            <w:tcBorders>
              <w:top w:val="single" w:sz="8" w:color="E5E5E5"/>
            </w:tcBorders>
            <w:shd w:val="clear" w:color="auto" w:fill="E5E5E5"/>
          </w:tcPr>
          <w:p>
            <w:pPr>
              <w:spacing w:after="0"/>
              <w:rPr>
                <w:sz w:val="21"/>
                <w:szCs w:val="21"/>
                <w:color w:val="auto"/>
              </w:rPr>
            </w:pPr>
          </w:p>
        </w:tc>
        <w:tc>
          <w:tcPr>
            <w:tcW w:w="280" w:type="dxa"/>
            <w:vAlign w:val="bottom"/>
            <w:tcBorders>
              <w:top w:val="single" w:sz="8" w:color="E5E5E5"/>
            </w:tcBorders>
            <w:gridSpan w:val="3"/>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w:t>
            </w:r>
          </w:p>
        </w:tc>
        <w:tc>
          <w:tcPr>
            <w:tcW w:w="1240" w:type="dxa"/>
            <w:vAlign w:val="bottom"/>
            <w:tcBorders>
              <w:top w:val="single" w:sz="8" w:color="E5E5E5"/>
            </w:tcBorders>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9.02</w:t>
            </w:r>
          </w:p>
        </w:tc>
        <w:tc>
          <w:tcPr>
            <w:tcW w:w="0" w:type="dxa"/>
            <w:vAlign w:val="bottom"/>
          </w:tcPr>
          <w:p>
            <w:pPr>
              <w:spacing w:after="0"/>
              <w:rPr>
                <w:sz w:val="1"/>
                <w:szCs w:val="1"/>
                <w:color w:val="auto"/>
              </w:rPr>
            </w:pPr>
          </w:p>
        </w:tc>
      </w:tr>
      <w:tr>
        <w:trPr>
          <w:trHeight w:val="496"/>
        </w:trPr>
        <w:tc>
          <w:tcPr>
            <w:tcW w:w="6720" w:type="dxa"/>
            <w:vAlign w:val="bottom"/>
          </w:tcPr>
          <w:p>
            <w:pPr>
              <w:ind w:left="720"/>
              <w:spacing w:after="0"/>
              <w:rPr>
                <w:sz w:val="20"/>
                <w:szCs w:val="20"/>
                <w:color w:val="auto"/>
              </w:rPr>
            </w:pPr>
            <w:r>
              <w:rPr>
                <w:rFonts w:ascii="Calibri" w:cs="Calibri" w:eastAsia="Calibri" w:hAnsi="Calibri"/>
                <w:sz w:val="20"/>
                <w:szCs w:val="20"/>
                <w:color w:val="auto"/>
              </w:rPr>
              <w:t>Additional information on RSUs is summarized as follows:</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72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 except weighted-average grant-date fair value per share)</w:t>
            </w:r>
          </w:p>
        </w:tc>
        <w:tc>
          <w:tcPr>
            <w:tcW w:w="1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625"/>
              <w:spacing w:after="0"/>
              <w:rPr>
                <w:sz w:val="20"/>
                <w:szCs w:val="20"/>
                <w:color w:val="auto"/>
              </w:rPr>
            </w:pPr>
            <w:r>
              <w:rPr>
                <w:rFonts w:ascii="Calibri" w:cs="Calibri" w:eastAsia="Calibri" w:hAnsi="Calibri"/>
                <w:sz w:val="16"/>
                <w:szCs w:val="16"/>
                <w:b w:val="1"/>
                <w:bCs w:val="1"/>
                <w:color w:val="auto"/>
              </w:rPr>
              <w:t>Year Ended December 31,</w:t>
            </w:r>
          </w:p>
        </w:tc>
        <w:tc>
          <w:tcPr>
            <w:tcW w:w="0" w:type="dxa"/>
            <w:vAlign w:val="bottom"/>
          </w:tcPr>
          <w:p>
            <w:pPr>
              <w:spacing w:after="0"/>
              <w:rPr>
                <w:sz w:val="1"/>
                <w:szCs w:val="1"/>
                <w:color w:val="auto"/>
              </w:rPr>
            </w:pPr>
          </w:p>
        </w:tc>
      </w:tr>
      <w:tr>
        <w:trPr>
          <w:trHeight w:val="186"/>
        </w:trPr>
        <w:tc>
          <w:tcPr>
            <w:tcW w:w="6720" w:type="dxa"/>
            <w:vAlign w:val="bottom"/>
            <w:tcBorders>
              <w:bottom w:val="single" w:sz="8" w:color="E5E5E5"/>
            </w:tcBorders>
            <w:vMerge w:val="continue"/>
          </w:tcPr>
          <w:p>
            <w:pPr>
              <w:spacing w:after="0"/>
              <w:rPr>
                <w:sz w:val="16"/>
                <w:szCs w:val="16"/>
                <w:color w:val="auto"/>
              </w:rPr>
            </w:pPr>
          </w:p>
        </w:tc>
        <w:tc>
          <w:tcPr>
            <w:tcW w:w="1300" w:type="dxa"/>
            <w:vAlign w:val="bottom"/>
            <w:tcBorders>
              <w:bottom w:val="single" w:sz="8" w:color="E5E5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40"/>
              <w:spacing w:after="0" w:line="187" w:lineRule="exact"/>
              <w:rPr>
                <w:sz w:val="20"/>
                <w:szCs w:val="20"/>
                <w:color w:val="auto"/>
              </w:rPr>
            </w:pPr>
            <w:r>
              <w:rPr>
                <w:rFonts w:ascii="Calibri" w:cs="Calibri" w:eastAsia="Calibri" w:hAnsi="Calibri"/>
                <w:sz w:val="16"/>
                <w:szCs w:val="16"/>
                <w:b w:val="1"/>
                <w:bCs w:val="1"/>
                <w:color w:val="auto"/>
              </w:rPr>
              <w:t>2025</w:t>
            </w:r>
          </w:p>
        </w:tc>
        <w:tc>
          <w:tcPr>
            <w:tcW w:w="80" w:type="dxa"/>
            <w:vAlign w:val="bottom"/>
            <w:tcBorders>
              <w:bottom w:val="single" w:sz="8" w:color="E5E5E5"/>
            </w:tcBorders>
          </w:tcPr>
          <w:p>
            <w:pPr>
              <w:spacing w:after="0"/>
              <w:rPr>
                <w:sz w:val="16"/>
                <w:szCs w:val="16"/>
                <w:color w:val="auto"/>
              </w:rPr>
            </w:pPr>
          </w:p>
        </w:tc>
        <w:tc>
          <w:tcPr>
            <w:tcW w:w="120" w:type="dxa"/>
            <w:vAlign w:val="bottom"/>
            <w:tcBorders>
              <w:bottom w:val="single" w:sz="8" w:color="E5E5E5"/>
            </w:tcBorders>
          </w:tcPr>
          <w:p>
            <w:pPr>
              <w:spacing w:after="0"/>
              <w:rPr>
                <w:sz w:val="16"/>
                <w:szCs w:val="16"/>
                <w:color w:val="auto"/>
              </w:rPr>
            </w:pPr>
          </w:p>
        </w:tc>
        <w:tc>
          <w:tcPr>
            <w:tcW w:w="100" w:type="dxa"/>
            <w:vAlign w:val="bottom"/>
            <w:tcBorders>
              <w:bottom w:val="single" w:sz="8" w:color="E5E5E5"/>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5"/>
              <w:spacing w:after="0" w:line="187" w:lineRule="exact"/>
              <w:rPr>
                <w:sz w:val="20"/>
                <w:szCs w:val="20"/>
                <w:color w:val="auto"/>
              </w:rPr>
            </w:pPr>
            <w:r>
              <w:rPr>
                <w:rFonts w:ascii="Calibri" w:cs="Calibri" w:eastAsia="Calibri" w:hAnsi="Calibri"/>
                <w:sz w:val="16"/>
                <w:szCs w:val="16"/>
                <w:b w:val="1"/>
                <w:bCs w:val="1"/>
                <w:color w:val="auto"/>
              </w:rPr>
              <w:t>2024</w:t>
            </w:r>
          </w:p>
        </w:tc>
        <w:tc>
          <w:tcPr>
            <w:tcW w:w="0" w:type="dxa"/>
            <w:vAlign w:val="bottom"/>
          </w:tcPr>
          <w:p>
            <w:pPr>
              <w:spacing w:after="0"/>
              <w:rPr>
                <w:sz w:val="1"/>
                <w:szCs w:val="1"/>
                <w:color w:val="auto"/>
              </w:rPr>
            </w:pPr>
          </w:p>
        </w:tc>
      </w:tr>
      <w:tr>
        <w:trPr>
          <w:trHeight w:val="234"/>
        </w:trPr>
        <w:tc>
          <w:tcPr>
            <w:tcW w:w="672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Total grant date fair value of RSUs vested</w:t>
            </w:r>
          </w:p>
        </w:tc>
        <w:tc>
          <w:tcPr>
            <w:tcW w:w="1300" w:type="dxa"/>
            <w:vAlign w:val="bottom"/>
            <w:shd w:val="clear" w:color="auto" w:fill="E5E5E5"/>
          </w:tcPr>
          <w:p>
            <w:pPr>
              <w:spacing w:after="0"/>
              <w:rPr>
                <w:sz w:val="20"/>
                <w:szCs w:val="20"/>
                <w:color w:val="auto"/>
              </w:rPr>
            </w:pPr>
          </w:p>
        </w:tc>
        <w:tc>
          <w:tcPr>
            <w:tcW w:w="280" w:type="dxa"/>
            <w:vAlign w:val="bottom"/>
            <w:shd w:val="clear" w:color="auto" w:fill="E5E5E5"/>
          </w:tcPr>
          <w:p>
            <w:pPr>
              <w:jc w:val="right"/>
              <w:ind w:right="80"/>
              <w:spacing w:after="0" w:line="234" w:lineRule="exact"/>
              <w:rPr>
                <w:sz w:val="20"/>
                <w:szCs w:val="20"/>
                <w:color w:val="auto"/>
              </w:rPr>
            </w:pPr>
            <w:r>
              <w:rPr>
                <w:rFonts w:ascii="Calibri" w:cs="Calibri" w:eastAsia="Calibri" w:hAnsi="Calibri"/>
                <w:sz w:val="20"/>
                <w:szCs w:val="20"/>
                <w:color w:val="auto"/>
                <w:w w:val="78"/>
              </w:rPr>
              <w:t>$</w:t>
            </w:r>
          </w:p>
        </w:tc>
        <w:tc>
          <w:tcPr>
            <w:tcW w:w="20" w:type="dxa"/>
            <w:vAlign w:val="bottom"/>
            <w:shd w:val="clear" w:color="auto" w:fill="E5E5E5"/>
          </w:tcPr>
          <w:p>
            <w:pPr>
              <w:spacing w:after="0"/>
              <w:rPr>
                <w:sz w:val="20"/>
                <w:szCs w:val="20"/>
                <w:color w:val="auto"/>
              </w:rPr>
            </w:pPr>
          </w:p>
        </w:tc>
        <w:tc>
          <w:tcPr>
            <w:tcW w:w="112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6,125</w:t>
            </w:r>
          </w:p>
        </w:tc>
        <w:tc>
          <w:tcPr>
            <w:tcW w:w="80" w:type="dxa"/>
            <w:vAlign w:val="bottom"/>
            <w:shd w:val="clear" w:color="auto" w:fill="E5E5E5"/>
          </w:tcPr>
          <w:p>
            <w:pPr>
              <w:spacing w:after="0"/>
              <w:rPr>
                <w:sz w:val="20"/>
                <w:szCs w:val="20"/>
                <w:color w:val="auto"/>
              </w:rPr>
            </w:pPr>
          </w:p>
        </w:tc>
        <w:tc>
          <w:tcPr>
            <w:tcW w:w="120" w:type="dxa"/>
            <w:vAlign w:val="bottom"/>
            <w:shd w:val="clear" w:color="auto" w:fill="E5E5E5"/>
          </w:tcPr>
          <w:p>
            <w:pPr>
              <w:spacing w:after="0"/>
              <w:rPr>
                <w:sz w:val="20"/>
                <w:szCs w:val="20"/>
                <w:color w:val="auto"/>
              </w:rPr>
            </w:pPr>
          </w:p>
        </w:tc>
        <w:tc>
          <w:tcPr>
            <w:tcW w:w="280" w:type="dxa"/>
            <w:vAlign w:val="bottom"/>
            <w:gridSpan w:val="3"/>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w:t>
            </w:r>
          </w:p>
        </w:tc>
        <w:tc>
          <w:tcPr>
            <w:tcW w:w="124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15,101</w:t>
            </w:r>
          </w:p>
        </w:tc>
        <w:tc>
          <w:tcPr>
            <w:tcW w:w="0" w:type="dxa"/>
            <w:vAlign w:val="bottom"/>
          </w:tcPr>
          <w:p>
            <w:pPr>
              <w:spacing w:after="0"/>
              <w:rPr>
                <w:sz w:val="1"/>
                <w:szCs w:val="1"/>
                <w:color w:val="auto"/>
              </w:rPr>
            </w:pPr>
          </w:p>
        </w:tc>
      </w:tr>
      <w:tr>
        <w:trPr>
          <w:trHeight w:val="246"/>
        </w:trPr>
        <w:tc>
          <w:tcPr>
            <w:tcW w:w="6720" w:type="dxa"/>
            <w:vAlign w:val="bottom"/>
          </w:tcPr>
          <w:p>
            <w:pPr>
              <w:spacing w:after="0"/>
              <w:rPr>
                <w:sz w:val="20"/>
                <w:szCs w:val="20"/>
                <w:color w:val="auto"/>
              </w:rPr>
            </w:pPr>
            <w:r>
              <w:rPr>
                <w:rFonts w:ascii="Calibri" w:cs="Calibri" w:eastAsia="Calibri" w:hAnsi="Calibri"/>
                <w:sz w:val="20"/>
                <w:szCs w:val="20"/>
                <w:color w:val="auto"/>
              </w:rPr>
              <w:t>Total grant date fair value of RSUs granted</w:t>
            </w:r>
          </w:p>
        </w:tc>
        <w:tc>
          <w:tcPr>
            <w:tcW w:w="1580" w:type="dxa"/>
            <w:vAlign w:val="bottom"/>
            <w:gridSpan w:val="2"/>
          </w:tcPr>
          <w:p>
            <w:pPr>
              <w:jc w:val="right"/>
              <w:ind w:right="80"/>
              <w:spacing w:after="0"/>
              <w:rPr>
                <w:sz w:val="20"/>
                <w:szCs w:val="20"/>
                <w:color w:val="auto"/>
              </w:rPr>
            </w:pPr>
            <w:r>
              <w:rPr>
                <w:rFonts w:ascii="Calibri" w:cs="Calibri" w:eastAsia="Calibri" w:hAnsi="Calibri"/>
                <w:sz w:val="20"/>
                <w:szCs w:val="20"/>
                <w:color w:val="auto"/>
              </w:rPr>
              <w:t>$</w:t>
            </w:r>
          </w:p>
        </w:tc>
        <w:tc>
          <w:tcPr>
            <w:tcW w:w="20" w:type="dxa"/>
            <w:vAlign w:val="bottom"/>
          </w:tcPr>
          <w:p>
            <w:pPr>
              <w:spacing w:after="0"/>
              <w:rPr>
                <w:sz w:val="21"/>
                <w:szCs w:val="21"/>
                <w:color w:val="auto"/>
              </w:rPr>
            </w:pPr>
          </w:p>
        </w:tc>
        <w:tc>
          <w:tcPr>
            <w:tcW w:w="1320" w:type="dxa"/>
            <w:vAlign w:val="bottom"/>
            <w:gridSpan w:val="3"/>
          </w:tcPr>
          <w:p>
            <w:pPr>
              <w:jc w:val="right"/>
              <w:ind w:right="260"/>
              <w:spacing w:after="0"/>
              <w:rPr>
                <w:sz w:val="20"/>
                <w:szCs w:val="20"/>
                <w:color w:val="auto"/>
              </w:rPr>
            </w:pPr>
            <w:r>
              <w:rPr>
                <w:rFonts w:ascii="Calibri" w:cs="Calibri" w:eastAsia="Calibri" w:hAnsi="Calibri"/>
                <w:sz w:val="20"/>
                <w:szCs w:val="20"/>
                <w:color w:val="auto"/>
              </w:rPr>
              <w:t>—</w:t>
            </w:r>
          </w:p>
        </w:tc>
        <w:tc>
          <w:tcPr>
            <w:tcW w:w="280" w:type="dxa"/>
            <w:vAlign w:val="bottom"/>
            <w:gridSpan w:val="3"/>
          </w:tcPr>
          <w:p>
            <w:pPr>
              <w:jc w:val="right"/>
              <w:spacing w:after="0"/>
              <w:rPr>
                <w:sz w:val="20"/>
                <w:szCs w:val="20"/>
                <w:color w:val="auto"/>
              </w:rPr>
            </w:pPr>
            <w:r>
              <w:rPr>
                <w:rFonts w:ascii="Calibri" w:cs="Calibri" w:eastAsia="Calibri" w:hAnsi="Calibri"/>
                <w:sz w:val="20"/>
                <w:szCs w:val="20"/>
                <w:color w:val="auto"/>
              </w:rPr>
              <w:t>$</w:t>
            </w:r>
          </w:p>
        </w:tc>
        <w:tc>
          <w:tcPr>
            <w:tcW w:w="1240" w:type="dxa"/>
            <w:vAlign w:val="bottom"/>
          </w:tcPr>
          <w:p>
            <w:pPr>
              <w:jc w:val="right"/>
              <w:spacing w:after="0"/>
              <w:rPr>
                <w:sz w:val="20"/>
                <w:szCs w:val="20"/>
                <w:color w:val="auto"/>
              </w:rPr>
            </w:pPr>
            <w:r>
              <w:rPr>
                <w:rFonts w:ascii="Calibri" w:cs="Calibri" w:eastAsia="Calibri" w:hAnsi="Calibri"/>
                <w:sz w:val="20"/>
                <w:szCs w:val="20"/>
                <w:color w:val="auto"/>
              </w:rPr>
              <w:t>4,408</w:t>
            </w:r>
          </w:p>
        </w:tc>
        <w:tc>
          <w:tcPr>
            <w:tcW w:w="0" w:type="dxa"/>
            <w:vAlign w:val="bottom"/>
          </w:tcPr>
          <w:p>
            <w:pPr>
              <w:spacing w:after="0"/>
              <w:rPr>
                <w:sz w:val="1"/>
                <w:szCs w:val="1"/>
                <w:color w:val="auto"/>
              </w:rPr>
            </w:pPr>
          </w:p>
        </w:tc>
      </w:tr>
      <w:tr>
        <w:trPr>
          <w:trHeight w:val="245"/>
        </w:trPr>
        <w:tc>
          <w:tcPr>
            <w:tcW w:w="6720" w:type="dxa"/>
            <w:vAlign w:val="bottom"/>
            <w:shd w:val="clear" w:color="auto" w:fill="E5E5E5"/>
          </w:tcPr>
          <w:p>
            <w:pPr>
              <w:spacing w:after="0"/>
              <w:rPr>
                <w:sz w:val="20"/>
                <w:szCs w:val="20"/>
                <w:color w:val="auto"/>
              </w:rPr>
            </w:pPr>
            <w:r>
              <w:rPr>
                <w:rFonts w:ascii="Calibri" w:cs="Calibri" w:eastAsia="Calibri" w:hAnsi="Calibri"/>
                <w:sz w:val="20"/>
                <w:szCs w:val="20"/>
                <w:color w:val="auto"/>
              </w:rPr>
              <w:t>Weighted-average grant-date fair value per share of RSUs granted</w:t>
            </w:r>
          </w:p>
        </w:tc>
        <w:tc>
          <w:tcPr>
            <w:tcW w:w="1580" w:type="dxa"/>
            <w:vAlign w:val="bottom"/>
            <w:gridSpan w:val="2"/>
            <w:shd w:val="clear" w:color="auto" w:fill="E5E5E5"/>
          </w:tcPr>
          <w:p>
            <w:pPr>
              <w:jc w:val="right"/>
              <w:ind w:right="80"/>
              <w:spacing w:after="0"/>
              <w:rPr>
                <w:sz w:val="20"/>
                <w:szCs w:val="20"/>
                <w:color w:val="auto"/>
              </w:rPr>
            </w:pPr>
            <w:r>
              <w:rPr>
                <w:rFonts w:ascii="Calibri" w:cs="Calibri" w:eastAsia="Calibri" w:hAnsi="Calibri"/>
                <w:sz w:val="20"/>
                <w:szCs w:val="20"/>
                <w:color w:val="auto"/>
              </w:rPr>
              <w:t>$</w:t>
            </w:r>
          </w:p>
        </w:tc>
        <w:tc>
          <w:tcPr>
            <w:tcW w:w="20" w:type="dxa"/>
            <w:vAlign w:val="bottom"/>
            <w:shd w:val="clear" w:color="auto" w:fill="E5E5E5"/>
          </w:tcPr>
          <w:p>
            <w:pPr>
              <w:spacing w:after="0"/>
              <w:rPr>
                <w:sz w:val="21"/>
                <w:szCs w:val="21"/>
                <w:color w:val="auto"/>
              </w:rPr>
            </w:pPr>
          </w:p>
        </w:tc>
        <w:tc>
          <w:tcPr>
            <w:tcW w:w="1320" w:type="dxa"/>
            <w:vAlign w:val="bottom"/>
            <w:gridSpan w:val="3"/>
            <w:shd w:val="clear" w:color="auto" w:fill="E5E5E5"/>
          </w:tcPr>
          <w:p>
            <w:pPr>
              <w:jc w:val="right"/>
              <w:ind w:right="260"/>
              <w:spacing w:after="0"/>
              <w:rPr>
                <w:sz w:val="20"/>
                <w:szCs w:val="20"/>
                <w:color w:val="auto"/>
              </w:rPr>
            </w:pPr>
            <w:r>
              <w:rPr>
                <w:rFonts w:ascii="Calibri" w:cs="Calibri" w:eastAsia="Calibri" w:hAnsi="Calibri"/>
                <w:sz w:val="20"/>
                <w:szCs w:val="20"/>
                <w:color w:val="auto"/>
              </w:rPr>
              <w:t>—</w:t>
            </w:r>
          </w:p>
        </w:tc>
        <w:tc>
          <w:tcPr>
            <w:tcW w:w="280" w:type="dxa"/>
            <w:vAlign w:val="bottom"/>
            <w:gridSpan w:val="3"/>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12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2.23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720"/>
        <w:spacing w:after="0" w:line="263" w:lineRule="auto"/>
        <w:rPr>
          <w:sz w:val="20"/>
          <w:szCs w:val="20"/>
          <w:color w:val="auto"/>
        </w:rPr>
      </w:pPr>
      <w:r>
        <w:rPr>
          <w:rFonts w:ascii="Calibri" w:cs="Calibri" w:eastAsia="Calibri" w:hAnsi="Calibri"/>
          <w:sz w:val="20"/>
          <w:szCs w:val="20"/>
          <w:color w:val="auto"/>
        </w:rPr>
        <w:t>As of December 31, 2025, unrecognized stock-based compensation expense related to unvested RSUs was immaterial, with a remaining recognition period of one month.</w:t>
      </w:r>
    </w:p>
    <w:p>
      <w:pPr>
        <w:spacing w:after="0" w:line="19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Employee Stock Purchase Plan</w:t>
      </w:r>
    </w:p>
    <w:p>
      <w:pPr>
        <w:spacing w:after="0" w:line="241"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In October 2014, the Company’s board of directors and its stockholders approved the establishment of the ESPP. The ESPP provided for annual increases in the number of shares available for issuance on January 1, equal to the lesser of one percent (1%) of the number of shares of the Company’s common stock outstanding as of such date or a number of shares as determined by the Company’s board of directors. In June 2025, the stockholders approved an amendment to the ESPP to (1) remove the evergreen provision to prevent future automatic increases to shares reserved for issuance under the ESPP, and (2) reserve an additional 1,500,000 shares for issuance under the Amended ESPP over the existing share reserve under the plan. The ESPP had 2,646,662 shares of common stock available for future issuance as of December 31, 2025. Eligible employees may purchase common stock at 85% of the lesser of the fair market value of the Company’s common stock on the first or last day of the offering period. The offering periods of the ESPP are six-month periods commencing on each May 16 and November 16. As of December 31, 2025, the unrecognized compensation expense associated with the ESPP was immaterial and was expected to be recognized over a weighted-average period of 4.5 months.</w:t>
      </w:r>
    </w:p>
    <w:p>
      <w:pPr>
        <w:spacing w:after="0" w:line="21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Stock-Based Compensation</w:t>
      </w:r>
    </w:p>
    <w:p>
      <w:pPr>
        <w:spacing w:after="0" w:line="241" w:lineRule="exact"/>
        <w:rPr>
          <w:sz w:val="20"/>
          <w:szCs w:val="20"/>
          <w:color w:val="auto"/>
        </w:rPr>
      </w:pPr>
    </w:p>
    <w:p>
      <w:pPr>
        <w:jc w:val="both"/>
        <w:ind w:firstLine="720"/>
        <w:spacing w:after="0" w:line="261" w:lineRule="auto"/>
        <w:rPr>
          <w:sz w:val="20"/>
          <w:szCs w:val="20"/>
          <w:color w:val="auto"/>
        </w:rPr>
      </w:pPr>
      <w:r>
        <w:rPr>
          <w:rFonts w:ascii="Calibri" w:cs="Calibri" w:eastAsia="Calibri" w:hAnsi="Calibri"/>
          <w:sz w:val="20"/>
          <w:szCs w:val="20"/>
          <w:color w:val="auto"/>
        </w:rPr>
        <w:t>The following table summarizes the classification of stock-based compensation expense in the Company’s consolidated statements of operations related to employees and nonemployees: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4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jc w:val="right"/>
              <w:ind w:right="562"/>
              <w:spacing w:after="0"/>
              <w:rPr>
                <w:sz w:val="20"/>
                <w:szCs w:val="20"/>
                <w:color w:val="auto"/>
              </w:rPr>
            </w:pPr>
            <w:r>
              <w:rPr>
                <w:rFonts w:ascii="Calibri" w:cs="Calibri" w:eastAsia="Calibri" w:hAnsi="Calibri"/>
                <w:sz w:val="16"/>
                <w:szCs w:val="16"/>
                <w:b w:val="1"/>
                <w:bCs w:val="1"/>
                <w:color w:val="auto"/>
              </w:rPr>
              <w:t>Year Ended December 31,</w:t>
            </w:r>
          </w:p>
        </w:tc>
        <w:tc>
          <w:tcPr>
            <w:tcW w:w="0" w:type="dxa"/>
            <w:vAlign w:val="bottom"/>
          </w:tcPr>
          <w:p>
            <w:pPr>
              <w:spacing w:after="0"/>
              <w:rPr>
                <w:sz w:val="1"/>
                <w:szCs w:val="1"/>
                <w:color w:val="auto"/>
              </w:rPr>
            </w:pPr>
          </w:p>
        </w:tc>
      </w:tr>
      <w:tr>
        <w:trPr>
          <w:trHeight w:val="186"/>
        </w:trPr>
        <w:tc>
          <w:tcPr>
            <w:tcW w:w="8140" w:type="dxa"/>
            <w:vAlign w:val="bottom"/>
            <w:tcBorders>
              <w:bottom w:val="single" w:sz="8" w:color="E5E5E5"/>
            </w:tcBorders>
            <w:vMerge w:val="continue"/>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4"/>
              <w:spacing w:after="0" w:line="187" w:lineRule="exact"/>
              <w:rPr>
                <w:sz w:val="20"/>
                <w:szCs w:val="20"/>
                <w:color w:val="auto"/>
              </w:rPr>
            </w:pPr>
            <w:r>
              <w:rPr>
                <w:rFonts w:ascii="Calibri" w:cs="Calibri" w:eastAsia="Calibri" w:hAnsi="Calibri"/>
                <w:sz w:val="16"/>
                <w:szCs w:val="16"/>
                <w:b w:val="1"/>
                <w:bCs w:val="1"/>
                <w:color w:val="auto"/>
              </w:rPr>
              <w:t>2025</w:t>
            </w:r>
          </w:p>
        </w:tc>
        <w:tc>
          <w:tcPr>
            <w:tcW w:w="28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2"/>
              <w:spacing w:after="0" w:line="187" w:lineRule="exact"/>
              <w:rPr>
                <w:sz w:val="20"/>
                <w:szCs w:val="20"/>
                <w:color w:val="auto"/>
              </w:rPr>
            </w:pPr>
            <w:r>
              <w:rPr>
                <w:rFonts w:ascii="Calibri" w:cs="Calibri" w:eastAsia="Calibri" w:hAnsi="Calibri"/>
                <w:sz w:val="16"/>
                <w:szCs w:val="16"/>
                <w:b w:val="1"/>
                <w:bCs w:val="1"/>
                <w:color w:val="auto"/>
              </w:rPr>
              <w:t>2024</w:t>
            </w:r>
          </w:p>
        </w:tc>
        <w:tc>
          <w:tcPr>
            <w:tcW w:w="0" w:type="dxa"/>
            <w:vAlign w:val="bottom"/>
          </w:tcPr>
          <w:p>
            <w:pPr>
              <w:spacing w:after="0"/>
              <w:rPr>
                <w:sz w:val="1"/>
                <w:szCs w:val="1"/>
                <w:color w:val="auto"/>
              </w:rPr>
            </w:pPr>
          </w:p>
        </w:tc>
      </w:tr>
      <w:tr>
        <w:trPr>
          <w:trHeight w:val="236"/>
        </w:trPr>
        <w:tc>
          <w:tcPr>
            <w:tcW w:w="8140" w:type="dxa"/>
            <w:vAlign w:val="bottom"/>
            <w:shd w:val="clear" w:color="auto" w:fill="E5E5E5"/>
          </w:tcPr>
          <w:p>
            <w:pPr>
              <w:spacing w:after="0" w:line="236" w:lineRule="exact"/>
              <w:rPr>
                <w:sz w:val="20"/>
                <w:szCs w:val="20"/>
                <w:color w:val="auto"/>
              </w:rPr>
            </w:pPr>
            <w:r>
              <w:rPr>
                <w:rFonts w:ascii="Calibri" w:cs="Calibri" w:eastAsia="Calibri" w:hAnsi="Calibri"/>
                <w:sz w:val="20"/>
                <w:szCs w:val="20"/>
                <w:color w:val="auto"/>
              </w:rPr>
              <w:t xml:space="preserve">Cost of goods sold </w:t>
            </w:r>
            <w:r>
              <w:rPr>
                <w:rFonts w:ascii="Calibri" w:cs="Calibri" w:eastAsia="Calibri" w:hAnsi="Calibri"/>
                <w:sz w:val="25"/>
                <w:szCs w:val="25"/>
                <w:color w:val="auto"/>
                <w:vertAlign w:val="superscript"/>
              </w:rPr>
              <w:t>(1)</w:t>
            </w:r>
          </w:p>
        </w:tc>
        <w:tc>
          <w:tcPr>
            <w:tcW w:w="320" w:type="dxa"/>
            <w:vAlign w:val="bottom"/>
            <w:gridSpan w:val="2"/>
            <w:shd w:val="clear" w:color="auto" w:fill="E5E5E5"/>
          </w:tcPr>
          <w:p>
            <w:pPr>
              <w:jc w:val="right"/>
              <w:ind w:right="140"/>
              <w:spacing w:after="0" w:line="235" w:lineRule="exact"/>
              <w:rPr>
                <w:sz w:val="20"/>
                <w:szCs w:val="20"/>
                <w:color w:val="auto"/>
              </w:rPr>
            </w:pPr>
            <w:r>
              <w:rPr>
                <w:rFonts w:ascii="Calibri" w:cs="Calibri" w:eastAsia="Calibri" w:hAnsi="Calibri"/>
                <w:sz w:val="20"/>
                <w:szCs w:val="20"/>
                <w:color w:val="auto"/>
                <w:w w:val="78"/>
              </w:rPr>
              <w:t>$</w:t>
            </w:r>
          </w:p>
        </w:tc>
        <w:tc>
          <w:tcPr>
            <w:tcW w:w="104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376</w:t>
            </w:r>
          </w:p>
        </w:tc>
        <w:tc>
          <w:tcPr>
            <w:tcW w:w="280" w:type="dxa"/>
            <w:vAlign w:val="bottom"/>
            <w:shd w:val="clear" w:color="auto" w:fill="E5E5E5"/>
          </w:tcPr>
          <w:p>
            <w:pPr>
              <w:spacing w:after="0"/>
              <w:rPr>
                <w:sz w:val="20"/>
                <w:szCs w:val="20"/>
                <w:color w:val="auto"/>
              </w:rPr>
            </w:pPr>
          </w:p>
        </w:tc>
        <w:tc>
          <w:tcPr>
            <w:tcW w:w="320" w:type="dxa"/>
            <w:vAlign w:val="bottom"/>
            <w:gridSpan w:val="2"/>
            <w:shd w:val="clear" w:color="auto" w:fill="E5E5E5"/>
          </w:tcPr>
          <w:p>
            <w:pPr>
              <w:jc w:val="right"/>
              <w:ind w:right="100"/>
              <w:spacing w:after="0" w:line="235" w:lineRule="exact"/>
              <w:rPr>
                <w:sz w:val="20"/>
                <w:szCs w:val="20"/>
                <w:color w:val="auto"/>
              </w:rPr>
            </w:pPr>
            <w:r>
              <w:rPr>
                <w:rFonts w:ascii="Calibri" w:cs="Calibri" w:eastAsia="Calibri" w:hAnsi="Calibri"/>
                <w:sz w:val="20"/>
                <w:szCs w:val="20"/>
                <w:color w:val="auto"/>
                <w:w w:val="98"/>
              </w:rPr>
              <w:t>$</w:t>
            </w:r>
          </w:p>
        </w:tc>
        <w:tc>
          <w:tcPr>
            <w:tcW w:w="106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1,070</w:t>
            </w:r>
          </w:p>
        </w:tc>
        <w:tc>
          <w:tcPr>
            <w:tcW w:w="0" w:type="dxa"/>
            <w:vAlign w:val="bottom"/>
          </w:tcPr>
          <w:p>
            <w:pPr>
              <w:spacing w:after="0"/>
              <w:rPr>
                <w:sz w:val="1"/>
                <w:szCs w:val="1"/>
                <w:color w:val="auto"/>
              </w:rPr>
            </w:pPr>
          </w:p>
        </w:tc>
      </w:tr>
      <w:tr>
        <w:trPr>
          <w:trHeight w:val="245"/>
        </w:trPr>
        <w:tc>
          <w:tcPr>
            <w:tcW w:w="8140" w:type="dxa"/>
            <w:vAlign w:val="bottom"/>
          </w:tcPr>
          <w:p>
            <w:pPr>
              <w:spacing w:after="0"/>
              <w:rPr>
                <w:sz w:val="20"/>
                <w:szCs w:val="20"/>
                <w:color w:val="auto"/>
              </w:rPr>
            </w:pPr>
            <w:r>
              <w:rPr>
                <w:rFonts w:ascii="Calibri" w:cs="Calibri" w:eastAsia="Calibri" w:hAnsi="Calibri"/>
                <w:sz w:val="20"/>
                <w:szCs w:val="20"/>
                <w:color w:val="auto"/>
              </w:rPr>
              <w:t>Research and development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6,126</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color w:val="auto"/>
              </w:rPr>
              <w:t>8,643</w:t>
            </w:r>
          </w:p>
        </w:tc>
        <w:tc>
          <w:tcPr>
            <w:tcW w:w="0" w:type="dxa"/>
            <w:vAlign w:val="bottom"/>
          </w:tcPr>
          <w:p>
            <w:pPr>
              <w:spacing w:after="0"/>
              <w:rPr>
                <w:sz w:val="1"/>
                <w:szCs w:val="1"/>
                <w:color w:val="auto"/>
              </w:rPr>
            </w:pPr>
          </w:p>
        </w:tc>
      </w:tr>
      <w:tr>
        <w:trPr>
          <w:trHeight w:val="246"/>
        </w:trPr>
        <w:tc>
          <w:tcPr>
            <w:tcW w:w="8140" w:type="dxa"/>
            <w:vAlign w:val="bottom"/>
            <w:shd w:val="clear" w:color="auto" w:fill="E5E5E5"/>
          </w:tcPr>
          <w:p>
            <w:pPr>
              <w:spacing w:after="0"/>
              <w:rPr>
                <w:sz w:val="20"/>
                <w:szCs w:val="20"/>
                <w:color w:val="auto"/>
              </w:rPr>
            </w:pPr>
            <w:r>
              <w:rPr>
                <w:rFonts w:ascii="Calibri" w:cs="Calibri" w:eastAsia="Calibri" w:hAnsi="Calibri"/>
                <w:sz w:val="20"/>
                <w:szCs w:val="20"/>
                <w:color w:val="auto"/>
              </w:rPr>
              <w:t>Selling, general and administrative</w:t>
            </w:r>
          </w:p>
        </w:tc>
        <w:tc>
          <w:tcPr>
            <w:tcW w:w="20" w:type="dxa"/>
            <w:vAlign w:val="bottom"/>
            <w:shd w:val="clear" w:color="auto" w:fill="E5E5E5"/>
          </w:tcPr>
          <w:p>
            <w:pPr>
              <w:spacing w:after="0"/>
              <w:rPr>
                <w:sz w:val="21"/>
                <w:szCs w:val="21"/>
                <w:color w:val="auto"/>
              </w:rPr>
            </w:pPr>
          </w:p>
        </w:tc>
        <w:tc>
          <w:tcPr>
            <w:tcW w:w="300" w:type="dxa"/>
            <w:vAlign w:val="bottom"/>
            <w:tcBorders>
              <w:bottom w:val="single" w:sz="8" w:color="auto"/>
            </w:tcBorders>
            <w:shd w:val="clear" w:color="auto" w:fill="E5E5E5"/>
          </w:tcPr>
          <w:p>
            <w:pPr>
              <w:spacing w:after="0"/>
              <w:rPr>
                <w:sz w:val="21"/>
                <w:szCs w:val="21"/>
                <w:color w:val="auto"/>
              </w:rPr>
            </w:pPr>
          </w:p>
        </w:tc>
        <w:tc>
          <w:tcPr>
            <w:tcW w:w="104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10,464</w:t>
            </w:r>
          </w:p>
        </w:tc>
        <w:tc>
          <w:tcPr>
            <w:tcW w:w="28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300" w:type="dxa"/>
            <w:vAlign w:val="bottom"/>
            <w:tcBorders>
              <w:bottom w:val="single" w:sz="8" w:color="auto"/>
            </w:tcBorders>
            <w:shd w:val="clear" w:color="auto" w:fill="E5E5E5"/>
          </w:tcPr>
          <w:p>
            <w:pPr>
              <w:spacing w:after="0"/>
              <w:rPr>
                <w:sz w:val="21"/>
                <w:szCs w:val="21"/>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18,089</w:t>
            </w:r>
          </w:p>
        </w:tc>
        <w:tc>
          <w:tcPr>
            <w:tcW w:w="0" w:type="dxa"/>
            <w:vAlign w:val="bottom"/>
          </w:tcPr>
          <w:p>
            <w:pPr>
              <w:spacing w:after="0"/>
              <w:rPr>
                <w:sz w:val="1"/>
                <w:szCs w:val="1"/>
                <w:color w:val="auto"/>
              </w:rPr>
            </w:pPr>
          </w:p>
        </w:tc>
      </w:tr>
      <w:tr>
        <w:trPr>
          <w:trHeight w:val="234"/>
        </w:trPr>
        <w:tc>
          <w:tcPr>
            <w:tcW w:w="8140" w:type="dxa"/>
            <w:vAlign w:val="bottom"/>
          </w:tcPr>
          <w:p>
            <w:pPr>
              <w:ind w:left="140"/>
              <w:spacing w:after="0" w:line="234" w:lineRule="exact"/>
              <w:rPr>
                <w:sz w:val="20"/>
                <w:szCs w:val="20"/>
                <w:color w:val="auto"/>
              </w:rPr>
            </w:pPr>
            <w:r>
              <w:rPr>
                <w:rFonts w:ascii="Calibri" w:cs="Calibri" w:eastAsia="Calibri" w:hAnsi="Calibri"/>
                <w:sz w:val="20"/>
                <w:szCs w:val="20"/>
                <w:color w:val="auto"/>
              </w:rPr>
              <w:t>Stock-based compensation subtotal</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line="234" w:lineRule="exact"/>
              <w:rPr>
                <w:sz w:val="20"/>
                <w:szCs w:val="20"/>
                <w:color w:val="auto"/>
              </w:rPr>
            </w:pPr>
            <w:r>
              <w:rPr>
                <w:rFonts w:ascii="Calibri" w:cs="Calibri" w:eastAsia="Calibri" w:hAnsi="Calibri"/>
                <w:sz w:val="20"/>
                <w:szCs w:val="20"/>
                <w:color w:val="auto"/>
              </w:rPr>
              <w:t>16,966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line="234" w:lineRule="exact"/>
              <w:rPr>
                <w:sz w:val="20"/>
                <w:szCs w:val="20"/>
                <w:color w:val="auto"/>
              </w:rPr>
            </w:pPr>
            <w:r>
              <w:rPr>
                <w:rFonts w:ascii="Calibri" w:cs="Calibri" w:eastAsia="Calibri" w:hAnsi="Calibri"/>
                <w:sz w:val="20"/>
                <w:szCs w:val="20"/>
                <w:color w:val="auto"/>
              </w:rPr>
              <w:t>27,802</w:t>
            </w:r>
          </w:p>
        </w:tc>
        <w:tc>
          <w:tcPr>
            <w:tcW w:w="0" w:type="dxa"/>
            <w:vAlign w:val="bottom"/>
          </w:tcPr>
          <w:p>
            <w:pPr>
              <w:spacing w:after="0"/>
              <w:rPr>
                <w:sz w:val="1"/>
                <w:szCs w:val="1"/>
                <w:color w:val="auto"/>
              </w:rPr>
            </w:pPr>
          </w:p>
        </w:tc>
      </w:tr>
      <w:tr>
        <w:trPr>
          <w:trHeight w:val="246"/>
        </w:trPr>
        <w:tc>
          <w:tcPr>
            <w:tcW w:w="8140" w:type="dxa"/>
            <w:vAlign w:val="bottom"/>
            <w:shd w:val="clear" w:color="auto" w:fill="E5E5E5"/>
          </w:tcPr>
          <w:p>
            <w:pPr>
              <w:spacing w:after="0"/>
              <w:rPr>
                <w:sz w:val="20"/>
                <w:szCs w:val="20"/>
                <w:color w:val="auto"/>
              </w:rPr>
            </w:pPr>
            <w:r>
              <w:rPr>
                <w:rFonts w:ascii="Calibri" w:cs="Calibri" w:eastAsia="Calibri" w:hAnsi="Calibri"/>
                <w:sz w:val="20"/>
                <w:szCs w:val="20"/>
                <w:color w:val="auto"/>
              </w:rPr>
              <w:t>Less: Stock-based compensation from discontinued operations</w:t>
            </w:r>
          </w:p>
        </w:tc>
        <w:tc>
          <w:tcPr>
            <w:tcW w:w="2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1320" w:type="dxa"/>
            <w:vAlign w:val="bottom"/>
            <w:gridSpan w:val="2"/>
            <w:shd w:val="clear" w:color="auto" w:fill="E5E5E5"/>
          </w:tcPr>
          <w:p>
            <w:pPr>
              <w:jc w:val="right"/>
              <w:ind w:right="280"/>
              <w:spacing w:after="0"/>
              <w:rPr>
                <w:sz w:val="20"/>
                <w:szCs w:val="20"/>
                <w:color w:val="auto"/>
              </w:rPr>
            </w:pPr>
            <w:r>
              <w:rPr>
                <w:rFonts w:ascii="Calibri" w:cs="Calibri" w:eastAsia="Calibri" w:hAnsi="Calibri"/>
                <w:sz w:val="20"/>
                <w:szCs w:val="20"/>
                <w:color w:val="auto"/>
              </w:rPr>
              <w:t>(647)</w:t>
            </w:r>
          </w:p>
        </w:tc>
        <w:tc>
          <w:tcPr>
            <w:tcW w:w="2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106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(1,682)</w:t>
            </w:r>
          </w:p>
        </w:tc>
        <w:tc>
          <w:tcPr>
            <w:tcW w:w="0" w:type="dxa"/>
            <w:vAlign w:val="bottom"/>
          </w:tcPr>
          <w:p>
            <w:pPr>
              <w:spacing w:after="0"/>
              <w:rPr>
                <w:sz w:val="1"/>
                <w:szCs w:val="1"/>
                <w:color w:val="auto"/>
              </w:rPr>
            </w:pPr>
          </w:p>
        </w:tc>
      </w:tr>
      <w:tr>
        <w:trPr>
          <w:trHeight w:val="243"/>
        </w:trPr>
        <w:tc>
          <w:tcPr>
            <w:tcW w:w="8140" w:type="dxa"/>
            <w:vAlign w:val="bottom"/>
            <w:tcBorders>
              <w:bottom w:val="single" w:sz="8" w:color="E5E5E5"/>
            </w:tcBorders>
          </w:tcPr>
          <w:p>
            <w:pPr>
              <w:ind w:left="120"/>
              <w:spacing w:after="0" w:line="234" w:lineRule="exact"/>
              <w:rPr>
                <w:sz w:val="20"/>
                <w:szCs w:val="20"/>
                <w:color w:val="auto"/>
              </w:rPr>
            </w:pPr>
            <w:r>
              <w:rPr>
                <w:rFonts w:ascii="Calibri" w:cs="Calibri" w:eastAsia="Calibri" w:hAnsi="Calibri"/>
                <w:sz w:val="20"/>
                <w:szCs w:val="20"/>
                <w:color w:val="auto"/>
              </w:rPr>
              <w:t>Total stock-based compensation expense from continuing operations</w:t>
            </w:r>
          </w:p>
        </w:tc>
        <w:tc>
          <w:tcPr>
            <w:tcW w:w="20" w:type="dxa"/>
            <w:vAlign w:val="bottom"/>
            <w:tcBorders>
              <w:bottom w:val="single" w:sz="8" w:color="E5E5E5"/>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0"/>
              <w:spacing w:after="0"/>
              <w:rPr>
                <w:sz w:val="20"/>
                <w:szCs w:val="20"/>
                <w:color w:val="auto"/>
              </w:rPr>
            </w:pPr>
            <w:r>
              <w:rPr>
                <w:rFonts w:ascii="Calibri" w:cs="Calibri" w:eastAsia="Calibri" w:hAnsi="Calibri"/>
                <w:sz w:val="16"/>
                <w:szCs w:val="16"/>
                <w:color w:val="auto"/>
                <w:w w:val="73"/>
              </w:rPr>
              <w:t>$</w:t>
            </w:r>
          </w:p>
        </w:tc>
        <w:tc>
          <w:tcPr>
            <w:tcW w:w="104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16,319</w:t>
            </w:r>
          </w:p>
        </w:tc>
        <w:tc>
          <w:tcPr>
            <w:tcW w:w="28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00"/>
              <w:spacing w:after="0" w:line="234" w:lineRule="exact"/>
              <w:rPr>
                <w:sz w:val="20"/>
                <w:szCs w:val="20"/>
                <w:color w:val="auto"/>
              </w:rPr>
            </w:pPr>
            <w:r>
              <w:rPr>
                <w:rFonts w:ascii="Calibri" w:cs="Calibri" w:eastAsia="Calibri" w:hAnsi="Calibri"/>
                <w:sz w:val="20"/>
                <w:szCs w:val="20"/>
                <w:color w:val="auto"/>
                <w:w w:val="78"/>
              </w:rPr>
              <w:t>$</w:t>
            </w:r>
          </w:p>
        </w:tc>
        <w:tc>
          <w:tcPr>
            <w:tcW w:w="106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26,120</w:t>
            </w:r>
          </w:p>
        </w:tc>
        <w:tc>
          <w:tcPr>
            <w:tcW w:w="0" w:type="dxa"/>
            <w:vAlign w:val="bottom"/>
          </w:tcPr>
          <w:p>
            <w:pPr>
              <w:spacing w:after="0"/>
              <w:rPr>
                <w:sz w:val="1"/>
                <w:szCs w:val="1"/>
                <w:color w:val="auto"/>
              </w:rPr>
            </w:pPr>
          </w:p>
        </w:tc>
      </w:tr>
      <w:tr>
        <w:trPr>
          <w:trHeight w:val="246"/>
        </w:trPr>
        <w:tc>
          <w:tcPr>
            <w:tcW w:w="814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300" w:type="dxa"/>
            <w:vAlign w:val="bottom"/>
            <w:shd w:val="clear" w:color="auto" w:fill="E5E5E5"/>
          </w:tcPr>
          <w:p>
            <w:pPr>
              <w:spacing w:after="0"/>
              <w:rPr>
                <w:sz w:val="21"/>
                <w:szCs w:val="21"/>
                <w:color w:val="auto"/>
              </w:rPr>
            </w:pPr>
          </w:p>
        </w:tc>
        <w:tc>
          <w:tcPr>
            <w:tcW w:w="1040" w:type="dxa"/>
            <w:vAlign w:val="bottom"/>
            <w:shd w:val="clear" w:color="auto" w:fill="E5E5E5"/>
          </w:tcPr>
          <w:p>
            <w:pPr>
              <w:spacing w:after="0"/>
              <w:rPr>
                <w:sz w:val="21"/>
                <w:szCs w:val="21"/>
                <w:color w:val="auto"/>
              </w:rPr>
            </w:pPr>
          </w:p>
        </w:tc>
        <w:tc>
          <w:tcPr>
            <w:tcW w:w="280" w:type="dxa"/>
            <w:vAlign w:val="bottom"/>
            <w:shd w:val="clear" w:color="auto" w:fill="E5E5E5"/>
          </w:tcPr>
          <w:p>
            <w:pPr>
              <w:spacing w:after="0"/>
              <w:rPr>
                <w:sz w:val="21"/>
                <w:szCs w:val="21"/>
                <w:color w:val="auto"/>
              </w:rPr>
            </w:pPr>
          </w:p>
        </w:tc>
        <w:tc>
          <w:tcPr>
            <w:tcW w:w="320" w:type="dxa"/>
            <w:vAlign w:val="bottom"/>
            <w:gridSpan w:val="2"/>
            <w:shd w:val="clear" w:color="auto" w:fill="E5E5E5"/>
          </w:tcPr>
          <w:p>
            <w:pPr>
              <w:spacing w:after="0"/>
              <w:rPr>
                <w:sz w:val="21"/>
                <w:szCs w:val="21"/>
                <w:color w:val="auto"/>
              </w:rPr>
            </w:pPr>
          </w:p>
        </w:tc>
        <w:tc>
          <w:tcPr>
            <w:tcW w:w="1060" w:type="dxa"/>
            <w:vAlign w:val="bottom"/>
            <w:shd w:val="clear" w:color="auto" w:fill="E5E5E5"/>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40" w:type="dxa"/>
            <w:vAlign w:val="bottom"/>
          </w:tcPr>
          <w:p>
            <w:pPr>
              <w:spacing w:after="0"/>
              <w:rPr>
                <w:sz w:val="20"/>
                <w:szCs w:val="20"/>
                <w:color w:val="auto"/>
              </w:rPr>
            </w:pPr>
            <w:r>
              <w:rPr>
                <w:rFonts w:ascii="Calibri" w:cs="Calibri" w:eastAsia="Calibri" w:hAnsi="Calibri"/>
                <w:sz w:val="20"/>
                <w:szCs w:val="20"/>
                <w:color w:val="auto"/>
              </w:rPr>
              <w:t>Total stock-based compensation expense capitalized into inventory</w:t>
            </w:r>
          </w:p>
        </w:tc>
        <w:tc>
          <w:tcPr>
            <w:tcW w:w="320" w:type="dxa"/>
            <w:vAlign w:val="bottom"/>
            <w:tcBorders>
              <w:bottom w:val="single" w:sz="8" w:color="auto"/>
            </w:tcBorders>
            <w:gridSpan w:val="2"/>
          </w:tcPr>
          <w:p>
            <w:pPr>
              <w:jc w:val="right"/>
              <w:ind w:right="140"/>
              <w:spacing w:after="0"/>
              <w:rPr>
                <w:sz w:val="20"/>
                <w:szCs w:val="20"/>
                <w:color w:val="auto"/>
              </w:rPr>
            </w:pPr>
            <w:r>
              <w:rPr>
                <w:rFonts w:ascii="Calibri" w:cs="Calibri" w:eastAsia="Calibri" w:hAnsi="Calibri"/>
                <w:sz w:val="20"/>
                <w:szCs w:val="20"/>
                <w:color w:val="auto"/>
                <w:w w:val="78"/>
              </w:rPr>
              <w:t>$</w:t>
            </w: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319</w:t>
            </w:r>
          </w:p>
        </w:tc>
        <w:tc>
          <w:tcPr>
            <w:tcW w:w="280" w:type="dxa"/>
            <w:vAlign w:val="bottom"/>
          </w:tcPr>
          <w:p>
            <w:pPr>
              <w:spacing w:after="0"/>
              <w:rPr>
                <w:sz w:val="22"/>
                <w:szCs w:val="22"/>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Calibri" w:cs="Calibri" w:eastAsia="Calibri" w:hAnsi="Calibri"/>
                <w:sz w:val="20"/>
                <w:szCs w:val="20"/>
                <w:color w:val="auto"/>
                <w:w w:val="98"/>
              </w:rPr>
              <w:t>$</w:t>
            </w: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1,407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60" w:hanging="353"/>
        <w:spacing w:after="0"/>
        <w:tabs>
          <w:tab w:leader="none" w:pos="360" w:val="left"/>
        </w:tabs>
        <w:numPr>
          <w:ilvl w:val="0"/>
          <w:numId w:val="72"/>
        </w:numPr>
        <w:rPr>
          <w:rFonts w:ascii="Calibri" w:cs="Calibri" w:eastAsia="Calibri" w:hAnsi="Calibri"/>
          <w:sz w:val="16"/>
          <w:szCs w:val="16"/>
          <w:color w:val="auto"/>
        </w:rPr>
      </w:pPr>
      <w:r>
        <w:rPr>
          <w:rFonts w:ascii="Calibri" w:cs="Calibri" w:eastAsia="Calibri" w:hAnsi="Calibri"/>
          <w:sz w:val="16"/>
          <w:szCs w:val="16"/>
          <w:color w:val="auto"/>
        </w:rPr>
        <w:t>Stock-based compensation capitalized into inventory is recognized as cost of goods sold when the related product is sold.</w:t>
      </w:r>
    </w:p>
    <w:p>
      <w:pPr>
        <w:sectPr>
          <w:pgSz w:w="12240" w:h="15840" w:orient="portrait"/>
          <w:cols w:equalWidth="0" w:num="1">
            <w:col w:w="11160"/>
          </w:cols>
          <w:pgMar w:left="540" w:top="53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109</w:t>
      </w:r>
    </w:p>
    <w:p>
      <w:pPr>
        <w:sectPr>
          <w:pgSz w:w="12240" w:h="15840" w:orient="portrait"/>
          <w:cols w:equalWidth="0" w:num="1">
            <w:col w:w="11160"/>
          </w:cols>
          <w:pgMar w:left="540" w:top="533" w:right="540" w:bottom="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20"/>
          <w:szCs w:val="20"/>
          <w:b w:val="1"/>
          <w:bCs w:val="1"/>
          <w:color w:val="auto"/>
        </w:rPr>
        <w:t>Valuation Assumptions of Awards Granted to Employees</w:t>
      </w:r>
    </w:p>
    <w:p>
      <w:pPr>
        <w:spacing w:after="0" w:line="240"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The Company estimated the fair value of each stock option and awards granted under the ESPP on the date of grant using the Black-Scholes option-pricing model. The following table illustrates the weighted-average assumptions for the Black-Scholes option-pricing model used in determining the fair value of the awards during the years ended December 31, 2025 and 2024: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20" w:type="dxa"/>
            <w:vAlign w:val="bottom"/>
          </w:tcPr>
          <w:p>
            <w:pPr>
              <w:spacing w:after="0"/>
              <w:rPr>
                <w:sz w:val="18"/>
                <w:szCs w:val="18"/>
                <w:color w:val="auto"/>
              </w:rPr>
            </w:pPr>
          </w:p>
        </w:tc>
        <w:tc>
          <w:tcPr>
            <w:tcW w:w="2440" w:type="dxa"/>
            <w:vAlign w:val="bottom"/>
            <w:tcBorders>
              <w:bottom w:val="single" w:sz="8" w:color="auto"/>
            </w:tcBorders>
            <w:gridSpan w:val="3"/>
          </w:tcPr>
          <w:p>
            <w:pPr>
              <w:jc w:val="right"/>
              <w:ind w:right="280"/>
              <w:spacing w:after="0"/>
              <w:rPr>
                <w:sz w:val="20"/>
                <w:szCs w:val="20"/>
                <w:color w:val="auto"/>
              </w:rPr>
            </w:pPr>
            <w:r>
              <w:rPr>
                <w:rFonts w:ascii="Calibri" w:cs="Calibri" w:eastAsia="Calibri" w:hAnsi="Calibri"/>
                <w:sz w:val="16"/>
                <w:szCs w:val="16"/>
                <w:b w:val="1"/>
                <w:bCs w:val="1"/>
                <w:color w:val="auto"/>
              </w:rPr>
              <w:t>Year Ended December 31,</w:t>
            </w:r>
          </w:p>
        </w:tc>
      </w:tr>
      <w:tr>
        <w:trPr>
          <w:trHeight w:val="185"/>
        </w:trPr>
        <w:tc>
          <w:tcPr>
            <w:tcW w:w="8720" w:type="dxa"/>
            <w:vAlign w:val="bottom"/>
          </w:tcPr>
          <w:p>
            <w:pPr>
              <w:spacing w:after="0"/>
              <w:rPr>
                <w:sz w:val="16"/>
                <w:szCs w:val="16"/>
                <w:color w:val="auto"/>
              </w:rPr>
            </w:pPr>
          </w:p>
        </w:tc>
        <w:tc>
          <w:tcPr>
            <w:tcW w:w="1160" w:type="dxa"/>
            <w:vAlign w:val="bottom"/>
          </w:tcPr>
          <w:p>
            <w:pPr>
              <w:jc w:val="right"/>
              <w:ind w:right="324"/>
              <w:spacing w:after="0" w:line="185" w:lineRule="exact"/>
              <w:rPr>
                <w:sz w:val="20"/>
                <w:szCs w:val="20"/>
                <w:color w:val="auto"/>
              </w:rPr>
            </w:pPr>
            <w:r>
              <w:rPr>
                <w:rFonts w:ascii="Calibri" w:cs="Calibri" w:eastAsia="Calibri" w:hAnsi="Calibri"/>
                <w:sz w:val="16"/>
                <w:szCs w:val="16"/>
                <w:b w:val="1"/>
                <w:bCs w:val="1"/>
                <w:color w:val="auto"/>
              </w:rPr>
              <w:t>2025</w:t>
            </w:r>
          </w:p>
        </w:tc>
        <w:tc>
          <w:tcPr>
            <w:tcW w:w="1280" w:type="dxa"/>
            <w:vAlign w:val="bottom"/>
            <w:gridSpan w:val="2"/>
          </w:tcPr>
          <w:p>
            <w:pPr>
              <w:jc w:val="right"/>
              <w:ind w:right="320"/>
              <w:spacing w:after="0" w:line="185" w:lineRule="exact"/>
              <w:rPr>
                <w:sz w:val="20"/>
                <w:szCs w:val="20"/>
                <w:color w:val="auto"/>
              </w:rPr>
            </w:pPr>
            <w:r>
              <w:rPr>
                <w:rFonts w:ascii="Calibri" w:cs="Calibri" w:eastAsia="Calibri" w:hAnsi="Calibri"/>
                <w:sz w:val="16"/>
                <w:szCs w:val="16"/>
                <w:b w:val="1"/>
                <w:bCs w:val="1"/>
                <w:color w:val="auto"/>
              </w:rPr>
              <w:t>2024</w:t>
            </w:r>
          </w:p>
        </w:tc>
      </w:tr>
      <w:tr>
        <w:trPr>
          <w:trHeight w:val="234"/>
        </w:trPr>
        <w:tc>
          <w:tcPr>
            <w:tcW w:w="8720" w:type="dxa"/>
            <w:vAlign w:val="bottom"/>
            <w:tcBorders>
              <w:top w:val="single" w:sz="8" w:color="E5E5E5"/>
            </w:tcBorders>
            <w:shd w:val="clear" w:color="auto" w:fill="E5E5E5"/>
          </w:tcPr>
          <w:p>
            <w:pPr>
              <w:spacing w:after="0" w:line="234" w:lineRule="exact"/>
              <w:rPr>
                <w:sz w:val="20"/>
                <w:szCs w:val="20"/>
                <w:color w:val="auto"/>
              </w:rPr>
            </w:pPr>
            <w:r>
              <w:rPr>
                <w:rFonts w:ascii="Calibri" w:cs="Calibri" w:eastAsia="Calibri" w:hAnsi="Calibri"/>
                <w:sz w:val="20"/>
                <w:szCs w:val="20"/>
                <w:color w:val="auto"/>
              </w:rPr>
              <w:t>Expected term (years)</w:t>
            </w:r>
          </w:p>
        </w:tc>
        <w:tc>
          <w:tcPr>
            <w:tcW w:w="1160" w:type="dxa"/>
            <w:vAlign w:val="bottom"/>
            <w:tcBorders>
              <w:top w:val="single" w:sz="8" w:color="auto"/>
            </w:tcBorders>
            <w:shd w:val="clear" w:color="auto" w:fill="E5E5E5"/>
          </w:tcPr>
          <w:p>
            <w:pPr>
              <w:spacing w:after="0"/>
              <w:rPr>
                <w:sz w:val="20"/>
                <w:szCs w:val="20"/>
                <w:color w:val="auto"/>
              </w:rPr>
            </w:pPr>
          </w:p>
        </w:tc>
        <w:tc>
          <w:tcPr>
            <w:tcW w:w="120" w:type="dxa"/>
            <w:vAlign w:val="bottom"/>
            <w:tcBorders>
              <w:top w:val="single" w:sz="8" w:color="E5E5E5"/>
            </w:tcBorders>
            <w:shd w:val="clear" w:color="auto" w:fill="E5E5E5"/>
          </w:tcPr>
          <w:p>
            <w:pPr>
              <w:spacing w:after="0"/>
              <w:rPr>
                <w:sz w:val="20"/>
                <w:szCs w:val="20"/>
                <w:color w:val="auto"/>
              </w:rPr>
            </w:pPr>
          </w:p>
        </w:tc>
        <w:tc>
          <w:tcPr>
            <w:tcW w:w="1160" w:type="dxa"/>
            <w:vAlign w:val="bottom"/>
            <w:tcBorders>
              <w:top w:val="single" w:sz="8" w:color="auto"/>
            </w:tcBorders>
            <w:shd w:val="clear" w:color="auto" w:fill="E5E5E5"/>
          </w:tcPr>
          <w:p>
            <w:pPr>
              <w:spacing w:after="0"/>
              <w:rPr>
                <w:sz w:val="20"/>
                <w:szCs w:val="20"/>
                <w:color w:val="auto"/>
              </w:rPr>
            </w:pPr>
          </w:p>
        </w:tc>
      </w:tr>
      <w:tr>
        <w:trPr>
          <w:trHeight w:val="244"/>
        </w:trPr>
        <w:tc>
          <w:tcPr>
            <w:tcW w:w="8720" w:type="dxa"/>
            <w:vAlign w:val="bottom"/>
          </w:tcPr>
          <w:p>
            <w:pPr>
              <w:ind w:left="120"/>
              <w:spacing w:after="0"/>
              <w:rPr>
                <w:sz w:val="20"/>
                <w:szCs w:val="20"/>
                <w:color w:val="auto"/>
              </w:rPr>
            </w:pPr>
            <w:r>
              <w:rPr>
                <w:rFonts w:ascii="Calibri" w:cs="Calibri" w:eastAsia="Calibri" w:hAnsi="Calibri"/>
                <w:sz w:val="20"/>
                <w:szCs w:val="20"/>
                <w:color w:val="auto"/>
              </w:rPr>
              <w:t>Stock options</w:t>
            </w:r>
          </w:p>
        </w:tc>
        <w:tc>
          <w:tcPr>
            <w:tcW w:w="1160" w:type="dxa"/>
            <w:vAlign w:val="bottom"/>
          </w:tcPr>
          <w:p>
            <w:pPr>
              <w:jc w:val="right"/>
              <w:ind w:right="264"/>
              <w:spacing w:after="0"/>
              <w:rPr>
                <w:sz w:val="20"/>
                <w:szCs w:val="20"/>
                <w:color w:val="auto"/>
              </w:rPr>
            </w:pPr>
            <w:r>
              <w:rPr>
                <w:rFonts w:ascii="Calibri" w:cs="Calibri" w:eastAsia="Calibri" w:hAnsi="Calibri"/>
                <w:sz w:val="20"/>
                <w:szCs w:val="20"/>
                <w:color w:val="auto"/>
              </w:rPr>
              <w:t>6.4</w:t>
            </w:r>
          </w:p>
        </w:tc>
        <w:tc>
          <w:tcPr>
            <w:tcW w:w="1280" w:type="dxa"/>
            <w:vAlign w:val="bottom"/>
            <w:gridSpan w:val="2"/>
          </w:tcPr>
          <w:p>
            <w:pPr>
              <w:jc w:val="right"/>
              <w:ind w:right="240"/>
              <w:spacing w:after="0"/>
              <w:rPr>
                <w:sz w:val="20"/>
                <w:szCs w:val="20"/>
                <w:color w:val="auto"/>
              </w:rPr>
            </w:pPr>
            <w:r>
              <w:rPr>
                <w:rFonts w:ascii="Calibri" w:cs="Calibri" w:eastAsia="Calibri" w:hAnsi="Calibri"/>
                <w:sz w:val="20"/>
                <w:szCs w:val="20"/>
                <w:color w:val="auto"/>
              </w:rPr>
              <w:t>5.7</w:t>
            </w:r>
          </w:p>
        </w:tc>
      </w:tr>
      <w:tr>
        <w:trPr>
          <w:trHeight w:val="245"/>
        </w:trPr>
        <w:tc>
          <w:tcPr>
            <w:tcW w:w="872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ESPP</w:t>
            </w:r>
          </w:p>
        </w:tc>
        <w:tc>
          <w:tcPr>
            <w:tcW w:w="1160" w:type="dxa"/>
            <w:vAlign w:val="bottom"/>
            <w:shd w:val="clear" w:color="auto" w:fill="E5E5E5"/>
          </w:tcPr>
          <w:p>
            <w:pPr>
              <w:jc w:val="right"/>
              <w:ind w:right="264"/>
              <w:spacing w:after="0"/>
              <w:rPr>
                <w:sz w:val="20"/>
                <w:szCs w:val="20"/>
                <w:color w:val="auto"/>
              </w:rPr>
            </w:pPr>
            <w:r>
              <w:rPr>
                <w:rFonts w:ascii="Calibri" w:cs="Calibri" w:eastAsia="Calibri" w:hAnsi="Calibri"/>
                <w:sz w:val="20"/>
                <w:szCs w:val="20"/>
                <w:color w:val="auto"/>
              </w:rPr>
              <w:t>0.5</w:t>
            </w:r>
          </w:p>
        </w:tc>
        <w:tc>
          <w:tcPr>
            <w:tcW w:w="1280" w:type="dxa"/>
            <w:vAlign w:val="bottom"/>
            <w:gridSpan w:val="2"/>
            <w:shd w:val="clear" w:color="auto" w:fill="E5E5E5"/>
          </w:tcPr>
          <w:p>
            <w:pPr>
              <w:jc w:val="right"/>
              <w:ind w:right="240"/>
              <w:spacing w:after="0"/>
              <w:rPr>
                <w:sz w:val="20"/>
                <w:szCs w:val="20"/>
                <w:color w:val="auto"/>
              </w:rPr>
            </w:pPr>
            <w:r>
              <w:rPr>
                <w:rFonts w:ascii="Calibri" w:cs="Calibri" w:eastAsia="Calibri" w:hAnsi="Calibri"/>
                <w:sz w:val="20"/>
                <w:szCs w:val="20"/>
                <w:color w:val="auto"/>
              </w:rPr>
              <w:t>0.5</w:t>
            </w:r>
          </w:p>
        </w:tc>
      </w:tr>
      <w:tr>
        <w:trPr>
          <w:trHeight w:val="244"/>
        </w:trPr>
        <w:tc>
          <w:tcPr>
            <w:tcW w:w="8720" w:type="dxa"/>
            <w:vAlign w:val="bottom"/>
          </w:tcPr>
          <w:p>
            <w:pPr>
              <w:spacing w:after="0"/>
              <w:rPr>
                <w:sz w:val="20"/>
                <w:szCs w:val="20"/>
                <w:color w:val="auto"/>
              </w:rPr>
            </w:pPr>
            <w:r>
              <w:rPr>
                <w:rFonts w:ascii="Calibri" w:cs="Calibri" w:eastAsia="Calibri" w:hAnsi="Calibri"/>
                <w:sz w:val="20"/>
                <w:szCs w:val="20"/>
                <w:color w:val="auto"/>
              </w:rPr>
              <w:t>Expected volatility</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5"/>
        </w:trPr>
        <w:tc>
          <w:tcPr>
            <w:tcW w:w="872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Stock options</w:t>
            </w:r>
          </w:p>
        </w:tc>
        <w:tc>
          <w:tcPr>
            <w:tcW w:w="1160" w:type="dxa"/>
            <w:vAlign w:val="bottom"/>
            <w:shd w:val="clear" w:color="auto" w:fill="E5E5E5"/>
          </w:tcPr>
          <w:p>
            <w:pPr>
              <w:jc w:val="right"/>
              <w:ind w:right="44"/>
              <w:spacing w:after="0"/>
              <w:rPr>
                <w:sz w:val="20"/>
                <w:szCs w:val="20"/>
                <w:color w:val="auto"/>
              </w:rPr>
            </w:pPr>
            <w:r>
              <w:rPr>
                <w:rFonts w:ascii="Calibri" w:cs="Calibri" w:eastAsia="Calibri" w:hAnsi="Calibri"/>
                <w:sz w:val="20"/>
                <w:szCs w:val="20"/>
                <w:color w:val="auto"/>
              </w:rPr>
              <w:t>76 %</w:t>
            </w:r>
          </w:p>
        </w:tc>
        <w:tc>
          <w:tcPr>
            <w:tcW w:w="1280" w:type="dxa"/>
            <w:vAlign w:val="bottom"/>
            <w:gridSpan w:val="2"/>
            <w:shd w:val="clear" w:color="auto" w:fill="E5E5E5"/>
          </w:tcPr>
          <w:p>
            <w:pPr>
              <w:jc w:val="right"/>
              <w:ind w:right="40"/>
              <w:spacing w:after="0"/>
              <w:rPr>
                <w:sz w:val="20"/>
                <w:szCs w:val="20"/>
                <w:color w:val="auto"/>
              </w:rPr>
            </w:pPr>
            <w:r>
              <w:rPr>
                <w:rFonts w:ascii="Calibri" w:cs="Calibri" w:eastAsia="Calibri" w:hAnsi="Calibri"/>
                <w:sz w:val="20"/>
                <w:szCs w:val="20"/>
                <w:color w:val="auto"/>
              </w:rPr>
              <w:t>67 %</w:t>
            </w:r>
          </w:p>
        </w:tc>
      </w:tr>
      <w:tr>
        <w:trPr>
          <w:trHeight w:val="244"/>
        </w:trPr>
        <w:tc>
          <w:tcPr>
            <w:tcW w:w="8720" w:type="dxa"/>
            <w:vAlign w:val="bottom"/>
          </w:tcPr>
          <w:p>
            <w:pPr>
              <w:ind w:left="120"/>
              <w:spacing w:after="0"/>
              <w:rPr>
                <w:sz w:val="20"/>
                <w:szCs w:val="20"/>
                <w:color w:val="auto"/>
              </w:rPr>
            </w:pPr>
            <w:r>
              <w:rPr>
                <w:rFonts w:ascii="Calibri" w:cs="Calibri" w:eastAsia="Calibri" w:hAnsi="Calibri"/>
                <w:sz w:val="20"/>
                <w:szCs w:val="20"/>
                <w:color w:val="auto"/>
              </w:rPr>
              <w:t>ESPP</w:t>
            </w:r>
          </w:p>
        </w:tc>
        <w:tc>
          <w:tcPr>
            <w:tcW w:w="1160" w:type="dxa"/>
            <w:vAlign w:val="bottom"/>
          </w:tcPr>
          <w:p>
            <w:pPr>
              <w:jc w:val="right"/>
              <w:ind w:right="44"/>
              <w:spacing w:after="0"/>
              <w:rPr>
                <w:sz w:val="20"/>
                <w:szCs w:val="20"/>
                <w:color w:val="auto"/>
              </w:rPr>
            </w:pPr>
            <w:r>
              <w:rPr>
                <w:rFonts w:ascii="Calibri" w:cs="Calibri" w:eastAsia="Calibri" w:hAnsi="Calibri"/>
                <w:sz w:val="20"/>
                <w:szCs w:val="20"/>
                <w:color w:val="auto"/>
              </w:rPr>
              <w:t>94 %</w:t>
            </w:r>
          </w:p>
        </w:tc>
        <w:tc>
          <w:tcPr>
            <w:tcW w:w="1280" w:type="dxa"/>
            <w:vAlign w:val="bottom"/>
            <w:gridSpan w:val="2"/>
          </w:tcPr>
          <w:p>
            <w:pPr>
              <w:jc w:val="right"/>
              <w:ind w:right="40"/>
              <w:spacing w:after="0"/>
              <w:rPr>
                <w:sz w:val="20"/>
                <w:szCs w:val="20"/>
                <w:color w:val="auto"/>
              </w:rPr>
            </w:pPr>
            <w:r>
              <w:rPr>
                <w:rFonts w:ascii="Calibri" w:cs="Calibri" w:eastAsia="Calibri" w:hAnsi="Calibri"/>
                <w:sz w:val="20"/>
                <w:szCs w:val="20"/>
                <w:color w:val="auto"/>
              </w:rPr>
              <w:t>88 %</w:t>
            </w:r>
          </w:p>
        </w:tc>
      </w:tr>
      <w:tr>
        <w:trPr>
          <w:trHeight w:val="245"/>
        </w:trPr>
        <w:tc>
          <w:tcPr>
            <w:tcW w:w="8720" w:type="dxa"/>
            <w:vAlign w:val="bottom"/>
            <w:shd w:val="clear" w:color="auto" w:fill="E5E5E5"/>
          </w:tcPr>
          <w:p>
            <w:pPr>
              <w:spacing w:after="0"/>
              <w:rPr>
                <w:sz w:val="20"/>
                <w:szCs w:val="20"/>
                <w:color w:val="auto"/>
              </w:rPr>
            </w:pPr>
            <w:r>
              <w:rPr>
                <w:rFonts w:ascii="Calibri" w:cs="Calibri" w:eastAsia="Calibri" w:hAnsi="Calibri"/>
                <w:sz w:val="20"/>
                <w:szCs w:val="20"/>
                <w:color w:val="auto"/>
              </w:rPr>
              <w:t>Risk-free interest rate</w:t>
            </w:r>
          </w:p>
        </w:tc>
        <w:tc>
          <w:tcPr>
            <w:tcW w:w="1160" w:type="dxa"/>
            <w:vAlign w:val="bottom"/>
            <w:shd w:val="clear" w:color="auto" w:fill="E5E5E5"/>
          </w:tcPr>
          <w:p>
            <w:pPr>
              <w:spacing w:after="0"/>
              <w:rPr>
                <w:sz w:val="21"/>
                <w:szCs w:val="21"/>
                <w:color w:val="auto"/>
              </w:rPr>
            </w:pPr>
          </w:p>
        </w:tc>
        <w:tc>
          <w:tcPr>
            <w:tcW w:w="120" w:type="dxa"/>
            <w:vAlign w:val="bottom"/>
            <w:shd w:val="clear" w:color="auto" w:fill="E5E5E5"/>
          </w:tcPr>
          <w:p>
            <w:pPr>
              <w:spacing w:after="0"/>
              <w:rPr>
                <w:sz w:val="21"/>
                <w:szCs w:val="21"/>
                <w:color w:val="auto"/>
              </w:rPr>
            </w:pPr>
          </w:p>
        </w:tc>
        <w:tc>
          <w:tcPr>
            <w:tcW w:w="1160" w:type="dxa"/>
            <w:vAlign w:val="bottom"/>
            <w:shd w:val="clear" w:color="auto" w:fill="E5E5E5"/>
          </w:tcPr>
          <w:p>
            <w:pPr>
              <w:spacing w:after="0"/>
              <w:rPr>
                <w:sz w:val="21"/>
                <w:szCs w:val="21"/>
                <w:color w:val="auto"/>
              </w:rPr>
            </w:pPr>
          </w:p>
        </w:tc>
      </w:tr>
      <w:tr>
        <w:trPr>
          <w:trHeight w:val="244"/>
        </w:trPr>
        <w:tc>
          <w:tcPr>
            <w:tcW w:w="8720" w:type="dxa"/>
            <w:vAlign w:val="bottom"/>
          </w:tcPr>
          <w:p>
            <w:pPr>
              <w:ind w:left="120"/>
              <w:spacing w:after="0"/>
              <w:rPr>
                <w:sz w:val="20"/>
                <w:szCs w:val="20"/>
                <w:color w:val="auto"/>
              </w:rPr>
            </w:pPr>
            <w:r>
              <w:rPr>
                <w:rFonts w:ascii="Calibri" w:cs="Calibri" w:eastAsia="Calibri" w:hAnsi="Calibri"/>
                <w:sz w:val="20"/>
                <w:szCs w:val="20"/>
                <w:color w:val="auto"/>
              </w:rPr>
              <w:t>Stock options</w:t>
            </w:r>
          </w:p>
        </w:tc>
        <w:tc>
          <w:tcPr>
            <w:tcW w:w="1160" w:type="dxa"/>
            <w:vAlign w:val="bottom"/>
          </w:tcPr>
          <w:p>
            <w:pPr>
              <w:jc w:val="right"/>
              <w:ind w:right="44"/>
              <w:spacing w:after="0"/>
              <w:rPr>
                <w:sz w:val="20"/>
                <w:szCs w:val="20"/>
                <w:color w:val="auto"/>
              </w:rPr>
            </w:pPr>
            <w:r>
              <w:rPr>
                <w:rFonts w:ascii="Calibri" w:cs="Calibri" w:eastAsia="Calibri" w:hAnsi="Calibri"/>
                <w:sz w:val="20"/>
                <w:szCs w:val="20"/>
                <w:color w:val="auto"/>
              </w:rPr>
              <w:t>4.23 %</w:t>
            </w:r>
          </w:p>
        </w:tc>
        <w:tc>
          <w:tcPr>
            <w:tcW w:w="1280" w:type="dxa"/>
            <w:vAlign w:val="bottom"/>
            <w:gridSpan w:val="2"/>
          </w:tcPr>
          <w:p>
            <w:pPr>
              <w:jc w:val="right"/>
              <w:ind w:right="40"/>
              <w:spacing w:after="0"/>
              <w:rPr>
                <w:sz w:val="20"/>
                <w:szCs w:val="20"/>
                <w:color w:val="auto"/>
              </w:rPr>
            </w:pPr>
            <w:r>
              <w:rPr>
                <w:rFonts w:ascii="Calibri" w:cs="Calibri" w:eastAsia="Calibri" w:hAnsi="Calibri"/>
                <w:sz w:val="20"/>
                <w:szCs w:val="20"/>
                <w:color w:val="auto"/>
              </w:rPr>
              <w:t>3.97 %</w:t>
            </w:r>
          </w:p>
        </w:tc>
      </w:tr>
      <w:tr>
        <w:trPr>
          <w:trHeight w:val="245"/>
        </w:trPr>
        <w:tc>
          <w:tcPr>
            <w:tcW w:w="872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ESPP</w:t>
            </w:r>
          </w:p>
        </w:tc>
        <w:tc>
          <w:tcPr>
            <w:tcW w:w="1160" w:type="dxa"/>
            <w:vAlign w:val="bottom"/>
            <w:shd w:val="clear" w:color="auto" w:fill="E5E5E5"/>
          </w:tcPr>
          <w:p>
            <w:pPr>
              <w:jc w:val="right"/>
              <w:ind w:right="44"/>
              <w:spacing w:after="0"/>
              <w:rPr>
                <w:sz w:val="20"/>
                <w:szCs w:val="20"/>
                <w:color w:val="auto"/>
              </w:rPr>
            </w:pPr>
            <w:r>
              <w:rPr>
                <w:rFonts w:ascii="Calibri" w:cs="Calibri" w:eastAsia="Calibri" w:hAnsi="Calibri"/>
                <w:sz w:val="20"/>
                <w:szCs w:val="20"/>
                <w:color w:val="auto"/>
              </w:rPr>
              <w:t>4.08 %</w:t>
            </w:r>
          </w:p>
        </w:tc>
        <w:tc>
          <w:tcPr>
            <w:tcW w:w="1280" w:type="dxa"/>
            <w:vAlign w:val="bottom"/>
            <w:gridSpan w:val="2"/>
            <w:shd w:val="clear" w:color="auto" w:fill="E5E5E5"/>
          </w:tcPr>
          <w:p>
            <w:pPr>
              <w:jc w:val="right"/>
              <w:ind w:right="40"/>
              <w:spacing w:after="0"/>
              <w:rPr>
                <w:sz w:val="20"/>
                <w:szCs w:val="20"/>
                <w:color w:val="auto"/>
              </w:rPr>
            </w:pPr>
            <w:r>
              <w:rPr>
                <w:rFonts w:ascii="Calibri" w:cs="Calibri" w:eastAsia="Calibri" w:hAnsi="Calibri"/>
                <w:sz w:val="20"/>
                <w:szCs w:val="20"/>
                <w:color w:val="auto"/>
              </w:rPr>
              <w:t>4.94 %</w:t>
            </w:r>
          </w:p>
        </w:tc>
      </w:tr>
      <w:tr>
        <w:trPr>
          <w:trHeight w:val="244"/>
        </w:trPr>
        <w:tc>
          <w:tcPr>
            <w:tcW w:w="8720" w:type="dxa"/>
            <w:vAlign w:val="bottom"/>
          </w:tcPr>
          <w:p>
            <w:pPr>
              <w:spacing w:after="0"/>
              <w:rPr>
                <w:sz w:val="20"/>
                <w:szCs w:val="20"/>
                <w:color w:val="auto"/>
              </w:rPr>
            </w:pPr>
            <w:r>
              <w:rPr>
                <w:rFonts w:ascii="Calibri" w:cs="Calibri" w:eastAsia="Calibri" w:hAnsi="Calibri"/>
                <w:sz w:val="20"/>
                <w:szCs w:val="20"/>
                <w:color w:val="auto"/>
              </w:rPr>
              <w:t>Expected dividend yield</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4"/>
        </w:trPr>
        <w:tc>
          <w:tcPr>
            <w:tcW w:w="872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Stock options</w:t>
            </w:r>
          </w:p>
        </w:tc>
        <w:tc>
          <w:tcPr>
            <w:tcW w:w="1160" w:type="dxa"/>
            <w:vAlign w:val="bottom"/>
            <w:shd w:val="clear" w:color="auto" w:fill="E5E5E5"/>
          </w:tcPr>
          <w:p>
            <w:pPr>
              <w:jc w:val="right"/>
              <w:ind w:right="44"/>
              <w:spacing w:after="0"/>
              <w:rPr>
                <w:sz w:val="20"/>
                <w:szCs w:val="20"/>
                <w:color w:val="auto"/>
              </w:rPr>
            </w:pPr>
            <w:r>
              <w:rPr>
                <w:rFonts w:ascii="Calibri" w:cs="Calibri" w:eastAsia="Calibri" w:hAnsi="Calibri"/>
                <w:sz w:val="20"/>
                <w:szCs w:val="20"/>
                <w:color w:val="auto"/>
              </w:rPr>
              <w:t>— %</w:t>
            </w:r>
          </w:p>
        </w:tc>
        <w:tc>
          <w:tcPr>
            <w:tcW w:w="120" w:type="dxa"/>
            <w:vAlign w:val="bottom"/>
            <w:shd w:val="clear" w:color="auto" w:fill="E5E5E5"/>
          </w:tcPr>
          <w:p>
            <w:pPr>
              <w:spacing w:after="0"/>
              <w:rPr>
                <w:sz w:val="21"/>
                <w:szCs w:val="21"/>
                <w:color w:val="auto"/>
              </w:rPr>
            </w:pPr>
          </w:p>
        </w:tc>
        <w:tc>
          <w:tcPr>
            <w:tcW w:w="1160" w:type="dxa"/>
            <w:vAlign w:val="bottom"/>
            <w:shd w:val="clear" w:color="auto" w:fill="E5E5E5"/>
          </w:tcPr>
          <w:p>
            <w:pPr>
              <w:jc w:val="right"/>
              <w:ind w:right="40"/>
              <w:spacing w:after="0"/>
              <w:rPr>
                <w:sz w:val="20"/>
                <w:szCs w:val="20"/>
                <w:color w:val="auto"/>
              </w:rPr>
            </w:pPr>
            <w:r>
              <w:rPr>
                <w:rFonts w:ascii="Calibri" w:cs="Calibri" w:eastAsia="Calibri" w:hAnsi="Calibri"/>
                <w:sz w:val="20"/>
                <w:szCs w:val="20"/>
                <w:color w:val="auto"/>
              </w:rPr>
              <w:t>— %</w:t>
            </w:r>
          </w:p>
        </w:tc>
      </w:tr>
      <w:tr>
        <w:trPr>
          <w:trHeight w:val="266"/>
        </w:trPr>
        <w:tc>
          <w:tcPr>
            <w:tcW w:w="8720" w:type="dxa"/>
            <w:vAlign w:val="bottom"/>
          </w:tcPr>
          <w:p>
            <w:pPr>
              <w:ind w:left="120"/>
              <w:spacing w:after="0"/>
              <w:rPr>
                <w:sz w:val="20"/>
                <w:szCs w:val="20"/>
                <w:color w:val="auto"/>
              </w:rPr>
            </w:pPr>
            <w:r>
              <w:rPr>
                <w:rFonts w:ascii="Calibri" w:cs="Calibri" w:eastAsia="Calibri" w:hAnsi="Calibri"/>
                <w:sz w:val="20"/>
                <w:szCs w:val="20"/>
                <w:color w:val="auto"/>
              </w:rPr>
              <w:t>ESPP</w:t>
            </w:r>
          </w:p>
        </w:tc>
        <w:tc>
          <w:tcPr>
            <w:tcW w:w="1160" w:type="dxa"/>
            <w:vAlign w:val="bottom"/>
          </w:tcPr>
          <w:p>
            <w:pPr>
              <w:jc w:val="right"/>
              <w:ind w:right="44"/>
              <w:spacing w:after="0"/>
              <w:rPr>
                <w:sz w:val="20"/>
                <w:szCs w:val="20"/>
                <w:color w:val="auto"/>
              </w:rPr>
            </w:pPr>
            <w:r>
              <w:rPr>
                <w:rFonts w:ascii="Calibri" w:cs="Calibri" w:eastAsia="Calibri" w:hAnsi="Calibri"/>
                <w:sz w:val="20"/>
                <w:szCs w:val="20"/>
                <w:color w:val="auto"/>
              </w:rPr>
              <w:t>— %</w:t>
            </w:r>
          </w:p>
        </w:tc>
        <w:tc>
          <w:tcPr>
            <w:tcW w:w="12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Calibri" w:cs="Calibri" w:eastAsia="Calibri" w:hAnsi="Calibri"/>
                <w:sz w:val="20"/>
                <w:szCs w:val="20"/>
                <w:color w:val="auto"/>
              </w:rPr>
              <w:t>— %</w:t>
            </w:r>
          </w:p>
        </w:tc>
      </w:tr>
    </w:tbl>
    <w:p>
      <w:pPr>
        <w:spacing w:after="0" w:line="207" w:lineRule="exact"/>
        <w:rPr>
          <w:sz w:val="20"/>
          <w:szCs w:val="20"/>
          <w:color w:val="auto"/>
        </w:rPr>
      </w:pPr>
    </w:p>
    <w:p>
      <w:pPr>
        <w:jc w:val="both"/>
        <w:ind w:firstLine="720"/>
        <w:spacing w:after="0" w:line="263" w:lineRule="auto"/>
        <w:rPr>
          <w:sz w:val="20"/>
          <w:szCs w:val="20"/>
          <w:color w:val="auto"/>
        </w:rPr>
      </w:pPr>
      <w:r>
        <w:rPr>
          <w:rFonts w:ascii="Calibri" w:cs="Calibri" w:eastAsia="Calibri" w:hAnsi="Calibri"/>
          <w:sz w:val="20"/>
          <w:szCs w:val="20"/>
          <w:i w:val="1"/>
          <w:iCs w:val="1"/>
          <w:color w:val="auto"/>
        </w:rPr>
        <w:t xml:space="preserve">Expected Term: </w:t>
      </w:r>
      <w:r>
        <w:rPr>
          <w:rFonts w:ascii="Calibri" w:cs="Calibri" w:eastAsia="Calibri" w:hAnsi="Calibri"/>
          <w:sz w:val="20"/>
          <w:szCs w:val="20"/>
          <w:color w:val="auto"/>
        </w:rPr>
        <w:t>The expected term represents the period for which the stock-based awards are expected to be outstanding and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is based on the options’ vesting term and contractual term, which is derived from the Company’s historical data.</w:t>
      </w:r>
    </w:p>
    <w:p>
      <w:pPr>
        <w:spacing w:after="0" w:line="193" w:lineRule="exact"/>
        <w:rPr>
          <w:sz w:val="20"/>
          <w:szCs w:val="20"/>
          <w:color w:val="auto"/>
        </w:rPr>
      </w:pPr>
    </w:p>
    <w:p>
      <w:pPr>
        <w:jc w:val="both"/>
        <w:ind w:firstLine="720"/>
        <w:spacing w:after="0" w:line="263" w:lineRule="auto"/>
        <w:rPr>
          <w:sz w:val="20"/>
          <w:szCs w:val="20"/>
          <w:color w:val="auto"/>
        </w:rPr>
      </w:pPr>
      <w:r>
        <w:rPr>
          <w:rFonts w:ascii="Calibri" w:cs="Calibri" w:eastAsia="Calibri" w:hAnsi="Calibri"/>
          <w:sz w:val="20"/>
          <w:szCs w:val="20"/>
          <w:i w:val="1"/>
          <w:iCs w:val="1"/>
          <w:color w:val="auto"/>
        </w:rPr>
        <w:t xml:space="preserve">Expected Volatility: </w:t>
      </w:r>
      <w:r>
        <w:rPr>
          <w:rFonts w:ascii="Calibri" w:cs="Calibri" w:eastAsia="Calibri" w:hAnsi="Calibri"/>
          <w:sz w:val="20"/>
          <w:szCs w:val="20"/>
          <w:color w:val="auto"/>
        </w:rPr>
        <w:t>The expected volatility is calculated based on the Company’s daily stock closing prices for a period equal to</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the expected life of the award.</w:t>
      </w:r>
    </w:p>
    <w:p>
      <w:pPr>
        <w:spacing w:after="0" w:line="193" w:lineRule="exact"/>
        <w:rPr>
          <w:sz w:val="20"/>
          <w:szCs w:val="20"/>
          <w:color w:val="auto"/>
        </w:rPr>
      </w:pPr>
    </w:p>
    <w:p>
      <w:pPr>
        <w:jc w:val="both"/>
        <w:ind w:firstLine="720"/>
        <w:spacing w:after="0" w:line="263" w:lineRule="auto"/>
        <w:rPr>
          <w:sz w:val="20"/>
          <w:szCs w:val="20"/>
          <w:color w:val="auto"/>
        </w:rPr>
      </w:pPr>
      <w:r>
        <w:rPr>
          <w:rFonts w:ascii="Calibri" w:cs="Calibri" w:eastAsia="Calibri" w:hAnsi="Calibri"/>
          <w:sz w:val="20"/>
          <w:szCs w:val="20"/>
          <w:i w:val="1"/>
          <w:iCs w:val="1"/>
          <w:color w:val="auto"/>
        </w:rPr>
        <w:t xml:space="preserve">Risk-Free Interest Rate: </w:t>
      </w:r>
      <w:r>
        <w:rPr>
          <w:rFonts w:ascii="Calibri" w:cs="Calibri" w:eastAsia="Calibri" w:hAnsi="Calibri"/>
          <w:sz w:val="20"/>
          <w:szCs w:val="20"/>
          <w:color w:val="auto"/>
        </w:rPr>
        <w:t>The risk-free interest rate is based on the United States Treasury constant maturity rate at the time of</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grant using a term equal to the expected life.</w:t>
      </w:r>
    </w:p>
    <w:p>
      <w:pPr>
        <w:spacing w:after="0" w:line="193" w:lineRule="exact"/>
        <w:rPr>
          <w:sz w:val="20"/>
          <w:szCs w:val="20"/>
          <w:color w:val="auto"/>
        </w:rPr>
      </w:pPr>
    </w:p>
    <w:p>
      <w:pPr>
        <w:jc w:val="both"/>
        <w:ind w:firstLine="720"/>
        <w:spacing w:after="0" w:line="263" w:lineRule="auto"/>
        <w:rPr>
          <w:sz w:val="20"/>
          <w:szCs w:val="20"/>
          <w:color w:val="auto"/>
        </w:rPr>
      </w:pPr>
      <w:r>
        <w:rPr>
          <w:rFonts w:ascii="Calibri" w:cs="Calibri" w:eastAsia="Calibri" w:hAnsi="Calibri"/>
          <w:sz w:val="20"/>
          <w:szCs w:val="20"/>
          <w:i w:val="1"/>
          <w:iCs w:val="1"/>
          <w:color w:val="auto"/>
        </w:rPr>
        <w:t xml:space="preserve">Expected Dividends: </w:t>
      </w:r>
      <w:r>
        <w:rPr>
          <w:rFonts w:ascii="Calibri" w:cs="Calibri" w:eastAsia="Calibri" w:hAnsi="Calibri"/>
          <w:sz w:val="20"/>
          <w:szCs w:val="20"/>
          <w:color w:val="auto"/>
        </w:rPr>
        <w:t>The Company has not paid and does not anticipate paying any dividends in the near future, and therefore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used an expected dividend yield of zero in the valuation model.</w:t>
      </w:r>
    </w:p>
    <w:p>
      <w:pPr>
        <w:spacing w:after="0" w:line="19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401(k) Retirement Plan</w:t>
      </w:r>
    </w:p>
    <w:p>
      <w:pPr>
        <w:spacing w:after="0" w:line="240" w:lineRule="exact"/>
        <w:rPr>
          <w:sz w:val="20"/>
          <w:szCs w:val="20"/>
          <w:color w:val="auto"/>
        </w:rPr>
      </w:pPr>
    </w:p>
    <w:p>
      <w:pPr>
        <w:jc w:val="both"/>
        <w:ind w:firstLine="720"/>
        <w:spacing w:after="0" w:line="244" w:lineRule="auto"/>
        <w:rPr>
          <w:sz w:val="20"/>
          <w:szCs w:val="20"/>
          <w:color w:val="auto"/>
        </w:rPr>
      </w:pPr>
      <w:r>
        <w:rPr>
          <w:rFonts w:ascii="Calibri" w:cs="Calibri" w:eastAsia="Calibri" w:hAnsi="Calibri"/>
          <w:sz w:val="20"/>
          <w:szCs w:val="20"/>
          <w:color w:val="auto"/>
        </w:rPr>
        <w:t>In 2019, the Compensation Committee of the Board approved the Company’s matching of employee contributions towards their individual 401(k) Plans whereby eligible employees may elect to contribute up to the lesser of 90% of their annual compensation or the statutorily prescribed annual limit allowable under Internal Revenue Service regulations. The Company makes matching contributions of 100% of the first 4% of eligible compensation that an employee contributes to his or her 401(k) plan, up to a maximum of $7,500 each year. The Company recorded compensation expense in continuing operations related to the match of $0.9 million and $1.2 million for the years ended December 31, 2025 and 2024, respectively.</w:t>
      </w:r>
    </w:p>
    <w:p>
      <w:pPr>
        <w:spacing w:after="0" w:line="220" w:lineRule="exact"/>
        <w:rPr>
          <w:sz w:val="20"/>
          <w:szCs w:val="20"/>
          <w:color w:val="auto"/>
        </w:rPr>
      </w:pPr>
    </w:p>
    <w:p>
      <w:pPr>
        <w:ind w:left="720" w:hanging="713"/>
        <w:spacing w:after="0"/>
        <w:tabs>
          <w:tab w:leader="none" w:pos="720" w:val="left"/>
        </w:tabs>
        <w:numPr>
          <w:ilvl w:val="0"/>
          <w:numId w:val="7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Income Taxes</w:t>
      </w:r>
    </w:p>
    <w:p>
      <w:pPr>
        <w:spacing w:after="0" w:line="241" w:lineRule="exact"/>
        <w:rPr>
          <w:rFonts w:ascii="Calibri" w:cs="Calibri" w:eastAsia="Calibri" w:hAnsi="Calibri"/>
          <w:sz w:val="20"/>
          <w:szCs w:val="20"/>
          <w:b w:val="1"/>
          <w:bCs w:val="1"/>
          <w:color w:val="auto"/>
        </w:rPr>
      </w:pPr>
    </w:p>
    <w:p>
      <w:pPr>
        <w:ind w:left="720"/>
        <w:spacing w:after="0"/>
        <w:rPr>
          <w:rFonts w:ascii="Calibri" w:cs="Calibri" w:eastAsia="Calibri" w:hAnsi="Calibri"/>
          <w:sz w:val="20"/>
          <w:szCs w:val="20"/>
          <w:b w:val="1"/>
          <w:bCs w:val="1"/>
          <w:color w:val="auto"/>
        </w:rPr>
      </w:pPr>
      <w:r>
        <w:rPr>
          <w:rFonts w:ascii="Calibri" w:cs="Calibri" w:eastAsia="Calibri" w:hAnsi="Calibri"/>
          <w:sz w:val="20"/>
          <w:szCs w:val="20"/>
          <w:color w:val="auto"/>
        </w:rPr>
        <w:t>The components of loss from continuing operations before income taxes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2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200" w:type="dxa"/>
            <w:vAlign w:val="bottom"/>
          </w:tcPr>
          <w:p>
            <w:pPr>
              <w:spacing w:after="0"/>
              <w:rPr>
                <w:sz w:val="18"/>
                <w:szCs w:val="18"/>
                <w:color w:val="auto"/>
              </w:rPr>
            </w:pPr>
          </w:p>
        </w:tc>
        <w:tc>
          <w:tcPr>
            <w:tcW w:w="2260" w:type="dxa"/>
            <w:vAlign w:val="bottom"/>
            <w:gridSpan w:val="5"/>
          </w:tcPr>
          <w:p>
            <w:pPr>
              <w:jc w:val="right"/>
              <w:ind w:right="400"/>
              <w:spacing w:after="0"/>
              <w:rPr>
                <w:sz w:val="20"/>
                <w:szCs w:val="20"/>
                <w:color w:val="auto"/>
              </w:rPr>
            </w:pPr>
            <w:r>
              <w:rPr>
                <w:rFonts w:ascii="Calibri" w:cs="Calibri" w:eastAsia="Calibri" w:hAnsi="Calibri"/>
                <w:sz w:val="16"/>
                <w:szCs w:val="16"/>
                <w:b w:val="1"/>
                <w:bCs w:val="1"/>
                <w:color w:val="auto"/>
              </w:rPr>
              <w:t>Year Ended December 31,</w:t>
            </w:r>
          </w:p>
        </w:tc>
        <w:tc>
          <w:tcPr>
            <w:tcW w:w="0" w:type="dxa"/>
            <w:vAlign w:val="bottom"/>
          </w:tcPr>
          <w:p>
            <w:pPr>
              <w:spacing w:after="0"/>
              <w:rPr>
                <w:sz w:val="1"/>
                <w:szCs w:val="1"/>
                <w:color w:val="auto"/>
              </w:rPr>
            </w:pPr>
          </w:p>
        </w:tc>
      </w:tr>
      <w:tr>
        <w:trPr>
          <w:trHeight w:val="185"/>
        </w:trPr>
        <w:tc>
          <w:tcPr>
            <w:tcW w:w="8720" w:type="dxa"/>
            <w:vAlign w:val="bottom"/>
            <w:tcBorders>
              <w:bottom w:val="single" w:sz="8" w:color="E5E5E5"/>
            </w:tcBorders>
            <w:vMerge w:val="continue"/>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88"/>
              <w:spacing w:after="0" w:line="185" w:lineRule="exact"/>
              <w:rPr>
                <w:sz w:val="20"/>
                <w:szCs w:val="20"/>
                <w:color w:val="auto"/>
              </w:rPr>
            </w:pPr>
            <w:r>
              <w:rPr>
                <w:rFonts w:ascii="Calibri" w:cs="Calibri" w:eastAsia="Calibri" w:hAnsi="Calibri"/>
                <w:sz w:val="16"/>
                <w:szCs w:val="16"/>
                <w:b w:val="1"/>
                <w:bCs w:val="1"/>
                <w:color w:val="auto"/>
              </w:rPr>
              <w:t>2025</w:t>
            </w:r>
          </w:p>
        </w:tc>
        <w:tc>
          <w:tcPr>
            <w:tcW w:w="280" w:type="dxa"/>
            <w:vAlign w:val="bottom"/>
            <w:tcBorders>
              <w:top w:val="single" w:sz="8" w:color="auto"/>
              <w:bottom w:val="single" w:sz="8" w:color="E5E5E5"/>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85"/>
              <w:spacing w:after="0" w:line="185" w:lineRule="exact"/>
              <w:rPr>
                <w:sz w:val="20"/>
                <w:szCs w:val="20"/>
                <w:color w:val="auto"/>
              </w:rPr>
            </w:pPr>
            <w:r>
              <w:rPr>
                <w:rFonts w:ascii="Calibri" w:cs="Calibri" w:eastAsia="Calibri" w:hAnsi="Calibri"/>
                <w:sz w:val="16"/>
                <w:szCs w:val="16"/>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72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Domestic</w:t>
            </w:r>
          </w:p>
        </w:tc>
        <w:tc>
          <w:tcPr>
            <w:tcW w:w="20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w w:val="98"/>
              </w:rPr>
              <w:t>$</w:t>
            </w:r>
          </w:p>
        </w:tc>
        <w:tc>
          <w:tcPr>
            <w:tcW w:w="1160" w:type="dxa"/>
            <w:vAlign w:val="bottom"/>
            <w:tcBorders>
              <w:right w:val="single" w:sz="8" w:color="E5E5E5"/>
            </w:tcBorders>
            <w:gridSpan w:val="2"/>
            <w:shd w:val="clear" w:color="auto" w:fill="E5E5E5"/>
          </w:tcPr>
          <w:p>
            <w:pPr>
              <w:jc w:val="right"/>
              <w:ind w:right="280"/>
              <w:spacing w:after="0" w:line="234" w:lineRule="exact"/>
              <w:rPr>
                <w:sz w:val="20"/>
                <w:szCs w:val="20"/>
                <w:color w:val="auto"/>
              </w:rPr>
            </w:pPr>
            <w:r>
              <w:rPr>
                <w:rFonts w:ascii="Calibri" w:cs="Calibri" w:eastAsia="Calibri" w:hAnsi="Calibri"/>
                <w:sz w:val="20"/>
                <w:szCs w:val="20"/>
                <w:color w:val="auto"/>
              </w:rPr>
              <w:t>(183,124)</w:t>
            </w:r>
          </w:p>
        </w:tc>
        <w:tc>
          <w:tcPr>
            <w:tcW w:w="20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88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(215,394)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8720" w:type="dxa"/>
            <w:vAlign w:val="bottom"/>
            <w:tcBorders>
              <w:bottom w:val="single" w:sz="8" w:color="E5E5E5"/>
            </w:tcBorders>
          </w:tcPr>
          <w:p>
            <w:pPr>
              <w:spacing w:after="0"/>
              <w:rPr>
                <w:sz w:val="20"/>
                <w:szCs w:val="20"/>
                <w:color w:val="auto"/>
              </w:rPr>
            </w:pPr>
            <w:r>
              <w:rPr>
                <w:rFonts w:ascii="Calibri" w:cs="Calibri" w:eastAsia="Calibri" w:hAnsi="Calibri"/>
                <w:sz w:val="20"/>
                <w:szCs w:val="20"/>
                <w:color w:val="auto"/>
              </w:rPr>
              <w:t>Foreign</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w:t>
            </w:r>
          </w:p>
        </w:tc>
        <w:tc>
          <w:tcPr>
            <w:tcW w:w="280" w:type="dxa"/>
            <w:vAlign w:val="bottom"/>
            <w:tcBorders>
              <w:bottom w:val="single" w:sz="8" w:color="E5E5E5"/>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720" w:type="dxa"/>
            <w:vAlign w:val="bottom"/>
            <w:shd w:val="clear" w:color="auto" w:fill="E5E5E5"/>
          </w:tcPr>
          <w:p>
            <w:pPr>
              <w:spacing w:after="0" w:line="235" w:lineRule="exact"/>
              <w:rPr>
                <w:sz w:val="20"/>
                <w:szCs w:val="20"/>
                <w:color w:val="auto"/>
              </w:rPr>
            </w:pPr>
            <w:r>
              <w:rPr>
                <w:rFonts w:ascii="Calibri" w:cs="Calibri" w:eastAsia="Calibri" w:hAnsi="Calibri"/>
                <w:sz w:val="20"/>
                <w:szCs w:val="20"/>
                <w:color w:val="auto"/>
              </w:rPr>
              <w:t>Total</w:t>
            </w:r>
          </w:p>
        </w:tc>
        <w:tc>
          <w:tcPr>
            <w:tcW w:w="20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w w:val="98"/>
              </w:rPr>
              <w:t>$</w:t>
            </w:r>
          </w:p>
        </w:tc>
        <w:tc>
          <w:tcPr>
            <w:tcW w:w="1160" w:type="dxa"/>
            <w:vAlign w:val="bottom"/>
            <w:tcBorders>
              <w:right w:val="single" w:sz="8" w:color="E5E5E5"/>
            </w:tcBorders>
            <w:gridSpan w:val="2"/>
            <w:shd w:val="clear" w:color="auto" w:fill="E5E5E5"/>
          </w:tcPr>
          <w:p>
            <w:pPr>
              <w:jc w:val="right"/>
              <w:ind w:right="280"/>
              <w:spacing w:after="0" w:line="235" w:lineRule="exact"/>
              <w:rPr>
                <w:sz w:val="20"/>
                <w:szCs w:val="20"/>
                <w:color w:val="auto"/>
              </w:rPr>
            </w:pPr>
            <w:r>
              <w:rPr>
                <w:rFonts w:ascii="Calibri" w:cs="Calibri" w:eastAsia="Calibri" w:hAnsi="Calibri"/>
                <w:sz w:val="20"/>
                <w:szCs w:val="20"/>
                <w:color w:val="auto"/>
              </w:rPr>
              <w:t>(183,124)</w:t>
            </w:r>
          </w:p>
        </w:tc>
        <w:tc>
          <w:tcPr>
            <w:tcW w:w="20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w w:val="78"/>
              </w:rPr>
              <w:t>$</w:t>
            </w:r>
          </w:p>
        </w:tc>
        <w:tc>
          <w:tcPr>
            <w:tcW w:w="88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(215,394)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8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720"/>
        <w:spacing w:after="0" w:line="263" w:lineRule="auto"/>
        <w:rPr>
          <w:sz w:val="20"/>
          <w:szCs w:val="20"/>
          <w:color w:val="auto"/>
        </w:rPr>
      </w:pPr>
      <w:r>
        <w:rPr>
          <w:rFonts w:ascii="Calibri" w:cs="Calibri" w:eastAsia="Calibri" w:hAnsi="Calibri"/>
          <w:sz w:val="20"/>
          <w:szCs w:val="20"/>
          <w:color w:val="auto"/>
        </w:rPr>
        <w:t>No income tax provision or benefit was recorded for the years ended December 31, 2025 and 2024, as the Company did not generate taxable income and maintained a full valuation allowance against its deferred tax assets.</w:t>
      </w:r>
    </w:p>
    <w:p>
      <w:pPr>
        <w:sectPr>
          <w:pgSz w:w="12240" w:h="15840" w:orient="portrait"/>
          <w:cols w:equalWidth="0" w:num="1">
            <w:col w:w="11160"/>
          </w:cols>
          <w:pgMar w:left="540" w:top="53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110</w:t>
      </w:r>
    </w:p>
    <w:p>
      <w:pPr>
        <w:sectPr>
          <w:pgSz w:w="12240" w:h="15840" w:orient="portrait"/>
          <w:cols w:equalWidth="0" w:num="1">
            <w:col w:w="11160"/>
          </w:cols>
          <w:pgMar w:left="540" w:top="531" w:right="540" w:bottom="0" w:gutter="0" w:footer="0" w:header="0"/>
          <w:type w:val="continuous"/>
        </w:sectPr>
      </w:pPr>
    </w:p>
    <w:bookmarkStart w:id="112" w:name="page113"/>
    <w:bookmarkEnd w:id="112"/>
    <w:p>
      <w:pPr>
        <w:jc w:val="both"/>
        <w:ind w:firstLine="720"/>
        <w:spacing w:after="0" w:line="262" w:lineRule="auto"/>
        <w:rPr>
          <w:sz w:val="20"/>
          <w:szCs w:val="20"/>
          <w:color w:val="auto"/>
        </w:rPr>
      </w:pPr>
      <w:r>
        <w:rPr>
          <w:rFonts w:ascii="Calibri" w:cs="Calibri" w:eastAsia="Calibri" w:hAnsi="Calibri"/>
          <w:sz w:val="20"/>
          <w:szCs w:val="20"/>
          <w:color w:val="auto"/>
        </w:rPr>
        <w:t>The reconciliation of the statutory United States federal income tax rate to the Company’s loss from continuing operations before income taxes reflecting the Company’s adoption of ASU 2023-09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7"/>
          </w:tcPr>
          <w:p>
            <w:pPr>
              <w:ind w:left="120"/>
              <w:spacing w:after="0"/>
              <w:rPr>
                <w:sz w:val="20"/>
                <w:szCs w:val="20"/>
                <w:color w:val="auto"/>
              </w:rPr>
            </w:pPr>
            <w:r>
              <w:rPr>
                <w:rFonts w:ascii="Calibri" w:cs="Calibri" w:eastAsia="Calibri" w:hAnsi="Calibri"/>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840" w:type="dxa"/>
            <w:vAlign w:val="bottom"/>
            <w:vMerge w:val="restart"/>
          </w:tcPr>
          <w:p>
            <w:pPr>
              <w:spacing w:after="0"/>
              <w:rPr>
                <w:sz w:val="20"/>
                <w:szCs w:val="20"/>
                <w:color w:val="auto"/>
              </w:rPr>
            </w:pPr>
            <w:r>
              <w:rPr>
                <w:rFonts w:ascii="Calibri" w:cs="Calibri" w:eastAsia="Calibri" w:hAnsi="Calibri"/>
                <w:sz w:val="16"/>
                <w:szCs w:val="16"/>
                <w:b w:val="1"/>
                <w:bCs w:val="1"/>
                <w:color w:val="auto"/>
              </w:rPr>
              <w:t>(amount in thousands)</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60"/>
              <w:spacing w:after="0" w:line="187" w:lineRule="exact"/>
              <w:rPr>
                <w:sz w:val="20"/>
                <w:szCs w:val="20"/>
                <w:color w:val="auto"/>
              </w:rPr>
            </w:pPr>
            <w:r>
              <w:rPr>
                <w:rFonts w:ascii="Calibri" w:cs="Calibri" w:eastAsia="Calibri" w:hAnsi="Calibri"/>
                <w:sz w:val="16"/>
                <w:szCs w:val="16"/>
                <w:b w:val="1"/>
                <w:bCs w:val="1"/>
                <w:color w:val="auto"/>
              </w:rPr>
              <w:t>2025</w:t>
            </w: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0"/>
              <w:spacing w:after="0" w:line="187" w:lineRule="exact"/>
              <w:rPr>
                <w:sz w:val="20"/>
                <w:szCs w:val="20"/>
                <w:color w:val="auto"/>
              </w:rPr>
            </w:pPr>
            <w:r>
              <w:rPr>
                <w:rFonts w:ascii="Calibri" w:cs="Calibri" w:eastAsia="Calibri" w:hAnsi="Calibri"/>
                <w:sz w:val="16"/>
                <w:szCs w:val="16"/>
                <w:b w:val="1"/>
                <w:bCs w:val="1"/>
                <w:color w:val="auto"/>
              </w:rPr>
              <w:t>2024</w:t>
            </w:r>
          </w:p>
        </w:tc>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40" w:type="dxa"/>
            <w:vAlign w:val="bottom"/>
            <w:tcBorders>
              <w:bottom w:val="single" w:sz="8" w:color="E5E5E5"/>
            </w:tcBorders>
            <w:vMerge w:val="continue"/>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4"/>
              <w:spacing w:after="0" w:line="187" w:lineRule="exact"/>
              <w:rPr>
                <w:sz w:val="20"/>
                <w:szCs w:val="20"/>
                <w:color w:val="auto"/>
              </w:rPr>
            </w:pPr>
            <w:r>
              <w:rPr>
                <w:rFonts w:ascii="Calibri" w:cs="Calibri" w:eastAsia="Calibri" w:hAnsi="Calibri"/>
                <w:sz w:val="16"/>
                <w:szCs w:val="16"/>
                <w:b w:val="1"/>
                <w:bCs w:val="1"/>
                <w:color w:val="auto"/>
              </w:rPr>
              <w:t>Amount</w:t>
            </w:r>
          </w:p>
        </w:tc>
        <w:tc>
          <w:tcPr>
            <w:tcW w:w="220" w:type="dxa"/>
            <w:vAlign w:val="bottom"/>
            <w:tcBorders>
              <w:bottom w:val="single" w:sz="8" w:color="E5E5E5"/>
            </w:tcBorders>
            <w:gridSpan w:val="2"/>
          </w:tcPr>
          <w:p>
            <w:pPr>
              <w:spacing w:after="0"/>
              <w:rPr>
                <w:sz w:val="16"/>
                <w:szCs w:val="16"/>
                <w:color w:val="auto"/>
              </w:rPr>
            </w:pPr>
          </w:p>
        </w:tc>
        <w:tc>
          <w:tcPr>
            <w:tcW w:w="920" w:type="dxa"/>
            <w:vAlign w:val="bottom"/>
            <w:tcBorders>
              <w:bottom w:val="single" w:sz="8" w:color="auto"/>
            </w:tcBorders>
          </w:tcPr>
          <w:p>
            <w:pPr>
              <w:ind w:left="120"/>
              <w:spacing w:after="0" w:line="187" w:lineRule="exact"/>
              <w:rPr>
                <w:sz w:val="20"/>
                <w:szCs w:val="20"/>
                <w:color w:val="auto"/>
              </w:rPr>
            </w:pPr>
            <w:r>
              <w:rPr>
                <w:rFonts w:ascii="Calibri" w:cs="Calibri" w:eastAsia="Calibri" w:hAnsi="Calibri"/>
                <w:sz w:val="16"/>
                <w:szCs w:val="16"/>
                <w:b w:val="1"/>
                <w:bCs w:val="1"/>
                <w:color w:val="auto"/>
              </w:rPr>
              <w:t>Percent</w:t>
            </w:r>
          </w:p>
        </w:tc>
        <w:tc>
          <w:tcPr>
            <w:tcW w:w="10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4"/>
              <w:spacing w:after="0" w:line="187" w:lineRule="exact"/>
              <w:rPr>
                <w:sz w:val="20"/>
                <w:szCs w:val="20"/>
                <w:color w:val="auto"/>
              </w:rPr>
            </w:pPr>
            <w:r>
              <w:rPr>
                <w:rFonts w:ascii="Calibri" w:cs="Calibri" w:eastAsia="Calibri" w:hAnsi="Calibri"/>
                <w:sz w:val="16"/>
                <w:szCs w:val="16"/>
                <w:b w:val="1"/>
                <w:bCs w:val="1"/>
                <w:color w:val="auto"/>
              </w:rPr>
              <w:t>Amount</w:t>
            </w:r>
          </w:p>
        </w:tc>
        <w:tc>
          <w:tcPr>
            <w:tcW w:w="220" w:type="dxa"/>
            <w:vAlign w:val="bottom"/>
            <w:tcBorders>
              <w:bottom w:val="single" w:sz="8" w:color="E5E5E5"/>
            </w:tcBorders>
            <w:gridSpan w:val="2"/>
          </w:tcPr>
          <w:p>
            <w:pPr>
              <w:spacing w:after="0"/>
              <w:rPr>
                <w:sz w:val="16"/>
                <w:szCs w:val="16"/>
                <w:color w:val="auto"/>
              </w:rPr>
            </w:pPr>
          </w:p>
        </w:tc>
        <w:tc>
          <w:tcPr>
            <w:tcW w:w="940" w:type="dxa"/>
            <w:vAlign w:val="bottom"/>
            <w:tcBorders>
              <w:bottom w:val="single" w:sz="8" w:color="auto"/>
            </w:tcBorders>
          </w:tcPr>
          <w:p>
            <w:pPr>
              <w:jc w:val="right"/>
              <w:ind w:right="202"/>
              <w:spacing w:after="0" w:line="187" w:lineRule="exact"/>
              <w:rPr>
                <w:sz w:val="20"/>
                <w:szCs w:val="20"/>
                <w:color w:val="auto"/>
              </w:rPr>
            </w:pPr>
            <w:r>
              <w:rPr>
                <w:rFonts w:ascii="Calibri" w:cs="Calibri" w:eastAsia="Calibri" w:hAnsi="Calibri"/>
                <w:sz w:val="16"/>
                <w:szCs w:val="16"/>
                <w:b w:val="1"/>
                <w:bCs w:val="1"/>
                <w:color w:val="auto"/>
              </w:rPr>
              <w:t>Percent</w:t>
            </w:r>
          </w:p>
        </w:tc>
        <w:tc>
          <w:tcPr>
            <w:tcW w:w="0" w:type="dxa"/>
            <w:vAlign w:val="bottom"/>
          </w:tcPr>
          <w:p>
            <w:pPr>
              <w:spacing w:after="0"/>
              <w:rPr>
                <w:sz w:val="1"/>
                <w:szCs w:val="1"/>
                <w:color w:val="auto"/>
              </w:rPr>
            </w:pPr>
          </w:p>
        </w:tc>
      </w:tr>
      <w:tr>
        <w:trPr>
          <w:trHeight w:val="234"/>
        </w:trPr>
        <w:tc>
          <w:tcPr>
            <w:tcW w:w="684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United States federal statutory income tax rate</w:t>
            </w:r>
          </w:p>
        </w:tc>
        <w:tc>
          <w:tcPr>
            <w:tcW w:w="20" w:type="dxa"/>
            <w:vAlign w:val="bottom"/>
            <w:shd w:val="clear" w:color="auto" w:fill="E5E5E5"/>
          </w:tcPr>
          <w:p>
            <w:pPr>
              <w:spacing w:after="0"/>
              <w:rPr>
                <w:sz w:val="20"/>
                <w:szCs w:val="20"/>
                <w:color w:val="auto"/>
              </w:rPr>
            </w:pPr>
          </w:p>
        </w:tc>
        <w:tc>
          <w:tcPr>
            <w:tcW w:w="14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80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(38,456)</w:t>
            </w: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920" w:type="dxa"/>
            <w:vAlign w:val="bottom"/>
            <w:shd w:val="clear" w:color="auto" w:fill="E5E5E5"/>
          </w:tcPr>
          <w:p>
            <w:pPr>
              <w:jc w:val="right"/>
              <w:ind w:right="4"/>
              <w:spacing w:after="0" w:line="234" w:lineRule="exact"/>
              <w:rPr>
                <w:sz w:val="20"/>
                <w:szCs w:val="20"/>
                <w:color w:val="auto"/>
              </w:rPr>
            </w:pPr>
            <w:r>
              <w:rPr>
                <w:rFonts w:ascii="Calibri" w:cs="Calibri" w:eastAsia="Calibri" w:hAnsi="Calibri"/>
                <w:sz w:val="20"/>
                <w:szCs w:val="20"/>
                <w:color w:val="auto"/>
              </w:rPr>
              <w:t>21.0 %</w:t>
            </w:r>
          </w:p>
        </w:tc>
        <w:tc>
          <w:tcPr>
            <w:tcW w:w="280" w:type="dxa"/>
            <w:vAlign w:val="bottom"/>
            <w:gridSpan w:val="3"/>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w:t>
            </w:r>
          </w:p>
        </w:tc>
        <w:tc>
          <w:tcPr>
            <w:tcW w:w="78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(45,233)</w:t>
            </w:r>
          </w:p>
        </w:tc>
        <w:tc>
          <w:tcPr>
            <w:tcW w:w="200" w:type="dxa"/>
            <w:vAlign w:val="bottom"/>
            <w:shd w:val="clear" w:color="auto" w:fill="E5E5E5"/>
          </w:tcPr>
          <w:p>
            <w:pPr>
              <w:spacing w:after="0"/>
              <w:rPr>
                <w:sz w:val="20"/>
                <w:szCs w:val="20"/>
                <w:color w:val="auto"/>
              </w:rPr>
            </w:pPr>
          </w:p>
        </w:tc>
        <w:tc>
          <w:tcPr>
            <w:tcW w:w="20" w:type="dxa"/>
            <w:vAlign w:val="bottom"/>
            <w:shd w:val="clear" w:color="auto" w:fill="E5E5E5"/>
          </w:tcPr>
          <w:p>
            <w:pPr>
              <w:spacing w:after="0"/>
              <w:rPr>
                <w:sz w:val="20"/>
                <w:szCs w:val="20"/>
                <w:color w:val="auto"/>
              </w:rPr>
            </w:pPr>
          </w:p>
        </w:tc>
        <w:tc>
          <w:tcPr>
            <w:tcW w:w="940" w:type="dxa"/>
            <w:vAlign w:val="bottom"/>
            <w:shd w:val="clear" w:color="auto" w:fill="E5E5E5"/>
          </w:tcPr>
          <w:p>
            <w:pPr>
              <w:jc w:val="right"/>
              <w:ind w:right="2"/>
              <w:spacing w:after="0" w:line="234" w:lineRule="exact"/>
              <w:rPr>
                <w:sz w:val="20"/>
                <w:szCs w:val="20"/>
                <w:color w:val="auto"/>
              </w:rPr>
            </w:pPr>
            <w:r>
              <w:rPr>
                <w:rFonts w:ascii="Calibri" w:cs="Calibri" w:eastAsia="Calibri" w:hAnsi="Calibri"/>
                <w:sz w:val="20"/>
                <w:szCs w:val="20"/>
                <w:color w:val="auto"/>
              </w:rPr>
              <w:t>21.0 %</w:t>
            </w:r>
          </w:p>
        </w:tc>
        <w:tc>
          <w:tcPr>
            <w:tcW w:w="0" w:type="dxa"/>
            <w:vAlign w:val="bottom"/>
          </w:tcPr>
          <w:p>
            <w:pPr>
              <w:spacing w:after="0"/>
              <w:rPr>
                <w:sz w:val="1"/>
                <w:szCs w:val="1"/>
                <w:color w:val="auto"/>
              </w:rPr>
            </w:pPr>
          </w:p>
        </w:tc>
      </w:tr>
      <w:tr>
        <w:trPr>
          <w:trHeight w:val="246"/>
        </w:trPr>
        <w:tc>
          <w:tcPr>
            <w:tcW w:w="6840" w:type="dxa"/>
            <w:vAlign w:val="bottom"/>
          </w:tcPr>
          <w:p>
            <w:pPr>
              <w:spacing w:after="0"/>
              <w:rPr>
                <w:sz w:val="20"/>
                <w:szCs w:val="20"/>
                <w:color w:val="auto"/>
              </w:rPr>
            </w:pPr>
            <w:r>
              <w:rPr>
                <w:rFonts w:ascii="Calibri" w:cs="Calibri" w:eastAsia="Calibri" w:hAnsi="Calibri"/>
                <w:sz w:val="20"/>
                <w:szCs w:val="20"/>
                <w:color w:val="auto"/>
              </w:rPr>
              <w:t>Permanent items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color w:val="auto"/>
              </w:rPr>
              <w:t>(9)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ind w:right="204"/>
              <w:spacing w:after="0"/>
              <w:rPr>
                <w:sz w:val="20"/>
                <w:szCs w:val="20"/>
                <w:color w:val="auto"/>
              </w:rPr>
            </w:pPr>
            <w:r>
              <w:rPr>
                <w:rFonts w:ascii="Calibri" w:cs="Calibri" w:eastAsia="Calibri" w:hAnsi="Calibri"/>
                <w:sz w:val="20"/>
                <w:szCs w:val="20"/>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Calibri" w:cs="Calibri" w:eastAsia="Calibri" w:hAnsi="Calibri"/>
                <w:sz w:val="20"/>
                <w:szCs w:val="20"/>
                <w:color w:val="auto"/>
              </w:rPr>
              <w:t>(482)</w:t>
            </w:r>
          </w:p>
        </w:tc>
        <w:tc>
          <w:tcPr>
            <w:tcW w:w="20" w:type="dxa"/>
            <w:vAlign w:val="bottom"/>
          </w:tcPr>
          <w:p>
            <w:pPr>
              <w:spacing w:after="0"/>
              <w:rPr>
                <w:sz w:val="21"/>
                <w:szCs w:val="21"/>
                <w:color w:val="auto"/>
              </w:rPr>
            </w:pPr>
          </w:p>
        </w:tc>
        <w:tc>
          <w:tcPr>
            <w:tcW w:w="940" w:type="dxa"/>
            <w:vAlign w:val="bottom"/>
          </w:tcPr>
          <w:p>
            <w:pPr>
              <w:jc w:val="right"/>
              <w:ind w:right="202"/>
              <w:spacing w:after="0"/>
              <w:rPr>
                <w:sz w:val="20"/>
                <w:szCs w:val="20"/>
                <w:color w:val="auto"/>
              </w:rPr>
            </w:pPr>
            <w:r>
              <w:rPr>
                <w:rFonts w:ascii="Calibri" w:cs="Calibri" w:eastAsia="Calibri" w:hAnsi="Calibri"/>
                <w:sz w:val="20"/>
                <w:szCs w:val="20"/>
                <w:color w:val="auto"/>
              </w:rPr>
              <w:t>0.2</w:t>
            </w:r>
          </w:p>
        </w:tc>
        <w:tc>
          <w:tcPr>
            <w:tcW w:w="0" w:type="dxa"/>
            <w:vAlign w:val="bottom"/>
          </w:tcPr>
          <w:p>
            <w:pPr>
              <w:spacing w:after="0"/>
              <w:rPr>
                <w:sz w:val="1"/>
                <w:szCs w:val="1"/>
                <w:color w:val="auto"/>
              </w:rPr>
            </w:pPr>
          </w:p>
        </w:tc>
      </w:tr>
      <w:tr>
        <w:trPr>
          <w:trHeight w:val="245"/>
        </w:trPr>
        <w:tc>
          <w:tcPr>
            <w:tcW w:w="6840" w:type="dxa"/>
            <w:vAlign w:val="bottom"/>
            <w:shd w:val="clear" w:color="auto" w:fill="E5E5E5"/>
          </w:tcPr>
          <w:p>
            <w:pPr>
              <w:spacing w:after="0"/>
              <w:rPr>
                <w:sz w:val="20"/>
                <w:szCs w:val="20"/>
                <w:color w:val="auto"/>
              </w:rPr>
            </w:pPr>
            <w:r>
              <w:rPr>
                <w:rFonts w:ascii="Calibri" w:cs="Calibri" w:eastAsia="Calibri" w:hAnsi="Calibri"/>
                <w:sz w:val="20"/>
                <w:szCs w:val="20"/>
                <w:color w:val="auto"/>
              </w:rPr>
              <w:t>Research and development credit</w:t>
            </w:r>
          </w:p>
        </w:tc>
        <w:tc>
          <w:tcPr>
            <w:tcW w:w="2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8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(1,573)</w:t>
            </w:r>
          </w:p>
        </w:tc>
        <w:tc>
          <w:tcPr>
            <w:tcW w:w="2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920" w:type="dxa"/>
            <w:vAlign w:val="bottom"/>
            <w:shd w:val="clear" w:color="auto" w:fill="E5E5E5"/>
          </w:tcPr>
          <w:p>
            <w:pPr>
              <w:jc w:val="right"/>
              <w:ind w:right="204"/>
              <w:spacing w:after="0"/>
              <w:rPr>
                <w:sz w:val="20"/>
                <w:szCs w:val="20"/>
                <w:color w:val="auto"/>
              </w:rPr>
            </w:pPr>
            <w:r>
              <w:rPr>
                <w:rFonts w:ascii="Calibri" w:cs="Calibri" w:eastAsia="Calibri" w:hAnsi="Calibri"/>
                <w:sz w:val="20"/>
                <w:szCs w:val="20"/>
                <w:color w:val="auto"/>
              </w:rPr>
              <w:t>0.9</w:t>
            </w:r>
          </w:p>
        </w:tc>
        <w:tc>
          <w:tcPr>
            <w:tcW w:w="1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7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(4,991)</w:t>
            </w:r>
          </w:p>
        </w:tc>
        <w:tc>
          <w:tcPr>
            <w:tcW w:w="2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940" w:type="dxa"/>
            <w:vAlign w:val="bottom"/>
            <w:shd w:val="clear" w:color="auto" w:fill="E5E5E5"/>
          </w:tcPr>
          <w:p>
            <w:pPr>
              <w:jc w:val="right"/>
              <w:ind w:right="202"/>
              <w:spacing w:after="0"/>
              <w:rPr>
                <w:sz w:val="20"/>
                <w:szCs w:val="20"/>
                <w:color w:val="auto"/>
              </w:rPr>
            </w:pPr>
            <w:r>
              <w:rPr>
                <w:rFonts w:ascii="Calibri" w:cs="Calibri" w:eastAsia="Calibri" w:hAnsi="Calibri"/>
                <w:sz w:val="20"/>
                <w:szCs w:val="20"/>
                <w:color w:val="auto"/>
              </w:rPr>
              <w:t>2.3</w:t>
            </w:r>
          </w:p>
        </w:tc>
        <w:tc>
          <w:tcPr>
            <w:tcW w:w="0" w:type="dxa"/>
            <w:vAlign w:val="bottom"/>
          </w:tcPr>
          <w:p>
            <w:pPr>
              <w:spacing w:after="0"/>
              <w:rPr>
                <w:sz w:val="1"/>
                <w:szCs w:val="1"/>
                <w:color w:val="auto"/>
              </w:rPr>
            </w:pPr>
          </w:p>
        </w:tc>
      </w:tr>
      <w:tr>
        <w:trPr>
          <w:trHeight w:val="245"/>
        </w:trPr>
        <w:tc>
          <w:tcPr>
            <w:tcW w:w="6840" w:type="dxa"/>
            <w:vAlign w:val="bottom"/>
          </w:tcPr>
          <w:p>
            <w:pPr>
              <w:spacing w:after="0"/>
              <w:rPr>
                <w:sz w:val="20"/>
                <w:szCs w:val="20"/>
                <w:color w:val="auto"/>
              </w:rPr>
            </w:pPr>
            <w:r>
              <w:rPr>
                <w:rFonts w:ascii="Calibri" w:cs="Calibri" w:eastAsia="Calibri" w:hAnsi="Calibri"/>
                <w:sz w:val="20"/>
                <w:szCs w:val="20"/>
                <w:color w:val="auto"/>
              </w:rPr>
              <w:t>Stock-based compensation costs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color w:val="auto"/>
              </w:rPr>
              <w:t>12,088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ind w:right="144"/>
              <w:spacing w:after="0"/>
              <w:rPr>
                <w:sz w:val="20"/>
                <w:szCs w:val="20"/>
                <w:color w:val="auto"/>
              </w:rPr>
            </w:pPr>
            <w:r>
              <w:rPr>
                <w:rFonts w:ascii="Calibri" w:cs="Calibri" w:eastAsia="Calibri" w:hAnsi="Calibri"/>
                <w:sz w:val="20"/>
                <w:szCs w:val="20"/>
                <w:color w:val="auto"/>
              </w:rPr>
              <w:t>(6.6)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alibri" w:cs="Calibri" w:eastAsia="Calibri" w:hAnsi="Calibri"/>
                <w:sz w:val="20"/>
                <w:szCs w:val="20"/>
                <w:color w:val="auto"/>
              </w:rPr>
              <w:t>8,965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jc w:val="right"/>
              <w:ind w:right="142"/>
              <w:spacing w:after="0"/>
              <w:rPr>
                <w:sz w:val="20"/>
                <w:szCs w:val="20"/>
                <w:color w:val="auto"/>
              </w:rPr>
            </w:pPr>
            <w:r>
              <w:rPr>
                <w:rFonts w:ascii="Calibri" w:cs="Calibri" w:eastAsia="Calibri" w:hAnsi="Calibri"/>
                <w:sz w:val="20"/>
                <w:szCs w:val="20"/>
                <w:color w:val="auto"/>
              </w:rPr>
              <w:t>(4.1)</w:t>
            </w:r>
          </w:p>
        </w:tc>
        <w:tc>
          <w:tcPr>
            <w:tcW w:w="0" w:type="dxa"/>
            <w:vAlign w:val="bottom"/>
          </w:tcPr>
          <w:p>
            <w:pPr>
              <w:spacing w:after="0"/>
              <w:rPr>
                <w:sz w:val="1"/>
                <w:szCs w:val="1"/>
                <w:color w:val="auto"/>
              </w:rPr>
            </w:pPr>
          </w:p>
        </w:tc>
      </w:tr>
      <w:tr>
        <w:trPr>
          <w:trHeight w:val="246"/>
        </w:trPr>
        <w:tc>
          <w:tcPr>
            <w:tcW w:w="6840" w:type="dxa"/>
            <w:vAlign w:val="bottom"/>
            <w:shd w:val="clear" w:color="auto" w:fill="E5E5E5"/>
          </w:tcPr>
          <w:p>
            <w:pPr>
              <w:spacing w:after="0"/>
              <w:rPr>
                <w:sz w:val="20"/>
                <w:szCs w:val="20"/>
                <w:color w:val="auto"/>
              </w:rPr>
            </w:pPr>
            <w:r>
              <w:rPr>
                <w:rFonts w:ascii="Calibri" w:cs="Calibri" w:eastAsia="Calibri" w:hAnsi="Calibri"/>
                <w:sz w:val="20"/>
                <w:szCs w:val="20"/>
                <w:color w:val="auto"/>
              </w:rPr>
              <w:t>Change in unrecognized tax benefit</w:t>
            </w:r>
          </w:p>
        </w:tc>
        <w:tc>
          <w:tcPr>
            <w:tcW w:w="20" w:type="dxa"/>
            <w:vAlign w:val="bottom"/>
            <w:shd w:val="clear" w:color="auto" w:fill="E5E5E5"/>
          </w:tcPr>
          <w:p>
            <w:pPr>
              <w:spacing w:after="0"/>
              <w:rPr>
                <w:sz w:val="21"/>
                <w:szCs w:val="21"/>
                <w:color w:val="auto"/>
              </w:rPr>
            </w:pPr>
          </w:p>
        </w:tc>
        <w:tc>
          <w:tcPr>
            <w:tcW w:w="140" w:type="dxa"/>
            <w:vAlign w:val="bottom"/>
            <w:shd w:val="clear" w:color="auto" w:fill="E5E5E5"/>
          </w:tcPr>
          <w:p>
            <w:pPr>
              <w:spacing w:after="0"/>
              <w:rPr>
                <w:sz w:val="21"/>
                <w:szCs w:val="21"/>
                <w:color w:val="auto"/>
              </w:rPr>
            </w:pPr>
          </w:p>
        </w:tc>
        <w:tc>
          <w:tcPr>
            <w:tcW w:w="8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(237)</w:t>
            </w:r>
          </w:p>
        </w:tc>
        <w:tc>
          <w:tcPr>
            <w:tcW w:w="2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920" w:type="dxa"/>
            <w:vAlign w:val="bottom"/>
            <w:shd w:val="clear" w:color="auto" w:fill="E5E5E5"/>
          </w:tcPr>
          <w:p>
            <w:pPr>
              <w:jc w:val="right"/>
              <w:ind w:right="204"/>
              <w:spacing w:after="0"/>
              <w:rPr>
                <w:sz w:val="20"/>
                <w:szCs w:val="20"/>
                <w:color w:val="auto"/>
              </w:rPr>
            </w:pPr>
            <w:r>
              <w:rPr>
                <w:rFonts w:ascii="Calibri" w:cs="Calibri" w:eastAsia="Calibri" w:hAnsi="Calibri"/>
                <w:sz w:val="20"/>
                <w:szCs w:val="20"/>
                <w:color w:val="auto"/>
              </w:rPr>
              <w:t>0.1</w:t>
            </w:r>
          </w:p>
        </w:tc>
        <w:tc>
          <w:tcPr>
            <w:tcW w:w="1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60" w:type="dxa"/>
            <w:vAlign w:val="bottom"/>
            <w:shd w:val="clear" w:color="auto" w:fill="E5E5E5"/>
          </w:tcPr>
          <w:p>
            <w:pPr>
              <w:spacing w:after="0"/>
              <w:rPr>
                <w:sz w:val="21"/>
                <w:szCs w:val="21"/>
                <w:color w:val="auto"/>
              </w:rPr>
            </w:pPr>
          </w:p>
        </w:tc>
        <w:tc>
          <w:tcPr>
            <w:tcW w:w="7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116</w:t>
            </w:r>
          </w:p>
        </w:tc>
        <w:tc>
          <w:tcPr>
            <w:tcW w:w="2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940" w:type="dxa"/>
            <w:vAlign w:val="bottom"/>
            <w:shd w:val="clear" w:color="auto" w:fill="E5E5E5"/>
          </w:tcPr>
          <w:p>
            <w:pPr>
              <w:jc w:val="right"/>
              <w:ind w:right="142"/>
              <w:spacing w:after="0"/>
              <w:rPr>
                <w:sz w:val="20"/>
                <w:szCs w:val="20"/>
                <w:color w:val="auto"/>
              </w:rPr>
            </w:pPr>
            <w:r>
              <w:rPr>
                <w:rFonts w:ascii="Calibri" w:cs="Calibri" w:eastAsia="Calibri" w:hAnsi="Calibri"/>
                <w:sz w:val="20"/>
                <w:szCs w:val="20"/>
                <w:color w:val="auto"/>
              </w:rPr>
              <w:t>(0.1)</w:t>
            </w:r>
          </w:p>
        </w:tc>
        <w:tc>
          <w:tcPr>
            <w:tcW w:w="0" w:type="dxa"/>
            <w:vAlign w:val="bottom"/>
          </w:tcPr>
          <w:p>
            <w:pPr>
              <w:spacing w:after="0"/>
              <w:rPr>
                <w:sz w:val="1"/>
                <w:szCs w:val="1"/>
                <w:color w:val="auto"/>
              </w:rPr>
            </w:pPr>
          </w:p>
        </w:tc>
      </w:tr>
      <w:tr>
        <w:trPr>
          <w:trHeight w:val="245"/>
        </w:trPr>
        <w:tc>
          <w:tcPr>
            <w:tcW w:w="6840" w:type="dxa"/>
            <w:vAlign w:val="bottom"/>
          </w:tcPr>
          <w:p>
            <w:pPr>
              <w:spacing w:after="0"/>
              <w:rPr>
                <w:sz w:val="20"/>
                <w:szCs w:val="20"/>
                <w:color w:val="auto"/>
              </w:rPr>
            </w:pPr>
            <w:r>
              <w:rPr>
                <w:rFonts w:ascii="Calibri" w:cs="Calibri" w:eastAsia="Calibri" w:hAnsi="Calibri"/>
                <w:sz w:val="20"/>
                <w:szCs w:val="20"/>
                <w:color w:val="auto"/>
              </w:rPr>
              <w:t>Other</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color w:val="auto"/>
              </w:rPr>
              <w:t>(277)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jc w:val="right"/>
              <w:ind w:right="204"/>
              <w:spacing w:after="0"/>
              <w:rPr>
                <w:sz w:val="20"/>
                <w:szCs w:val="20"/>
                <w:color w:val="auto"/>
              </w:rPr>
            </w:pPr>
            <w:r>
              <w:rPr>
                <w:rFonts w:ascii="Calibri" w:cs="Calibri" w:eastAsia="Calibri" w:hAnsi="Calibri"/>
                <w:sz w:val="20"/>
                <w:szCs w:val="20"/>
                <w:color w:val="auto"/>
              </w:rPr>
              <w:t>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alibri" w:cs="Calibri" w:eastAsia="Calibri" w:hAnsi="Calibri"/>
                <w:sz w:val="20"/>
                <w:szCs w:val="20"/>
                <w:color w:val="auto"/>
              </w:rPr>
              <w:t>1,596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jc w:val="right"/>
              <w:ind w:right="142"/>
              <w:spacing w:after="0"/>
              <w:rPr>
                <w:sz w:val="20"/>
                <w:szCs w:val="20"/>
                <w:color w:val="auto"/>
              </w:rPr>
            </w:pPr>
            <w:r>
              <w:rPr>
                <w:rFonts w:ascii="Calibri" w:cs="Calibri" w:eastAsia="Calibri" w:hAnsi="Calibri"/>
                <w:sz w:val="20"/>
                <w:szCs w:val="20"/>
                <w:color w:val="auto"/>
              </w:rPr>
              <w:t>(0.7)</w:t>
            </w:r>
          </w:p>
        </w:tc>
        <w:tc>
          <w:tcPr>
            <w:tcW w:w="0" w:type="dxa"/>
            <w:vAlign w:val="bottom"/>
          </w:tcPr>
          <w:p>
            <w:pPr>
              <w:spacing w:after="0"/>
              <w:rPr>
                <w:sz w:val="1"/>
                <w:szCs w:val="1"/>
                <w:color w:val="auto"/>
              </w:rPr>
            </w:pPr>
          </w:p>
        </w:tc>
      </w:tr>
      <w:tr>
        <w:trPr>
          <w:trHeight w:val="245"/>
        </w:trPr>
        <w:tc>
          <w:tcPr>
            <w:tcW w:w="6840" w:type="dxa"/>
            <w:vAlign w:val="bottom"/>
            <w:shd w:val="clear" w:color="auto" w:fill="E5E5E5"/>
          </w:tcPr>
          <w:p>
            <w:pPr>
              <w:spacing w:after="0"/>
              <w:rPr>
                <w:sz w:val="20"/>
                <w:szCs w:val="20"/>
                <w:color w:val="auto"/>
              </w:rPr>
            </w:pPr>
            <w:r>
              <w:rPr>
                <w:rFonts w:ascii="Calibri" w:cs="Calibri" w:eastAsia="Calibri" w:hAnsi="Calibri"/>
                <w:sz w:val="20"/>
                <w:szCs w:val="20"/>
                <w:color w:val="auto"/>
              </w:rPr>
              <w:t>Change in valuation allowance</w:t>
            </w:r>
          </w:p>
        </w:tc>
        <w:tc>
          <w:tcPr>
            <w:tcW w:w="20" w:type="dxa"/>
            <w:vAlign w:val="bottom"/>
            <w:shd w:val="clear" w:color="auto" w:fill="E5E5E5"/>
          </w:tcPr>
          <w:p>
            <w:pPr>
              <w:spacing w:after="0"/>
              <w:rPr>
                <w:sz w:val="21"/>
                <w:szCs w:val="21"/>
                <w:color w:val="auto"/>
              </w:rPr>
            </w:pPr>
          </w:p>
        </w:tc>
        <w:tc>
          <w:tcPr>
            <w:tcW w:w="140" w:type="dxa"/>
            <w:vAlign w:val="bottom"/>
            <w:tcBorders>
              <w:bottom w:val="single" w:sz="8" w:color="auto"/>
            </w:tcBorders>
            <w:shd w:val="clear" w:color="auto" w:fill="E5E5E5"/>
          </w:tcPr>
          <w:p>
            <w:pPr>
              <w:spacing w:after="0"/>
              <w:rPr>
                <w:sz w:val="21"/>
                <w:szCs w:val="21"/>
                <w:color w:val="auto"/>
              </w:rPr>
            </w:pPr>
          </w:p>
        </w:tc>
        <w:tc>
          <w:tcPr>
            <w:tcW w:w="80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28,464</w:t>
            </w:r>
          </w:p>
        </w:tc>
        <w:tc>
          <w:tcPr>
            <w:tcW w:w="2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920" w:type="dxa"/>
            <w:vAlign w:val="bottom"/>
            <w:tcBorders>
              <w:bottom w:val="single" w:sz="8" w:color="auto"/>
            </w:tcBorders>
            <w:shd w:val="clear" w:color="auto" w:fill="E5E5E5"/>
          </w:tcPr>
          <w:p>
            <w:pPr>
              <w:jc w:val="right"/>
              <w:ind w:right="144"/>
              <w:spacing w:after="0"/>
              <w:rPr>
                <w:sz w:val="20"/>
                <w:szCs w:val="20"/>
                <w:color w:val="auto"/>
              </w:rPr>
            </w:pPr>
            <w:r>
              <w:rPr>
                <w:rFonts w:ascii="Calibri" w:cs="Calibri" w:eastAsia="Calibri" w:hAnsi="Calibri"/>
                <w:sz w:val="20"/>
                <w:szCs w:val="20"/>
                <w:color w:val="auto"/>
              </w:rPr>
              <w:t>(15.5)</w:t>
            </w:r>
          </w:p>
        </w:tc>
        <w:tc>
          <w:tcPr>
            <w:tcW w:w="1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spacing w:after="0"/>
              <w:rPr>
                <w:sz w:val="21"/>
                <w:szCs w:val="21"/>
                <w:color w:val="auto"/>
              </w:rPr>
            </w:pPr>
          </w:p>
        </w:tc>
        <w:tc>
          <w:tcPr>
            <w:tcW w:w="780" w:type="dxa"/>
            <w:vAlign w:val="bottom"/>
            <w:tcBorders>
              <w:bottom w:val="single" w:sz="8" w:color="auto"/>
            </w:tcBorders>
            <w:shd w:val="clear" w:color="auto" w:fill="E5E5E5"/>
          </w:tcPr>
          <w:p>
            <w:pPr>
              <w:jc w:val="right"/>
              <w:spacing w:after="0"/>
              <w:rPr>
                <w:sz w:val="20"/>
                <w:szCs w:val="20"/>
                <w:color w:val="auto"/>
              </w:rPr>
            </w:pPr>
            <w:r>
              <w:rPr>
                <w:rFonts w:ascii="Calibri" w:cs="Calibri" w:eastAsia="Calibri" w:hAnsi="Calibri"/>
                <w:sz w:val="20"/>
                <w:szCs w:val="20"/>
                <w:color w:val="auto"/>
              </w:rPr>
              <w:t>40,029</w:t>
            </w:r>
          </w:p>
        </w:tc>
        <w:tc>
          <w:tcPr>
            <w:tcW w:w="200" w:type="dxa"/>
            <w:vAlign w:val="bottom"/>
            <w:shd w:val="clear" w:color="auto" w:fill="E5E5E5"/>
          </w:tcPr>
          <w:p>
            <w:pPr>
              <w:spacing w:after="0"/>
              <w:rPr>
                <w:sz w:val="21"/>
                <w:szCs w:val="21"/>
                <w:color w:val="auto"/>
              </w:rPr>
            </w:pPr>
          </w:p>
        </w:tc>
        <w:tc>
          <w:tcPr>
            <w:tcW w:w="20" w:type="dxa"/>
            <w:vAlign w:val="bottom"/>
            <w:shd w:val="clear" w:color="auto" w:fill="E5E5E5"/>
          </w:tcPr>
          <w:p>
            <w:pPr>
              <w:spacing w:after="0"/>
              <w:rPr>
                <w:sz w:val="21"/>
                <w:szCs w:val="21"/>
                <w:color w:val="auto"/>
              </w:rPr>
            </w:pPr>
          </w:p>
        </w:tc>
        <w:tc>
          <w:tcPr>
            <w:tcW w:w="940" w:type="dxa"/>
            <w:vAlign w:val="bottom"/>
            <w:tcBorders>
              <w:bottom w:val="single" w:sz="8" w:color="auto"/>
            </w:tcBorders>
            <w:shd w:val="clear" w:color="auto" w:fill="E5E5E5"/>
          </w:tcPr>
          <w:p>
            <w:pPr>
              <w:jc w:val="right"/>
              <w:ind w:right="142"/>
              <w:spacing w:after="0"/>
              <w:rPr>
                <w:sz w:val="20"/>
                <w:szCs w:val="20"/>
                <w:color w:val="auto"/>
              </w:rPr>
            </w:pPr>
            <w:r>
              <w:rPr>
                <w:rFonts w:ascii="Calibri" w:cs="Calibri" w:eastAsia="Calibri" w:hAnsi="Calibri"/>
                <w:sz w:val="20"/>
                <w:szCs w:val="20"/>
                <w:color w:val="auto"/>
              </w:rPr>
              <w:t>(18.6)</w:t>
            </w:r>
          </w:p>
        </w:tc>
        <w:tc>
          <w:tcPr>
            <w:tcW w:w="0" w:type="dxa"/>
            <w:vAlign w:val="bottom"/>
          </w:tcPr>
          <w:p>
            <w:pPr>
              <w:spacing w:after="0"/>
              <w:rPr>
                <w:sz w:val="1"/>
                <w:szCs w:val="1"/>
                <w:color w:val="auto"/>
              </w:rPr>
            </w:pPr>
          </w:p>
        </w:tc>
      </w:tr>
      <w:tr>
        <w:trPr>
          <w:trHeight w:val="246"/>
        </w:trPr>
        <w:tc>
          <w:tcPr>
            <w:tcW w:w="6840" w:type="dxa"/>
            <w:vAlign w:val="bottom"/>
          </w:tcPr>
          <w:p>
            <w:pPr>
              <w:ind w:left="120"/>
              <w:spacing w:after="0" w:line="236" w:lineRule="exact"/>
              <w:rPr>
                <w:sz w:val="20"/>
                <w:szCs w:val="20"/>
                <w:color w:val="auto"/>
              </w:rPr>
            </w:pPr>
            <w:r>
              <w:rPr>
                <w:rFonts w:ascii="Calibri" w:cs="Calibri" w:eastAsia="Calibri" w:hAnsi="Calibri"/>
                <w:sz w:val="20"/>
                <w:szCs w:val="20"/>
                <w:color w:val="auto"/>
              </w:rPr>
              <w:t>Effective income tax rate</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Calibri" w:cs="Calibri" w:eastAsia="Calibri" w:hAnsi="Calibri"/>
                <w:sz w:val="16"/>
                <w:szCs w:val="16"/>
                <w:color w:val="auto"/>
                <w:w w:val="73"/>
              </w:rPr>
              <w:t>$</w:t>
            </w:r>
          </w:p>
        </w:tc>
        <w:tc>
          <w:tcPr>
            <w:tcW w:w="800" w:type="dxa"/>
            <w:vAlign w:val="bottom"/>
            <w:tcBorders>
              <w:bottom w:val="single" w:sz="8" w:color="auto"/>
            </w:tcBorders>
          </w:tcPr>
          <w:p>
            <w:pPr>
              <w:jc w:val="right"/>
              <w:spacing w:after="0" w:line="236" w:lineRule="exact"/>
              <w:rPr>
                <w:sz w:val="20"/>
                <w:szCs w:val="20"/>
                <w:color w:val="auto"/>
              </w:rPr>
            </w:pPr>
            <w:r>
              <w:rPr>
                <w:rFonts w:ascii="Calibri" w:cs="Calibri" w:eastAsia="Calibri" w:hAnsi="Calibri"/>
                <w:sz w:val="20"/>
                <w:szCs w:val="20"/>
                <w:color w:val="auto"/>
              </w:rPr>
              <w:t>—</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
              <w:spacing w:after="0" w:line="236" w:lineRule="exact"/>
              <w:rPr>
                <w:sz w:val="20"/>
                <w:szCs w:val="20"/>
                <w:color w:val="auto"/>
              </w:rPr>
            </w:pPr>
            <w:r>
              <w:rPr>
                <w:rFonts w:ascii="Calibri" w:cs="Calibri" w:eastAsia="Calibri" w:hAnsi="Calibri"/>
                <w:sz w:val="20"/>
                <w:szCs w:val="20"/>
                <w:color w:val="auto"/>
              </w:rPr>
              <w:t>— %</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line="236" w:lineRule="exact"/>
              <w:rPr>
                <w:sz w:val="20"/>
                <w:szCs w:val="20"/>
                <w:color w:val="auto"/>
              </w:rPr>
            </w:pPr>
            <w:r>
              <w:rPr>
                <w:rFonts w:ascii="Calibri" w:cs="Calibri" w:eastAsia="Calibri" w:hAnsi="Calibri"/>
                <w:sz w:val="20"/>
                <w:szCs w:val="20"/>
                <w:color w:val="auto"/>
                <w:w w:val="78"/>
              </w:rPr>
              <w:t>$</w:t>
            </w:r>
          </w:p>
        </w:tc>
        <w:tc>
          <w:tcPr>
            <w:tcW w:w="780" w:type="dxa"/>
            <w:vAlign w:val="bottom"/>
            <w:tcBorders>
              <w:bottom w:val="single" w:sz="8" w:color="auto"/>
            </w:tcBorders>
          </w:tcPr>
          <w:p>
            <w:pPr>
              <w:jc w:val="right"/>
              <w:spacing w:after="0" w:line="236" w:lineRule="exact"/>
              <w:rPr>
                <w:sz w:val="20"/>
                <w:szCs w:val="20"/>
                <w:color w:val="auto"/>
              </w:rPr>
            </w:pPr>
            <w:r>
              <w:rPr>
                <w:rFonts w:ascii="Calibri" w:cs="Calibri" w:eastAsia="Calibri" w:hAnsi="Calibri"/>
                <w:sz w:val="20"/>
                <w:szCs w:val="20"/>
                <w:color w:val="auto"/>
              </w:rPr>
              <w:t>—</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
              <w:spacing w:after="0" w:line="236" w:lineRule="exact"/>
              <w:rPr>
                <w:sz w:val="20"/>
                <w:szCs w:val="20"/>
                <w:color w:val="auto"/>
              </w:rPr>
            </w:pPr>
            <w:r>
              <w:rPr>
                <w:rFonts w:ascii="Calibri" w:cs="Calibri" w:eastAsia="Calibri" w:hAnsi="Calibri"/>
                <w:sz w:val="20"/>
                <w:szCs w:val="20"/>
                <w:color w:val="auto"/>
              </w:rPr>
              <w:t>— %</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720"/>
        <w:spacing w:after="0"/>
        <w:rPr>
          <w:sz w:val="20"/>
          <w:szCs w:val="20"/>
          <w:color w:val="auto"/>
        </w:rPr>
      </w:pPr>
      <w:r>
        <w:rPr>
          <w:rFonts w:ascii="Calibri" w:cs="Calibri" w:eastAsia="Calibri" w:hAnsi="Calibri"/>
          <w:sz w:val="19"/>
          <w:szCs w:val="19"/>
          <w:color w:val="auto"/>
        </w:rPr>
        <w:t>The components of the Company’s net deferred tax assets (liabilities) as of December 31, 2025 and 2024 consist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6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ind w:left="540"/>
              <w:spacing w:after="0"/>
              <w:rPr>
                <w:sz w:val="20"/>
                <w:szCs w:val="20"/>
                <w:color w:val="auto"/>
              </w:rPr>
            </w:pPr>
            <w:r>
              <w:rPr>
                <w:rFonts w:ascii="Calibri" w:cs="Calibri" w:eastAsia="Calibri" w:hAnsi="Calibri"/>
                <w:sz w:val="16"/>
                <w:szCs w:val="16"/>
                <w:b w:val="1"/>
                <w:bCs w:val="1"/>
                <w:color w:val="auto"/>
              </w:rPr>
              <w:t>December 31,</w:t>
            </w:r>
          </w:p>
        </w:tc>
        <w:tc>
          <w:tcPr>
            <w:tcW w:w="0" w:type="dxa"/>
            <w:vAlign w:val="bottom"/>
          </w:tcPr>
          <w:p>
            <w:pPr>
              <w:spacing w:after="0"/>
              <w:rPr>
                <w:sz w:val="1"/>
                <w:szCs w:val="1"/>
                <w:color w:val="auto"/>
              </w:rPr>
            </w:pPr>
          </w:p>
        </w:tc>
      </w:tr>
      <w:tr>
        <w:trPr>
          <w:trHeight w:val="185"/>
        </w:trPr>
        <w:tc>
          <w:tcPr>
            <w:tcW w:w="8460" w:type="dxa"/>
            <w:vAlign w:val="bottom"/>
            <w:tcBorders>
              <w:bottom w:val="single" w:sz="8" w:color="E5E5E5"/>
            </w:tcBorders>
            <w:vMerge w:val="continue"/>
          </w:tcPr>
          <w:p>
            <w:pPr>
              <w:spacing w:after="0"/>
              <w:rPr>
                <w:sz w:val="16"/>
                <w:szCs w:val="16"/>
                <w:color w:val="auto"/>
              </w:rPr>
            </w:pPr>
          </w:p>
        </w:tc>
        <w:tc>
          <w:tcPr>
            <w:tcW w:w="260" w:type="dxa"/>
            <w:vAlign w:val="bottom"/>
            <w:tcBorders>
              <w:bottom w:val="single" w:sz="8" w:color="E5E5E5"/>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82"/>
              <w:spacing w:after="0" w:line="185" w:lineRule="exact"/>
              <w:rPr>
                <w:sz w:val="20"/>
                <w:szCs w:val="20"/>
                <w:color w:val="auto"/>
              </w:rPr>
            </w:pPr>
            <w:r>
              <w:rPr>
                <w:rFonts w:ascii="Calibri" w:cs="Calibri" w:eastAsia="Calibri" w:hAnsi="Calibri"/>
                <w:sz w:val="16"/>
                <w:szCs w:val="16"/>
                <w:b w:val="1"/>
                <w:bCs w:val="1"/>
                <w:color w:val="auto"/>
              </w:rPr>
              <w:t>2025</w:t>
            </w:r>
          </w:p>
        </w:tc>
        <w:tc>
          <w:tcPr>
            <w:tcW w:w="280" w:type="dxa"/>
            <w:vAlign w:val="bottom"/>
            <w:tcBorders>
              <w:top w:val="single" w:sz="8" w:color="auto"/>
              <w:bottom w:val="single" w:sz="8" w:color="E5E5E5"/>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281"/>
              <w:spacing w:after="0" w:line="185" w:lineRule="exact"/>
              <w:rPr>
                <w:sz w:val="20"/>
                <w:szCs w:val="20"/>
                <w:color w:val="auto"/>
              </w:rPr>
            </w:pPr>
            <w:r>
              <w:rPr>
                <w:rFonts w:ascii="Calibri" w:cs="Calibri" w:eastAsia="Calibri" w:hAnsi="Calibri"/>
                <w:sz w:val="16"/>
                <w:szCs w:val="16"/>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460" w:type="dxa"/>
            <w:vAlign w:val="bottom"/>
            <w:shd w:val="clear" w:color="auto" w:fill="E5E5E5"/>
          </w:tcPr>
          <w:p>
            <w:pPr>
              <w:spacing w:after="0" w:line="234" w:lineRule="exact"/>
              <w:rPr>
                <w:sz w:val="20"/>
                <w:szCs w:val="20"/>
                <w:color w:val="auto"/>
              </w:rPr>
            </w:pPr>
            <w:r>
              <w:rPr>
                <w:rFonts w:ascii="Calibri" w:cs="Calibri" w:eastAsia="Calibri" w:hAnsi="Calibri"/>
                <w:sz w:val="20"/>
                <w:szCs w:val="20"/>
                <w:b w:val="1"/>
                <w:bCs w:val="1"/>
                <w:color w:val="auto"/>
              </w:rPr>
              <w:t>Deferred tax assets:</w:t>
            </w:r>
          </w:p>
        </w:tc>
        <w:tc>
          <w:tcPr>
            <w:tcW w:w="2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880" w:type="dxa"/>
            <w:vAlign w:val="bottom"/>
            <w:shd w:val="clear" w:color="auto" w:fill="E5E5E5"/>
          </w:tcPr>
          <w:p>
            <w:pPr>
              <w:spacing w:after="0"/>
              <w:rPr>
                <w:sz w:val="20"/>
                <w:szCs w:val="20"/>
                <w:color w:val="auto"/>
              </w:rPr>
            </w:pPr>
          </w:p>
        </w:tc>
        <w:tc>
          <w:tcPr>
            <w:tcW w:w="280" w:type="dxa"/>
            <w:vAlign w:val="bottom"/>
            <w:tcBorders>
              <w:right w:val="single" w:sz="8" w:color="E5E5E5"/>
            </w:tcBorders>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00" w:type="dxa"/>
            <w:vAlign w:val="bottom"/>
            <w:shd w:val="clear" w:color="auto" w:fill="E5E5E5"/>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8460" w:type="dxa"/>
            <w:vAlign w:val="bottom"/>
          </w:tcPr>
          <w:p>
            <w:pPr>
              <w:spacing w:after="0"/>
              <w:rPr>
                <w:sz w:val="20"/>
                <w:szCs w:val="20"/>
                <w:color w:val="auto"/>
              </w:rPr>
            </w:pPr>
            <w:r>
              <w:rPr>
                <w:rFonts w:ascii="Calibri" w:cs="Calibri" w:eastAsia="Calibri" w:hAnsi="Calibri"/>
                <w:sz w:val="20"/>
                <w:szCs w:val="20"/>
                <w:color w:val="auto"/>
              </w:rPr>
              <w:t>Net operating loss carryforwards</w:t>
            </w:r>
          </w:p>
        </w:tc>
        <w:tc>
          <w:tcPr>
            <w:tcW w:w="46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color w:val="auto"/>
              </w:rPr>
              <w:t>174,237</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Calibri" w:cs="Calibri" w:eastAsia="Calibri" w:hAnsi="Calibri"/>
                <w:sz w:val="20"/>
                <w:szCs w:val="20"/>
                <w:color w:val="auto"/>
                <w:w w:val="78"/>
              </w:rPr>
              <w:t>$</w:t>
            </w:r>
          </w:p>
        </w:tc>
        <w:tc>
          <w:tcPr>
            <w:tcW w:w="900" w:type="dxa"/>
            <w:vAlign w:val="bottom"/>
          </w:tcPr>
          <w:p>
            <w:pPr>
              <w:jc w:val="right"/>
              <w:spacing w:after="0"/>
              <w:rPr>
                <w:sz w:val="20"/>
                <w:szCs w:val="20"/>
                <w:color w:val="auto"/>
              </w:rPr>
            </w:pPr>
            <w:r>
              <w:rPr>
                <w:rFonts w:ascii="Calibri" w:cs="Calibri" w:eastAsia="Calibri" w:hAnsi="Calibri"/>
                <w:sz w:val="20"/>
                <w:szCs w:val="20"/>
                <w:color w:val="auto"/>
              </w:rPr>
              <w:t>158,090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460" w:type="dxa"/>
            <w:vAlign w:val="bottom"/>
            <w:shd w:val="clear" w:color="auto" w:fill="E5E5E5"/>
          </w:tcPr>
          <w:p>
            <w:pPr>
              <w:spacing w:after="0"/>
              <w:rPr>
                <w:sz w:val="20"/>
                <w:szCs w:val="20"/>
                <w:color w:val="auto"/>
              </w:rPr>
            </w:pPr>
            <w:r>
              <w:rPr>
                <w:rFonts w:ascii="Calibri" w:cs="Calibri" w:eastAsia="Calibri" w:hAnsi="Calibri"/>
                <w:sz w:val="20"/>
                <w:szCs w:val="20"/>
                <w:color w:val="auto"/>
              </w:rPr>
              <w:t>Research and development credits</w:t>
            </w:r>
          </w:p>
        </w:tc>
        <w:tc>
          <w:tcPr>
            <w:tcW w:w="26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8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74,844</w:t>
            </w:r>
          </w:p>
        </w:tc>
        <w:tc>
          <w:tcPr>
            <w:tcW w:w="280" w:type="dxa"/>
            <w:vAlign w:val="bottom"/>
            <w:tcBorders>
              <w:right w:val="single" w:sz="8" w:color="E5E5E5"/>
            </w:tcBorders>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9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72,031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460" w:type="dxa"/>
            <w:vAlign w:val="bottom"/>
          </w:tcPr>
          <w:p>
            <w:pPr>
              <w:spacing w:after="0"/>
              <w:rPr>
                <w:sz w:val="20"/>
                <w:szCs w:val="20"/>
                <w:color w:val="auto"/>
              </w:rPr>
            </w:pPr>
            <w:r>
              <w:rPr>
                <w:rFonts w:ascii="Calibri" w:cs="Calibri" w:eastAsia="Calibri" w:hAnsi="Calibri"/>
                <w:sz w:val="20"/>
                <w:szCs w:val="20"/>
                <w:color w:val="auto"/>
              </w:rPr>
              <w:t>Depreciation and amortization</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26,598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color w:val="auto"/>
              </w:rPr>
              <w:t>28,861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460" w:type="dxa"/>
            <w:vAlign w:val="bottom"/>
            <w:shd w:val="clear" w:color="auto" w:fill="E5E5E5"/>
          </w:tcPr>
          <w:p>
            <w:pPr>
              <w:spacing w:after="0"/>
              <w:rPr>
                <w:sz w:val="20"/>
                <w:szCs w:val="20"/>
                <w:color w:val="auto"/>
              </w:rPr>
            </w:pPr>
            <w:r>
              <w:rPr>
                <w:rFonts w:ascii="Calibri" w:cs="Calibri" w:eastAsia="Calibri" w:hAnsi="Calibri"/>
                <w:sz w:val="20"/>
                <w:szCs w:val="20"/>
                <w:color w:val="auto"/>
              </w:rPr>
              <w:t>Stock-based compensation</w:t>
            </w:r>
          </w:p>
        </w:tc>
        <w:tc>
          <w:tcPr>
            <w:tcW w:w="26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8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18,004</w:t>
            </w:r>
          </w:p>
        </w:tc>
        <w:tc>
          <w:tcPr>
            <w:tcW w:w="280" w:type="dxa"/>
            <w:vAlign w:val="bottom"/>
            <w:tcBorders>
              <w:right w:val="single" w:sz="8" w:color="E5E5E5"/>
            </w:tcBorders>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9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26,814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460" w:type="dxa"/>
            <w:vAlign w:val="bottom"/>
          </w:tcPr>
          <w:p>
            <w:pPr>
              <w:spacing w:after="0"/>
              <w:rPr>
                <w:sz w:val="20"/>
                <w:szCs w:val="20"/>
                <w:color w:val="auto"/>
              </w:rPr>
            </w:pPr>
            <w:r>
              <w:rPr>
                <w:rFonts w:ascii="Calibri" w:cs="Calibri" w:eastAsia="Calibri" w:hAnsi="Calibri"/>
                <w:sz w:val="20"/>
                <w:szCs w:val="20"/>
                <w:color w:val="auto"/>
              </w:rPr>
              <w:t>Sales related accruals</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5,287</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color w:val="auto"/>
              </w:rPr>
              <w:t>39,966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460" w:type="dxa"/>
            <w:vAlign w:val="bottom"/>
            <w:shd w:val="clear" w:color="auto" w:fill="E5E5E5"/>
          </w:tcPr>
          <w:p>
            <w:pPr>
              <w:spacing w:after="0"/>
              <w:rPr>
                <w:sz w:val="20"/>
                <w:szCs w:val="20"/>
                <w:color w:val="auto"/>
              </w:rPr>
            </w:pPr>
            <w:r>
              <w:rPr>
                <w:rFonts w:ascii="Calibri" w:cs="Calibri" w:eastAsia="Calibri" w:hAnsi="Calibri"/>
                <w:sz w:val="20"/>
                <w:szCs w:val="20"/>
                <w:color w:val="auto"/>
              </w:rPr>
              <w:t>Other accruals</w:t>
            </w:r>
          </w:p>
        </w:tc>
        <w:tc>
          <w:tcPr>
            <w:tcW w:w="26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88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31,622</w:t>
            </w:r>
          </w:p>
        </w:tc>
        <w:tc>
          <w:tcPr>
            <w:tcW w:w="280" w:type="dxa"/>
            <w:vAlign w:val="bottom"/>
            <w:tcBorders>
              <w:right w:val="single" w:sz="8" w:color="E5E5E5"/>
            </w:tcBorders>
            <w:shd w:val="clear" w:color="auto" w:fill="E5E5E5"/>
          </w:tcPr>
          <w:p>
            <w:pPr>
              <w:spacing w:after="0"/>
              <w:rPr>
                <w:sz w:val="21"/>
                <w:szCs w:val="21"/>
                <w:color w:val="auto"/>
              </w:rPr>
            </w:pPr>
          </w:p>
        </w:tc>
        <w:tc>
          <w:tcPr>
            <w:tcW w:w="180" w:type="dxa"/>
            <w:vAlign w:val="bottom"/>
            <w:shd w:val="clear" w:color="auto" w:fill="E5E5E5"/>
          </w:tcPr>
          <w:p>
            <w:pPr>
              <w:spacing w:after="0"/>
              <w:rPr>
                <w:sz w:val="21"/>
                <w:szCs w:val="21"/>
                <w:color w:val="auto"/>
              </w:rPr>
            </w:pPr>
          </w:p>
        </w:tc>
        <w:tc>
          <w:tcPr>
            <w:tcW w:w="9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42,537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E5E5E5"/>
            </w:tcBorders>
          </w:tcPr>
          <w:p>
            <w:pPr>
              <w:spacing w:after="0"/>
              <w:rPr>
                <w:sz w:val="20"/>
                <w:szCs w:val="20"/>
                <w:color w:val="auto"/>
              </w:rPr>
            </w:pPr>
            <w:r>
              <w:rPr>
                <w:rFonts w:ascii="Calibri" w:cs="Calibri" w:eastAsia="Calibri" w:hAnsi="Calibri"/>
                <w:sz w:val="20"/>
                <w:szCs w:val="20"/>
                <w:color w:val="auto"/>
              </w:rPr>
              <w:t>Capitalized research and development</w:t>
            </w:r>
          </w:p>
        </w:tc>
        <w:tc>
          <w:tcPr>
            <w:tcW w:w="260" w:type="dxa"/>
            <w:vAlign w:val="bottom"/>
            <w:tcBorders>
              <w:bottom w:val="single" w:sz="8" w:color="E5E5E5"/>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44,960</w:t>
            </w:r>
          </w:p>
        </w:tc>
        <w:tc>
          <w:tcPr>
            <w:tcW w:w="280" w:type="dxa"/>
            <w:vAlign w:val="bottom"/>
            <w:tcBorders>
              <w:bottom w:val="single" w:sz="8" w:color="E5E5E5"/>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50,850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460" w:type="dxa"/>
            <w:vAlign w:val="bottom"/>
            <w:shd w:val="clear" w:color="auto" w:fill="E5E5E5"/>
          </w:tcPr>
          <w:p>
            <w:pPr>
              <w:ind w:left="120"/>
              <w:spacing w:after="0" w:line="234" w:lineRule="exact"/>
              <w:rPr>
                <w:sz w:val="20"/>
                <w:szCs w:val="20"/>
                <w:color w:val="auto"/>
              </w:rPr>
            </w:pPr>
            <w:r>
              <w:rPr>
                <w:rFonts w:ascii="Calibri" w:cs="Calibri" w:eastAsia="Calibri" w:hAnsi="Calibri"/>
                <w:sz w:val="20"/>
                <w:szCs w:val="20"/>
                <w:color w:val="auto"/>
              </w:rPr>
              <w:t>Total gross deferred tax assets</w:t>
            </w:r>
          </w:p>
        </w:tc>
        <w:tc>
          <w:tcPr>
            <w:tcW w:w="260" w:type="dxa"/>
            <w:vAlign w:val="bottom"/>
            <w:shd w:val="clear" w:color="auto" w:fill="E5E5E5"/>
          </w:tcPr>
          <w:p>
            <w:pPr>
              <w:spacing w:after="0"/>
              <w:rPr>
                <w:sz w:val="20"/>
                <w:szCs w:val="20"/>
                <w:color w:val="auto"/>
              </w:rPr>
            </w:pPr>
          </w:p>
        </w:tc>
        <w:tc>
          <w:tcPr>
            <w:tcW w:w="200" w:type="dxa"/>
            <w:vAlign w:val="bottom"/>
            <w:shd w:val="clear" w:color="auto" w:fill="E5E5E5"/>
          </w:tcPr>
          <w:p>
            <w:pPr>
              <w:spacing w:after="0"/>
              <w:rPr>
                <w:sz w:val="20"/>
                <w:szCs w:val="20"/>
                <w:color w:val="auto"/>
              </w:rPr>
            </w:pPr>
          </w:p>
        </w:tc>
        <w:tc>
          <w:tcPr>
            <w:tcW w:w="88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375,552</w:t>
            </w:r>
          </w:p>
        </w:tc>
        <w:tc>
          <w:tcPr>
            <w:tcW w:w="280" w:type="dxa"/>
            <w:vAlign w:val="bottom"/>
            <w:tcBorders>
              <w:right w:val="single" w:sz="8" w:color="E5E5E5"/>
            </w:tcBorders>
            <w:shd w:val="clear" w:color="auto" w:fill="E5E5E5"/>
          </w:tcPr>
          <w:p>
            <w:pPr>
              <w:spacing w:after="0"/>
              <w:rPr>
                <w:sz w:val="20"/>
                <w:szCs w:val="20"/>
                <w:color w:val="auto"/>
              </w:rPr>
            </w:pPr>
          </w:p>
        </w:tc>
        <w:tc>
          <w:tcPr>
            <w:tcW w:w="180" w:type="dxa"/>
            <w:vAlign w:val="bottom"/>
            <w:shd w:val="clear" w:color="auto" w:fill="E5E5E5"/>
          </w:tcPr>
          <w:p>
            <w:pPr>
              <w:spacing w:after="0"/>
              <w:rPr>
                <w:sz w:val="20"/>
                <w:szCs w:val="20"/>
                <w:color w:val="auto"/>
              </w:rPr>
            </w:pPr>
          </w:p>
        </w:tc>
        <w:tc>
          <w:tcPr>
            <w:tcW w:w="90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419,149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8460" w:type="dxa"/>
            <w:vAlign w:val="bottom"/>
          </w:tcPr>
          <w:p>
            <w:pPr>
              <w:spacing w:after="0"/>
              <w:rPr>
                <w:sz w:val="20"/>
                <w:szCs w:val="20"/>
                <w:color w:val="auto"/>
              </w:rPr>
            </w:pPr>
            <w:r>
              <w:rPr>
                <w:rFonts w:ascii="Calibri" w:cs="Calibri" w:eastAsia="Calibri" w:hAnsi="Calibri"/>
                <w:sz w:val="20"/>
                <w:szCs w:val="20"/>
                <w:color w:val="auto"/>
              </w:rPr>
              <w:t>Valuation allowance</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Calibri" w:cs="Calibri" w:eastAsia="Calibri" w:hAnsi="Calibri"/>
                <w:sz w:val="20"/>
                <w:szCs w:val="20"/>
                <w:color w:val="auto"/>
              </w:rPr>
              <w:t>(368,124)</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color w:val="auto"/>
              </w:rPr>
              <w:t>(412,833)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460" w:type="dxa"/>
            <w:vAlign w:val="bottom"/>
            <w:tcBorders>
              <w:top w:val="single" w:sz="8" w:color="E5E5E5"/>
            </w:tcBorders>
            <w:shd w:val="clear" w:color="auto" w:fill="E5E5E5"/>
          </w:tcPr>
          <w:p>
            <w:pPr>
              <w:ind w:left="120"/>
              <w:spacing w:after="0" w:line="234" w:lineRule="exact"/>
              <w:rPr>
                <w:sz w:val="20"/>
                <w:szCs w:val="20"/>
                <w:color w:val="auto"/>
              </w:rPr>
            </w:pPr>
            <w:r>
              <w:rPr>
                <w:rFonts w:ascii="Calibri" w:cs="Calibri" w:eastAsia="Calibri" w:hAnsi="Calibri"/>
                <w:sz w:val="20"/>
                <w:szCs w:val="20"/>
                <w:color w:val="auto"/>
              </w:rPr>
              <w:t>Total net deferred tax assets</w:t>
            </w:r>
          </w:p>
        </w:tc>
        <w:tc>
          <w:tcPr>
            <w:tcW w:w="260" w:type="dxa"/>
            <w:vAlign w:val="bottom"/>
            <w:tcBorders>
              <w:top w:val="single" w:sz="8" w:color="E5E5E5"/>
            </w:tcBorders>
            <w:shd w:val="clear" w:color="auto" w:fill="E5E5E5"/>
          </w:tcPr>
          <w:p>
            <w:pPr>
              <w:spacing w:after="0"/>
              <w:rPr>
                <w:sz w:val="20"/>
                <w:szCs w:val="20"/>
                <w:color w:val="auto"/>
              </w:rPr>
            </w:pPr>
          </w:p>
        </w:tc>
        <w:tc>
          <w:tcPr>
            <w:tcW w:w="200" w:type="dxa"/>
            <w:vAlign w:val="bottom"/>
            <w:tcBorders>
              <w:top w:val="single" w:sz="8" w:color="auto"/>
            </w:tcBorders>
            <w:shd w:val="clear" w:color="auto" w:fill="E5E5E5"/>
          </w:tcPr>
          <w:p>
            <w:pPr>
              <w:spacing w:after="0"/>
              <w:rPr>
                <w:sz w:val="20"/>
                <w:szCs w:val="20"/>
                <w:color w:val="auto"/>
              </w:rPr>
            </w:pPr>
          </w:p>
        </w:tc>
        <w:tc>
          <w:tcPr>
            <w:tcW w:w="880" w:type="dxa"/>
            <w:vAlign w:val="bottom"/>
            <w:tcBorders>
              <w:top w:val="single" w:sz="8" w:color="auto"/>
            </w:tcBorders>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7,428</w:t>
            </w:r>
          </w:p>
        </w:tc>
        <w:tc>
          <w:tcPr>
            <w:tcW w:w="280" w:type="dxa"/>
            <w:vAlign w:val="bottom"/>
            <w:tcBorders>
              <w:top w:val="single" w:sz="8" w:color="E5E5E5"/>
              <w:right w:val="single" w:sz="8" w:color="E5E5E5"/>
            </w:tcBorders>
            <w:shd w:val="clear" w:color="auto" w:fill="E5E5E5"/>
          </w:tcPr>
          <w:p>
            <w:pPr>
              <w:spacing w:after="0"/>
              <w:rPr>
                <w:sz w:val="20"/>
                <w:szCs w:val="20"/>
                <w:color w:val="auto"/>
              </w:rPr>
            </w:pPr>
          </w:p>
        </w:tc>
        <w:tc>
          <w:tcPr>
            <w:tcW w:w="180" w:type="dxa"/>
            <w:vAlign w:val="bottom"/>
            <w:tcBorders>
              <w:top w:val="single" w:sz="8" w:color="auto"/>
            </w:tcBorders>
            <w:shd w:val="clear" w:color="auto" w:fill="E5E5E5"/>
          </w:tcPr>
          <w:p>
            <w:pPr>
              <w:spacing w:after="0"/>
              <w:rPr>
                <w:sz w:val="20"/>
                <w:szCs w:val="20"/>
                <w:color w:val="auto"/>
              </w:rPr>
            </w:pPr>
          </w:p>
        </w:tc>
        <w:tc>
          <w:tcPr>
            <w:tcW w:w="900" w:type="dxa"/>
            <w:vAlign w:val="bottom"/>
            <w:tcBorders>
              <w:top w:val="single" w:sz="8" w:color="auto"/>
            </w:tcBorders>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6,316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460" w:type="dxa"/>
            <w:vAlign w:val="bottom"/>
          </w:tcPr>
          <w:p>
            <w:pPr>
              <w:spacing w:after="0"/>
              <w:rPr>
                <w:sz w:val="20"/>
                <w:szCs w:val="20"/>
                <w:color w:val="auto"/>
              </w:rPr>
            </w:pPr>
            <w:r>
              <w:rPr>
                <w:rFonts w:ascii="Calibri" w:cs="Calibri" w:eastAsia="Calibri" w:hAnsi="Calibri"/>
                <w:sz w:val="20"/>
                <w:szCs w:val="20"/>
                <w:b w:val="1"/>
                <w:bCs w:val="1"/>
                <w:color w:val="auto"/>
              </w:rPr>
              <w:t>Deferred tax liabilities:</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460" w:type="dxa"/>
            <w:vAlign w:val="bottom"/>
            <w:shd w:val="clear" w:color="auto" w:fill="E5E5E5"/>
          </w:tcPr>
          <w:p>
            <w:pPr>
              <w:spacing w:after="0"/>
              <w:rPr>
                <w:sz w:val="20"/>
                <w:szCs w:val="20"/>
                <w:color w:val="auto"/>
              </w:rPr>
            </w:pPr>
            <w:r>
              <w:rPr>
                <w:rFonts w:ascii="Calibri" w:cs="Calibri" w:eastAsia="Calibri" w:hAnsi="Calibri"/>
                <w:sz w:val="20"/>
                <w:szCs w:val="20"/>
                <w:color w:val="auto"/>
              </w:rPr>
              <w:t>Right-of-use asset</w:t>
            </w:r>
          </w:p>
        </w:tc>
        <w:tc>
          <w:tcPr>
            <w:tcW w:w="26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1160" w:type="dxa"/>
            <w:vAlign w:val="bottom"/>
            <w:tcBorders>
              <w:right w:val="single" w:sz="8" w:color="E5E5E5"/>
            </w:tcBorders>
            <w:gridSpan w:val="2"/>
            <w:shd w:val="clear" w:color="auto" w:fill="E5E5E5"/>
          </w:tcPr>
          <w:p>
            <w:pPr>
              <w:jc w:val="right"/>
              <w:ind w:right="280"/>
              <w:spacing w:after="0"/>
              <w:rPr>
                <w:sz w:val="20"/>
                <w:szCs w:val="20"/>
                <w:color w:val="auto"/>
              </w:rPr>
            </w:pPr>
            <w:r>
              <w:rPr>
                <w:rFonts w:ascii="Calibri" w:cs="Calibri" w:eastAsia="Calibri" w:hAnsi="Calibri"/>
                <w:sz w:val="20"/>
                <w:szCs w:val="20"/>
                <w:color w:val="auto"/>
              </w:rPr>
              <w:t>(656)</w:t>
            </w:r>
          </w:p>
        </w:tc>
        <w:tc>
          <w:tcPr>
            <w:tcW w:w="180" w:type="dxa"/>
            <w:vAlign w:val="bottom"/>
            <w:shd w:val="clear" w:color="auto" w:fill="E5E5E5"/>
          </w:tcPr>
          <w:p>
            <w:pPr>
              <w:spacing w:after="0"/>
              <w:rPr>
                <w:sz w:val="21"/>
                <w:szCs w:val="21"/>
                <w:color w:val="auto"/>
              </w:rPr>
            </w:pPr>
          </w:p>
        </w:tc>
        <w:tc>
          <w:tcPr>
            <w:tcW w:w="9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(1,004)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460" w:type="dxa"/>
            <w:vAlign w:val="bottom"/>
          </w:tcPr>
          <w:p>
            <w:pPr>
              <w:spacing w:after="0"/>
              <w:rPr>
                <w:sz w:val="20"/>
                <w:szCs w:val="20"/>
                <w:color w:val="auto"/>
              </w:rPr>
            </w:pPr>
            <w:r>
              <w:rPr>
                <w:rFonts w:ascii="Calibri" w:cs="Calibri" w:eastAsia="Calibri" w:hAnsi="Calibri"/>
                <w:sz w:val="20"/>
                <w:szCs w:val="20"/>
                <w:color w:val="auto"/>
              </w:rPr>
              <w:t>In-process research and development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Calibri" w:cs="Calibri" w:eastAsia="Calibri" w:hAnsi="Calibri"/>
                <w:sz w:val="20"/>
                <w:szCs w:val="20"/>
                <w:color w:val="auto"/>
              </w:rPr>
              <w:t>(5,832)</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color w:val="auto"/>
              </w:rPr>
              <w:t>(6,414)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460" w:type="dxa"/>
            <w:vAlign w:val="bottom"/>
            <w:shd w:val="clear" w:color="auto" w:fill="E5E5E5"/>
          </w:tcPr>
          <w:p>
            <w:pPr>
              <w:spacing w:after="0"/>
              <w:rPr>
                <w:sz w:val="20"/>
                <w:szCs w:val="20"/>
                <w:color w:val="auto"/>
              </w:rPr>
            </w:pPr>
            <w:r>
              <w:rPr>
                <w:rFonts w:ascii="Calibri" w:cs="Calibri" w:eastAsia="Calibri" w:hAnsi="Calibri"/>
                <w:sz w:val="20"/>
                <w:szCs w:val="20"/>
                <w:color w:val="auto"/>
              </w:rPr>
              <w:t>Section 481(a) adjustment</w:t>
            </w:r>
          </w:p>
        </w:tc>
        <w:tc>
          <w:tcPr>
            <w:tcW w:w="26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1160" w:type="dxa"/>
            <w:vAlign w:val="bottom"/>
            <w:tcBorders>
              <w:right w:val="single" w:sz="8" w:color="E5E5E5"/>
            </w:tcBorders>
            <w:gridSpan w:val="2"/>
            <w:shd w:val="clear" w:color="auto" w:fill="E5E5E5"/>
          </w:tcPr>
          <w:p>
            <w:pPr>
              <w:jc w:val="right"/>
              <w:ind w:right="280"/>
              <w:spacing w:after="0"/>
              <w:rPr>
                <w:sz w:val="20"/>
                <w:szCs w:val="20"/>
                <w:color w:val="auto"/>
              </w:rPr>
            </w:pPr>
            <w:r>
              <w:rPr>
                <w:rFonts w:ascii="Calibri" w:cs="Calibri" w:eastAsia="Calibri" w:hAnsi="Calibri"/>
                <w:sz w:val="20"/>
                <w:szCs w:val="20"/>
                <w:color w:val="auto"/>
              </w:rPr>
              <w:t>(2,042)</w:t>
            </w:r>
          </w:p>
        </w:tc>
        <w:tc>
          <w:tcPr>
            <w:tcW w:w="180" w:type="dxa"/>
            <w:vAlign w:val="bottom"/>
            <w:shd w:val="clear" w:color="auto" w:fill="E5E5E5"/>
          </w:tcPr>
          <w:p>
            <w:pPr>
              <w:spacing w:after="0"/>
              <w:rPr>
                <w:sz w:val="21"/>
                <w:szCs w:val="21"/>
                <w:color w:val="auto"/>
              </w:rPr>
            </w:pPr>
          </w:p>
        </w:tc>
        <w:tc>
          <w:tcPr>
            <w:tcW w:w="9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460" w:type="dxa"/>
            <w:vAlign w:val="bottom"/>
            <w:tcBorders>
              <w:bottom w:val="single" w:sz="8" w:color="E5E5E5"/>
            </w:tcBorders>
          </w:tcPr>
          <w:p>
            <w:pPr>
              <w:ind w:left="120"/>
              <w:spacing w:after="0" w:line="234" w:lineRule="exact"/>
              <w:rPr>
                <w:sz w:val="20"/>
                <w:szCs w:val="20"/>
                <w:color w:val="auto"/>
              </w:rPr>
            </w:pPr>
            <w:r>
              <w:rPr>
                <w:rFonts w:ascii="Calibri" w:cs="Calibri" w:eastAsia="Calibri" w:hAnsi="Calibri"/>
                <w:sz w:val="20"/>
                <w:szCs w:val="20"/>
                <w:color w:val="auto"/>
              </w:rPr>
              <w:t>Total deferred tax liabilities</w:t>
            </w:r>
          </w:p>
        </w:tc>
        <w:tc>
          <w:tcPr>
            <w:tcW w:w="260" w:type="dxa"/>
            <w:vAlign w:val="bottom"/>
            <w:tcBorders>
              <w:bottom w:val="single" w:sz="8" w:color="E5E5E5"/>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(8,530)</w:t>
            </w:r>
          </w:p>
        </w:tc>
        <w:tc>
          <w:tcPr>
            <w:tcW w:w="280" w:type="dxa"/>
            <w:vAlign w:val="bottom"/>
            <w:tcBorders>
              <w:bottom w:val="single" w:sz="8" w:color="E5E5E5"/>
            </w:tcBorders>
          </w:tcPr>
          <w:p>
            <w:pPr>
              <w:spacing w:after="0"/>
              <w:rPr>
                <w:sz w:val="20"/>
                <w:szCs w:val="20"/>
                <w:color w:val="auto"/>
              </w:rPr>
            </w:pPr>
          </w:p>
        </w:tc>
        <w:tc>
          <w:tcPr>
            <w:tcW w:w="180" w:type="dxa"/>
            <w:vAlign w:val="bottom"/>
            <w:tcBorders>
              <w:top w:val="single" w:sz="8" w:color="auto"/>
              <w:bottom w:val="single" w:sz="8" w:color="E5E5E5"/>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(7,418)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460" w:type="dxa"/>
            <w:vAlign w:val="bottom"/>
            <w:shd w:val="clear" w:color="auto" w:fill="E5E5E5"/>
          </w:tcPr>
          <w:p>
            <w:pPr>
              <w:spacing w:after="0" w:line="234" w:lineRule="exact"/>
              <w:rPr>
                <w:sz w:val="20"/>
                <w:szCs w:val="20"/>
                <w:color w:val="auto"/>
              </w:rPr>
            </w:pPr>
            <w:r>
              <w:rPr>
                <w:rFonts w:ascii="Calibri" w:cs="Calibri" w:eastAsia="Calibri" w:hAnsi="Calibri"/>
                <w:sz w:val="20"/>
                <w:szCs w:val="20"/>
                <w:color w:val="auto"/>
              </w:rPr>
              <w:t>Net deferred tax liabilities</w:t>
            </w:r>
          </w:p>
        </w:tc>
        <w:tc>
          <w:tcPr>
            <w:tcW w:w="260" w:type="dxa"/>
            <w:vAlign w:val="bottom"/>
            <w:shd w:val="clear" w:color="auto" w:fill="E5E5E5"/>
          </w:tcPr>
          <w:p>
            <w:pPr>
              <w:spacing w:after="0"/>
              <w:rPr>
                <w:sz w:val="20"/>
                <w:szCs w:val="20"/>
                <w:color w:val="auto"/>
              </w:rPr>
            </w:pPr>
          </w:p>
        </w:tc>
        <w:tc>
          <w:tcPr>
            <w:tcW w:w="20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w w:val="98"/>
              </w:rPr>
              <w:t>$</w:t>
            </w:r>
          </w:p>
        </w:tc>
        <w:tc>
          <w:tcPr>
            <w:tcW w:w="1160" w:type="dxa"/>
            <w:vAlign w:val="bottom"/>
            <w:tcBorders>
              <w:right w:val="single" w:sz="8" w:color="E5E5E5"/>
            </w:tcBorders>
            <w:gridSpan w:val="2"/>
            <w:shd w:val="clear" w:color="auto" w:fill="E5E5E5"/>
          </w:tcPr>
          <w:p>
            <w:pPr>
              <w:jc w:val="right"/>
              <w:ind w:right="280"/>
              <w:spacing w:after="0" w:line="235" w:lineRule="exact"/>
              <w:rPr>
                <w:sz w:val="20"/>
                <w:szCs w:val="20"/>
                <w:color w:val="auto"/>
              </w:rPr>
            </w:pPr>
            <w:r>
              <w:rPr>
                <w:rFonts w:ascii="Calibri" w:cs="Calibri" w:eastAsia="Calibri" w:hAnsi="Calibri"/>
                <w:sz w:val="20"/>
                <w:szCs w:val="20"/>
                <w:color w:val="auto"/>
              </w:rPr>
              <w:t>(1,102)</w:t>
            </w:r>
          </w:p>
        </w:tc>
        <w:tc>
          <w:tcPr>
            <w:tcW w:w="18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w w:val="78"/>
              </w:rPr>
              <w:t>$</w:t>
            </w:r>
          </w:p>
        </w:tc>
        <w:tc>
          <w:tcPr>
            <w:tcW w:w="90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(1,102)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720"/>
        <w:spacing w:after="0" w:line="257" w:lineRule="auto"/>
        <w:rPr>
          <w:sz w:val="20"/>
          <w:szCs w:val="20"/>
          <w:color w:val="auto"/>
        </w:rPr>
      </w:pPr>
      <w:r>
        <w:rPr>
          <w:rFonts w:ascii="Calibri" w:cs="Calibri" w:eastAsia="Calibri" w:hAnsi="Calibri"/>
          <w:sz w:val="19"/>
          <w:szCs w:val="19"/>
          <w:color w:val="auto"/>
        </w:rPr>
        <w:t>The tax benefit of net operating losses, temporary differences and credit carry forwards is recorded as an asset to the extent that management assesses that realization is “more likely than not.” The ultimate realization of deferred tax assets is dependent upon the generation of future taxable income during the periods in which the temporary differences representing net future deductible amounts become deductible. As of December 31, 2025 and 2024, the Company recorded net a deferred tax liability of $1.1 million. The net deferred tax liability relates to in-process research and development that cannot be offset against the deferred tax assets. For remaining deferred tax assets, the Company has determined that it is more likely than not that its federal and state net deferred tax assets will not be realized due to the Company's history of losses and lack of other positive evidence. As a result, the Company has recorded a valuation allowance against the remaining federal and certain state net deferred tax assets as of December 31, 2025 and 2024.</w:t>
      </w:r>
    </w:p>
    <w:p>
      <w:pPr>
        <w:spacing w:after="0" w:line="207"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The valuation allowance decreased by $44.7 million during the year ended December 31, 2025 and decreased by $10.6 million during the year ended December 31, 2024.</w:t>
      </w:r>
    </w:p>
    <w:p>
      <w:pPr>
        <w:spacing w:after="0" w:line="195" w:lineRule="exact"/>
        <w:rPr>
          <w:sz w:val="20"/>
          <w:szCs w:val="20"/>
          <w:color w:val="auto"/>
        </w:rPr>
      </w:pPr>
    </w:p>
    <w:p>
      <w:pPr>
        <w:jc w:val="both"/>
        <w:ind w:firstLine="720"/>
        <w:spacing w:after="0" w:line="250" w:lineRule="auto"/>
        <w:rPr>
          <w:sz w:val="20"/>
          <w:szCs w:val="20"/>
          <w:color w:val="auto"/>
        </w:rPr>
      </w:pPr>
      <w:r>
        <w:rPr>
          <w:rFonts w:ascii="Calibri" w:cs="Calibri" w:eastAsia="Calibri" w:hAnsi="Calibri"/>
          <w:sz w:val="20"/>
          <w:szCs w:val="20"/>
          <w:color w:val="auto"/>
        </w:rPr>
        <w:t>As of December 31, 2025, the Company had net operating loss carryforwards for federal income of $792.6 million, which will start to expire in the year 2036, and various states net operating loss carryforwards of $131.9 million, which have various expiration dates beginning in 2031.</w:t>
      </w:r>
    </w:p>
    <w:p>
      <w:pPr>
        <w:spacing w:after="0" w:line="209"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As of December 31, 2025, the Company had federal research and development credit carryforwards for federal income tax purposes of $69.0 million, which will start to expire in the year 2031, and state research and development credit carryforwards of $31.1 million, which have no expiration date.</w:t>
      </w:r>
    </w:p>
    <w:p>
      <w:pPr>
        <w:sectPr>
          <w:pgSz w:w="12240" w:h="15840" w:orient="portrait"/>
          <w:cols w:equalWidth="0" w:num="1">
            <w:col w:w="11160"/>
          </w:cols>
          <w:pgMar w:left="540" w:top="53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111</w:t>
      </w:r>
    </w:p>
    <w:p>
      <w:pPr>
        <w:sectPr>
          <w:pgSz w:w="12240" w:h="15840" w:orient="portrait"/>
          <w:cols w:equalWidth="0" w:num="1">
            <w:col w:w="11160"/>
          </w:cols>
          <w:pgMar w:left="540" w:top="532" w:right="540" w:bottom="0" w:gutter="0" w:footer="0" w:header="0"/>
          <w:type w:val="continuous"/>
        </w:sectPr>
      </w:pPr>
    </w:p>
    <w:bookmarkStart w:id="113" w:name="page114"/>
    <w:bookmarkEnd w:id="113"/>
    <w:p>
      <w:pPr>
        <w:jc w:val="both"/>
        <w:ind w:firstLine="720"/>
        <w:spacing w:after="0" w:line="257" w:lineRule="auto"/>
        <w:rPr>
          <w:sz w:val="20"/>
          <w:szCs w:val="20"/>
          <w:color w:val="auto"/>
        </w:rPr>
      </w:pPr>
      <w:r>
        <w:rPr>
          <w:rFonts w:ascii="Calibri" w:cs="Calibri" w:eastAsia="Calibri" w:hAnsi="Calibri"/>
          <w:sz w:val="19"/>
          <w:szCs w:val="19"/>
          <w:color w:val="auto"/>
        </w:rPr>
        <w:t>Utilization of the net operating loss and tax credit carryforwards may be subject to a substantial annual limitation due to ownership change limitations provided by Section 382 of the Internal Revenue Code of 1986, as amended, and similar state provisions. The annual limitation may result in the expiration of certain net operating loss and tax credit carryforwards before their utilization. Under the current tax law, the carry forward period of net operating losses generated from 2018 forward is indefinite. However, the carryforward period for net operating losses generated prior to 2018 remains the same. Therefore, the annual limitation may result in the expiration of certain net operating losses and tax credit carryforwards before their utilization. The Company files income tax returns in the United States federal jurisdiction, various United States state jurisdictions, and a foreign jurisdiction with varying statutes of limitations. The tax years from inception in 2011 forward remain open to examination due to the carryover of unused net operating losses and tax credits.</w:t>
      </w:r>
    </w:p>
    <w:p>
      <w:pPr>
        <w:spacing w:after="0" w:line="207"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A reconciliation of the Company’s unrecognized tax benefits during 2025 and 2024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6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jc w:val="right"/>
              <w:ind w:right="264"/>
              <w:spacing w:after="0"/>
              <w:rPr>
                <w:sz w:val="20"/>
                <w:szCs w:val="20"/>
                <w:color w:val="auto"/>
              </w:rPr>
            </w:pPr>
            <w:r>
              <w:rPr>
                <w:rFonts w:ascii="Calibri" w:cs="Calibri" w:eastAsia="Calibri" w:hAnsi="Calibri"/>
                <w:sz w:val="16"/>
                <w:szCs w:val="16"/>
                <w:b w:val="1"/>
                <w:bCs w:val="1"/>
                <w:color w:val="auto"/>
              </w:rPr>
              <w:t>Year Ended December 31,</w:t>
            </w:r>
          </w:p>
        </w:tc>
        <w:tc>
          <w:tcPr>
            <w:tcW w:w="0" w:type="dxa"/>
            <w:vAlign w:val="bottom"/>
          </w:tcPr>
          <w:p>
            <w:pPr>
              <w:spacing w:after="0"/>
              <w:rPr>
                <w:sz w:val="1"/>
                <w:szCs w:val="1"/>
                <w:color w:val="auto"/>
              </w:rPr>
            </w:pPr>
          </w:p>
        </w:tc>
      </w:tr>
      <w:tr>
        <w:trPr>
          <w:trHeight w:val="186"/>
        </w:trPr>
        <w:tc>
          <w:tcPr>
            <w:tcW w:w="8760" w:type="dxa"/>
            <w:vAlign w:val="bottom"/>
            <w:tcBorders>
              <w:bottom w:val="single" w:sz="8" w:color="E5E5E5"/>
            </w:tcBorders>
            <w:vMerge w:val="continue"/>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7"/>
              <w:spacing w:after="0" w:line="187" w:lineRule="exact"/>
              <w:rPr>
                <w:sz w:val="20"/>
                <w:szCs w:val="20"/>
                <w:color w:val="auto"/>
              </w:rPr>
            </w:pPr>
            <w:r>
              <w:rPr>
                <w:rFonts w:ascii="Calibri" w:cs="Calibri" w:eastAsia="Calibri" w:hAnsi="Calibri"/>
                <w:sz w:val="16"/>
                <w:szCs w:val="16"/>
                <w:b w:val="1"/>
                <w:bCs w:val="1"/>
                <w:color w:val="auto"/>
              </w:rPr>
              <w:t>2025</w:t>
            </w:r>
          </w:p>
        </w:tc>
        <w:tc>
          <w:tcPr>
            <w:tcW w:w="26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4"/>
              <w:spacing w:after="0" w:line="187" w:lineRule="exact"/>
              <w:rPr>
                <w:sz w:val="20"/>
                <w:szCs w:val="20"/>
                <w:color w:val="auto"/>
              </w:rPr>
            </w:pPr>
            <w:r>
              <w:rPr>
                <w:rFonts w:ascii="Calibri" w:cs="Calibri" w:eastAsia="Calibri" w:hAnsi="Calibri"/>
                <w:sz w:val="16"/>
                <w:szCs w:val="16"/>
                <w:b w:val="1"/>
                <w:bCs w:val="1"/>
                <w:color w:val="auto"/>
              </w:rPr>
              <w:t>2024</w:t>
            </w:r>
          </w:p>
        </w:tc>
        <w:tc>
          <w:tcPr>
            <w:tcW w:w="0" w:type="dxa"/>
            <w:vAlign w:val="bottom"/>
          </w:tcPr>
          <w:p>
            <w:pPr>
              <w:spacing w:after="0"/>
              <w:rPr>
                <w:sz w:val="1"/>
                <w:szCs w:val="1"/>
                <w:color w:val="auto"/>
              </w:rPr>
            </w:pPr>
          </w:p>
        </w:tc>
      </w:tr>
      <w:tr>
        <w:trPr>
          <w:trHeight w:val="236"/>
        </w:trPr>
        <w:tc>
          <w:tcPr>
            <w:tcW w:w="8760" w:type="dxa"/>
            <w:vAlign w:val="bottom"/>
            <w:shd w:val="clear" w:color="auto" w:fill="E5E5E5"/>
          </w:tcPr>
          <w:p>
            <w:pPr>
              <w:spacing w:after="0" w:line="235" w:lineRule="exact"/>
              <w:rPr>
                <w:sz w:val="20"/>
                <w:szCs w:val="20"/>
                <w:color w:val="auto"/>
              </w:rPr>
            </w:pPr>
            <w:r>
              <w:rPr>
                <w:rFonts w:ascii="Calibri" w:cs="Calibri" w:eastAsia="Calibri" w:hAnsi="Calibri"/>
                <w:sz w:val="20"/>
                <w:szCs w:val="20"/>
                <w:color w:val="auto"/>
              </w:rPr>
              <w:t>Balance at beginning of year</w:t>
            </w:r>
          </w:p>
        </w:tc>
        <w:tc>
          <w:tcPr>
            <w:tcW w:w="20" w:type="dxa"/>
            <w:vAlign w:val="bottom"/>
            <w:shd w:val="clear" w:color="auto" w:fill="E5E5E5"/>
          </w:tcPr>
          <w:p>
            <w:pPr>
              <w:spacing w:after="0"/>
              <w:rPr>
                <w:sz w:val="20"/>
                <w:szCs w:val="20"/>
                <w:color w:val="auto"/>
              </w:rPr>
            </w:pPr>
          </w:p>
        </w:tc>
        <w:tc>
          <w:tcPr>
            <w:tcW w:w="200" w:type="dxa"/>
            <w:vAlign w:val="bottom"/>
            <w:shd w:val="clear" w:color="auto" w:fill="E5E5E5"/>
          </w:tcPr>
          <w:p>
            <w:pPr>
              <w:jc w:val="right"/>
              <w:ind w:right="40"/>
              <w:spacing w:after="0"/>
              <w:rPr>
                <w:sz w:val="20"/>
                <w:szCs w:val="20"/>
                <w:color w:val="auto"/>
              </w:rPr>
            </w:pPr>
            <w:r>
              <w:rPr>
                <w:rFonts w:ascii="Calibri" w:cs="Calibri" w:eastAsia="Calibri" w:hAnsi="Calibri"/>
                <w:sz w:val="16"/>
                <w:szCs w:val="16"/>
                <w:color w:val="auto"/>
                <w:w w:val="73"/>
              </w:rPr>
              <w:t>$</w:t>
            </w:r>
          </w:p>
        </w:tc>
        <w:tc>
          <w:tcPr>
            <w:tcW w:w="84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19,247</w:t>
            </w:r>
          </w:p>
        </w:tc>
        <w:tc>
          <w:tcPr>
            <w:tcW w:w="260" w:type="dxa"/>
            <w:vAlign w:val="bottom"/>
            <w:shd w:val="clear" w:color="auto" w:fill="E5E5E5"/>
          </w:tcPr>
          <w:p>
            <w:pPr>
              <w:spacing w:after="0"/>
              <w:rPr>
                <w:sz w:val="20"/>
                <w:szCs w:val="20"/>
                <w:color w:val="auto"/>
              </w:rPr>
            </w:pPr>
          </w:p>
        </w:tc>
        <w:tc>
          <w:tcPr>
            <w:tcW w:w="260" w:type="dxa"/>
            <w:vAlign w:val="bottom"/>
            <w:gridSpan w:val="2"/>
            <w:shd w:val="clear" w:color="auto" w:fill="E5E5E5"/>
          </w:tcPr>
          <w:p>
            <w:pPr>
              <w:jc w:val="right"/>
              <w:ind w:right="40"/>
              <w:spacing w:after="0" w:line="235" w:lineRule="exact"/>
              <w:rPr>
                <w:sz w:val="20"/>
                <w:szCs w:val="20"/>
                <w:color w:val="auto"/>
              </w:rPr>
            </w:pPr>
            <w:r>
              <w:rPr>
                <w:rFonts w:ascii="Calibri" w:cs="Calibri" w:eastAsia="Calibri" w:hAnsi="Calibri"/>
                <w:sz w:val="20"/>
                <w:szCs w:val="20"/>
                <w:color w:val="auto"/>
                <w:w w:val="98"/>
              </w:rPr>
              <w:t>$</w:t>
            </w:r>
          </w:p>
        </w:tc>
        <w:tc>
          <w:tcPr>
            <w:tcW w:w="82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17,417</w:t>
            </w:r>
          </w:p>
        </w:tc>
        <w:tc>
          <w:tcPr>
            <w:tcW w:w="0" w:type="dxa"/>
            <w:vAlign w:val="bottom"/>
          </w:tcPr>
          <w:p>
            <w:pPr>
              <w:spacing w:after="0"/>
              <w:rPr>
                <w:sz w:val="1"/>
                <w:szCs w:val="1"/>
                <w:color w:val="auto"/>
              </w:rPr>
            </w:pPr>
          </w:p>
        </w:tc>
      </w:tr>
      <w:tr>
        <w:trPr>
          <w:trHeight w:val="245"/>
        </w:trPr>
        <w:tc>
          <w:tcPr>
            <w:tcW w:w="8760" w:type="dxa"/>
            <w:vAlign w:val="bottom"/>
          </w:tcPr>
          <w:p>
            <w:pPr>
              <w:ind w:left="120"/>
              <w:spacing w:after="0"/>
              <w:rPr>
                <w:sz w:val="20"/>
                <w:szCs w:val="20"/>
                <w:color w:val="auto"/>
              </w:rPr>
            </w:pPr>
            <w:r>
              <w:rPr>
                <w:rFonts w:ascii="Calibri" w:cs="Calibri" w:eastAsia="Calibri" w:hAnsi="Calibri"/>
                <w:sz w:val="20"/>
                <w:szCs w:val="20"/>
                <w:color w:val="auto"/>
              </w:rPr>
              <w:t>Additions based on tax positions related to current year</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Calibri" w:cs="Calibri" w:eastAsia="Calibri" w:hAnsi="Calibri"/>
                <w:sz w:val="20"/>
                <w:szCs w:val="20"/>
                <w:color w:val="auto"/>
              </w:rPr>
              <w:t>1,050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Calibri" w:cs="Calibri" w:eastAsia="Calibri" w:hAnsi="Calibri"/>
                <w:sz w:val="20"/>
                <w:szCs w:val="20"/>
                <w:color w:val="auto"/>
              </w:rPr>
              <w:t>1,565</w:t>
            </w:r>
          </w:p>
        </w:tc>
        <w:tc>
          <w:tcPr>
            <w:tcW w:w="0" w:type="dxa"/>
            <w:vAlign w:val="bottom"/>
          </w:tcPr>
          <w:p>
            <w:pPr>
              <w:spacing w:after="0"/>
              <w:rPr>
                <w:sz w:val="1"/>
                <w:szCs w:val="1"/>
                <w:color w:val="auto"/>
              </w:rPr>
            </w:pPr>
          </w:p>
        </w:tc>
      </w:tr>
      <w:tr>
        <w:trPr>
          <w:trHeight w:val="245"/>
        </w:trPr>
        <w:tc>
          <w:tcPr>
            <w:tcW w:w="876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Additions (reductions) for tax positions of prior years</w:t>
            </w:r>
          </w:p>
        </w:tc>
        <w:tc>
          <w:tcPr>
            <w:tcW w:w="20" w:type="dxa"/>
            <w:vAlign w:val="bottom"/>
            <w:shd w:val="clear" w:color="auto" w:fill="E5E5E5"/>
          </w:tcPr>
          <w:p>
            <w:pPr>
              <w:spacing w:after="0"/>
              <w:rPr>
                <w:sz w:val="21"/>
                <w:szCs w:val="21"/>
                <w:color w:val="auto"/>
              </w:rPr>
            </w:pPr>
          </w:p>
        </w:tc>
        <w:tc>
          <w:tcPr>
            <w:tcW w:w="200" w:type="dxa"/>
            <w:vAlign w:val="bottom"/>
            <w:shd w:val="clear" w:color="auto" w:fill="E5E5E5"/>
          </w:tcPr>
          <w:p>
            <w:pPr>
              <w:spacing w:after="0"/>
              <w:rPr>
                <w:sz w:val="21"/>
                <w:szCs w:val="21"/>
                <w:color w:val="auto"/>
              </w:rPr>
            </w:pPr>
          </w:p>
        </w:tc>
        <w:tc>
          <w:tcPr>
            <w:tcW w:w="1100" w:type="dxa"/>
            <w:vAlign w:val="bottom"/>
            <w:gridSpan w:val="2"/>
            <w:shd w:val="clear" w:color="auto" w:fill="E5E5E5"/>
          </w:tcPr>
          <w:p>
            <w:pPr>
              <w:jc w:val="right"/>
              <w:ind w:right="260"/>
              <w:spacing w:after="0"/>
              <w:rPr>
                <w:sz w:val="20"/>
                <w:szCs w:val="20"/>
                <w:color w:val="auto"/>
              </w:rPr>
            </w:pPr>
            <w:r>
              <w:rPr>
                <w:rFonts w:ascii="Calibri" w:cs="Calibri" w:eastAsia="Calibri" w:hAnsi="Calibri"/>
                <w:sz w:val="20"/>
                <w:szCs w:val="20"/>
                <w:color w:val="auto"/>
              </w:rPr>
              <w:t>(280)</w:t>
            </w:r>
          </w:p>
        </w:tc>
        <w:tc>
          <w:tcPr>
            <w:tcW w:w="20" w:type="dxa"/>
            <w:vAlign w:val="bottom"/>
            <w:shd w:val="clear" w:color="auto" w:fill="E5E5E5"/>
          </w:tcPr>
          <w:p>
            <w:pPr>
              <w:spacing w:after="0"/>
              <w:rPr>
                <w:sz w:val="21"/>
                <w:szCs w:val="21"/>
                <w:color w:val="auto"/>
              </w:rPr>
            </w:pPr>
          </w:p>
        </w:tc>
        <w:tc>
          <w:tcPr>
            <w:tcW w:w="240" w:type="dxa"/>
            <w:vAlign w:val="bottom"/>
            <w:shd w:val="clear" w:color="auto" w:fill="E5E5E5"/>
          </w:tcPr>
          <w:p>
            <w:pPr>
              <w:spacing w:after="0"/>
              <w:rPr>
                <w:sz w:val="21"/>
                <w:szCs w:val="21"/>
                <w:color w:val="auto"/>
              </w:rPr>
            </w:pPr>
          </w:p>
        </w:tc>
        <w:tc>
          <w:tcPr>
            <w:tcW w:w="82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265</w:t>
            </w:r>
          </w:p>
        </w:tc>
        <w:tc>
          <w:tcPr>
            <w:tcW w:w="0" w:type="dxa"/>
            <w:vAlign w:val="bottom"/>
          </w:tcPr>
          <w:p>
            <w:pPr>
              <w:spacing w:after="0"/>
              <w:rPr>
                <w:sz w:val="1"/>
                <w:szCs w:val="1"/>
                <w:color w:val="auto"/>
              </w:rPr>
            </w:pPr>
          </w:p>
        </w:tc>
      </w:tr>
      <w:tr>
        <w:trPr>
          <w:trHeight w:val="246"/>
        </w:trPr>
        <w:tc>
          <w:tcPr>
            <w:tcW w:w="8760" w:type="dxa"/>
            <w:vAlign w:val="bottom"/>
          </w:tcPr>
          <w:p>
            <w:pPr>
              <w:spacing w:after="0" w:line="236" w:lineRule="exact"/>
              <w:rPr>
                <w:sz w:val="20"/>
                <w:szCs w:val="20"/>
                <w:color w:val="auto"/>
              </w:rPr>
            </w:pPr>
            <w:r>
              <w:rPr>
                <w:rFonts w:ascii="Calibri" w:cs="Calibri" w:eastAsia="Calibri" w:hAnsi="Calibri"/>
                <w:sz w:val="20"/>
                <w:szCs w:val="20"/>
                <w:color w:val="auto"/>
              </w:rPr>
              <w:t>Balance at end of year</w:t>
            </w:r>
          </w:p>
        </w:tc>
        <w:tc>
          <w:tcPr>
            <w:tcW w:w="2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Calibri" w:cs="Calibri" w:eastAsia="Calibri" w:hAnsi="Calibri"/>
                <w:sz w:val="16"/>
                <w:szCs w:val="16"/>
                <w:color w:val="auto"/>
                <w:w w:val="73"/>
              </w:rPr>
              <w:t>$</w:t>
            </w:r>
          </w:p>
        </w:tc>
        <w:tc>
          <w:tcPr>
            <w:tcW w:w="840" w:type="dxa"/>
            <w:vAlign w:val="bottom"/>
            <w:tcBorders>
              <w:top w:val="single" w:sz="8" w:color="auto"/>
              <w:bottom w:val="single" w:sz="8" w:color="auto"/>
            </w:tcBorders>
          </w:tcPr>
          <w:p>
            <w:pPr>
              <w:jc w:val="right"/>
              <w:spacing w:after="0" w:line="236" w:lineRule="exact"/>
              <w:rPr>
                <w:sz w:val="20"/>
                <w:szCs w:val="20"/>
                <w:color w:val="auto"/>
              </w:rPr>
            </w:pPr>
            <w:r>
              <w:rPr>
                <w:rFonts w:ascii="Calibri" w:cs="Calibri" w:eastAsia="Calibri" w:hAnsi="Calibri"/>
                <w:sz w:val="20"/>
                <w:szCs w:val="20"/>
                <w:color w:val="auto"/>
              </w:rPr>
              <w:t>20,017</w:t>
            </w:r>
          </w:p>
        </w:tc>
        <w:tc>
          <w:tcPr>
            <w:tcW w:w="2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40"/>
              <w:spacing w:after="0" w:line="236" w:lineRule="exact"/>
              <w:rPr>
                <w:sz w:val="20"/>
                <w:szCs w:val="20"/>
                <w:color w:val="auto"/>
              </w:rPr>
            </w:pPr>
            <w:r>
              <w:rPr>
                <w:rFonts w:ascii="Calibri" w:cs="Calibri" w:eastAsia="Calibri" w:hAnsi="Calibri"/>
                <w:sz w:val="20"/>
                <w:szCs w:val="20"/>
                <w:color w:val="auto"/>
                <w:w w:val="78"/>
              </w:rPr>
              <w:t>$</w:t>
            </w:r>
          </w:p>
        </w:tc>
        <w:tc>
          <w:tcPr>
            <w:tcW w:w="820" w:type="dxa"/>
            <w:vAlign w:val="bottom"/>
            <w:tcBorders>
              <w:top w:val="single" w:sz="8" w:color="auto"/>
              <w:bottom w:val="single" w:sz="8" w:color="auto"/>
            </w:tcBorders>
          </w:tcPr>
          <w:p>
            <w:pPr>
              <w:jc w:val="right"/>
              <w:spacing w:after="0" w:line="236" w:lineRule="exact"/>
              <w:rPr>
                <w:sz w:val="20"/>
                <w:szCs w:val="20"/>
                <w:color w:val="auto"/>
              </w:rPr>
            </w:pPr>
            <w:r>
              <w:rPr>
                <w:rFonts w:ascii="Calibri" w:cs="Calibri" w:eastAsia="Calibri" w:hAnsi="Calibri"/>
                <w:sz w:val="20"/>
                <w:szCs w:val="20"/>
                <w:color w:val="auto"/>
              </w:rPr>
              <w:t>19,247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720"/>
        <w:spacing w:after="0" w:line="247" w:lineRule="auto"/>
        <w:rPr>
          <w:sz w:val="20"/>
          <w:szCs w:val="20"/>
          <w:color w:val="auto"/>
        </w:rPr>
      </w:pPr>
      <w:r>
        <w:rPr>
          <w:rFonts w:ascii="Calibri" w:cs="Calibri" w:eastAsia="Calibri" w:hAnsi="Calibri"/>
          <w:sz w:val="20"/>
          <w:szCs w:val="20"/>
          <w:color w:val="auto"/>
        </w:rPr>
        <w:t>As of December 31, 2025 and 2024, the Company had approximately $20.0 million and $19.2 million, respectively, of unrecognized benefits, none of which would currently affect the Company’s effective tax rate if recognized due to the Company’s deferred tax assets being offset by a valuation allowance. During 2025 and 2024, the Company did not recognize accrued interest and penalties related to unrecognized tax benefits.</w:t>
      </w:r>
    </w:p>
    <w:p>
      <w:pPr>
        <w:spacing w:after="0" w:line="212" w:lineRule="exact"/>
        <w:rPr>
          <w:sz w:val="20"/>
          <w:szCs w:val="20"/>
          <w:color w:val="auto"/>
        </w:rPr>
      </w:pPr>
    </w:p>
    <w:p>
      <w:pPr>
        <w:jc w:val="both"/>
        <w:ind w:firstLine="720"/>
        <w:spacing w:after="0" w:line="259" w:lineRule="auto"/>
        <w:rPr>
          <w:sz w:val="20"/>
          <w:szCs w:val="20"/>
          <w:color w:val="auto"/>
        </w:rPr>
      </w:pPr>
      <w:r>
        <w:rPr>
          <w:rFonts w:ascii="Calibri" w:cs="Calibri" w:eastAsia="Calibri" w:hAnsi="Calibri"/>
          <w:sz w:val="19"/>
          <w:szCs w:val="19"/>
          <w:color w:val="auto"/>
        </w:rPr>
        <w:t>On July 4, 2025, the One Big Beautiful Bill Act (the “OBBBA”) was signed into law in the United States. This comprehensive tax legislation contains a broad range of tax reforms, including provisions that allow for the immediate expensing of domestic research and development expenses, restore and make permanent 100% bonus depreciation for qualifying assets, and ease limitations on the deductibility of interest expense. The legislation has multiple effective dates, with certain provisions taking effect in 2025 and others being implemented through various future years. The Company has accounted for the provisions of the OBBBA in its financial statements. The changes did not impact income taxes due to its cumulative tax loss and tax effect of a full valuation allowance against those balances.</w:t>
      </w:r>
    </w:p>
    <w:p>
      <w:pPr>
        <w:spacing w:after="0" w:line="206" w:lineRule="exact"/>
        <w:rPr>
          <w:sz w:val="20"/>
          <w:szCs w:val="20"/>
          <w:color w:val="auto"/>
        </w:rPr>
      </w:pPr>
    </w:p>
    <w:p>
      <w:pPr>
        <w:ind w:left="720" w:hanging="713"/>
        <w:spacing w:after="0"/>
        <w:tabs>
          <w:tab w:leader="none" w:pos="720" w:val="left"/>
        </w:tabs>
        <w:numPr>
          <w:ilvl w:val="0"/>
          <w:numId w:val="7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Net Income (Loss) Per Share</w:t>
      </w:r>
    </w:p>
    <w:p>
      <w:pPr>
        <w:spacing w:after="0" w:line="243" w:lineRule="exact"/>
        <w:rPr>
          <w:sz w:val="20"/>
          <w:szCs w:val="20"/>
          <w:color w:val="auto"/>
        </w:rPr>
      </w:pPr>
    </w:p>
    <w:p>
      <w:pPr>
        <w:ind w:left="500"/>
        <w:spacing w:after="0"/>
        <w:rPr>
          <w:sz w:val="20"/>
          <w:szCs w:val="20"/>
          <w:color w:val="auto"/>
        </w:rPr>
      </w:pPr>
      <w:r>
        <w:rPr>
          <w:rFonts w:ascii="Calibri" w:cs="Calibri" w:eastAsia="Calibri" w:hAnsi="Calibri"/>
          <w:sz w:val="20"/>
          <w:szCs w:val="20"/>
          <w:color w:val="auto"/>
        </w:rPr>
        <w:t>The following table sets forth the computation of the basic and diluted net income (loss) per share: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360" w:type="dxa"/>
            <w:vAlign w:val="bottom"/>
            <w:vMerge w:val="restart"/>
          </w:tcPr>
          <w:p>
            <w:pPr>
              <w:spacing w:after="0"/>
              <w:rPr>
                <w:sz w:val="20"/>
                <w:szCs w:val="20"/>
                <w:color w:val="auto"/>
              </w:rPr>
            </w:pPr>
            <w:r>
              <w:rPr>
                <w:rFonts w:ascii="Calibri" w:cs="Calibri" w:eastAsia="Calibri" w:hAnsi="Calibri"/>
                <w:sz w:val="16"/>
                <w:szCs w:val="16"/>
                <w:b w:val="1"/>
                <w:bCs w:val="1"/>
                <w:color w:val="auto"/>
              </w:rPr>
              <w:t>(in thousands, except share and per share data)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6"/>
          </w:tcPr>
          <w:p>
            <w:pPr>
              <w:ind w:left="360"/>
              <w:spacing w:after="0"/>
              <w:rPr>
                <w:sz w:val="20"/>
                <w:szCs w:val="20"/>
                <w:color w:val="auto"/>
              </w:rPr>
            </w:pPr>
            <w:r>
              <w:rPr>
                <w:rFonts w:ascii="Calibri" w:cs="Calibri" w:eastAsia="Calibri" w:hAnsi="Calibri"/>
                <w:sz w:val="16"/>
                <w:szCs w:val="16"/>
                <w:b w:val="1"/>
                <w:bCs w:val="1"/>
                <w:color w:val="auto"/>
              </w:rPr>
              <w:t>Year Ended December 31,</w:t>
            </w:r>
          </w:p>
        </w:tc>
        <w:tc>
          <w:tcPr>
            <w:tcW w:w="0" w:type="dxa"/>
            <w:vAlign w:val="bottom"/>
          </w:tcPr>
          <w:p>
            <w:pPr>
              <w:spacing w:after="0"/>
              <w:rPr>
                <w:sz w:val="1"/>
                <w:szCs w:val="1"/>
                <w:color w:val="auto"/>
              </w:rPr>
            </w:pPr>
          </w:p>
        </w:tc>
      </w:tr>
      <w:tr>
        <w:trPr>
          <w:trHeight w:val="186"/>
        </w:trPr>
        <w:tc>
          <w:tcPr>
            <w:tcW w:w="8360" w:type="dxa"/>
            <w:vAlign w:val="bottom"/>
            <w:tcBorders>
              <w:bottom w:val="single" w:sz="8" w:color="E5E5E5"/>
            </w:tcBorders>
            <w:vMerge w:val="continue"/>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04"/>
              <w:spacing w:after="0" w:line="187" w:lineRule="exact"/>
              <w:rPr>
                <w:sz w:val="20"/>
                <w:szCs w:val="20"/>
                <w:color w:val="auto"/>
              </w:rPr>
            </w:pPr>
            <w:r>
              <w:rPr>
                <w:rFonts w:ascii="Calibri" w:cs="Calibri" w:eastAsia="Calibri" w:hAnsi="Calibri"/>
                <w:sz w:val="16"/>
                <w:szCs w:val="16"/>
                <w:b w:val="1"/>
                <w:bCs w:val="1"/>
                <w:color w:val="auto"/>
              </w:rPr>
              <w:t>2025</w:t>
            </w:r>
          </w:p>
        </w:tc>
        <w:tc>
          <w:tcPr>
            <w:tcW w:w="160" w:type="dxa"/>
            <w:vAlign w:val="bottom"/>
            <w:tcBorders>
              <w:top w:val="single" w:sz="8" w:color="auto"/>
              <w:bottom w:val="single" w:sz="8" w:color="E5E5E5"/>
            </w:tcBorders>
          </w:tcPr>
          <w:p>
            <w:pPr>
              <w:spacing w:after="0"/>
              <w:rPr>
                <w:sz w:val="16"/>
                <w:szCs w:val="16"/>
                <w:color w:val="auto"/>
              </w:rPr>
            </w:pPr>
          </w:p>
        </w:tc>
        <w:tc>
          <w:tcPr>
            <w:tcW w:w="20" w:type="dxa"/>
            <w:vAlign w:val="bottom"/>
            <w:tcBorders>
              <w:top w:val="single" w:sz="8" w:color="auto"/>
              <w:bottom w:val="single" w:sz="8" w:color="E5E5E5"/>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02"/>
              <w:spacing w:after="0" w:line="187" w:lineRule="exact"/>
              <w:rPr>
                <w:sz w:val="20"/>
                <w:szCs w:val="20"/>
                <w:color w:val="auto"/>
              </w:rPr>
            </w:pPr>
            <w:r>
              <w:rPr>
                <w:rFonts w:ascii="Calibri" w:cs="Calibri" w:eastAsia="Calibri" w:hAnsi="Calibri"/>
                <w:sz w:val="16"/>
                <w:szCs w:val="16"/>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360" w:type="dxa"/>
            <w:vAlign w:val="bottom"/>
            <w:shd w:val="clear" w:color="auto" w:fill="E5E5E5"/>
          </w:tcPr>
          <w:p>
            <w:pPr>
              <w:ind w:left="120"/>
              <w:spacing w:after="0" w:line="235" w:lineRule="exact"/>
              <w:rPr>
                <w:sz w:val="20"/>
                <w:szCs w:val="20"/>
                <w:color w:val="auto"/>
              </w:rPr>
            </w:pPr>
            <w:r>
              <w:rPr>
                <w:rFonts w:ascii="Calibri" w:cs="Calibri" w:eastAsia="Calibri" w:hAnsi="Calibri"/>
                <w:sz w:val="20"/>
                <w:szCs w:val="20"/>
                <w:color w:val="auto"/>
              </w:rPr>
              <w:t>Net loss from continuing operations</w:t>
            </w:r>
          </w:p>
        </w:tc>
        <w:tc>
          <w:tcPr>
            <w:tcW w:w="20" w:type="dxa"/>
            <w:vAlign w:val="bottom"/>
            <w:shd w:val="clear" w:color="auto" w:fill="E5E5E5"/>
          </w:tcPr>
          <w:p>
            <w:pPr>
              <w:spacing w:after="0"/>
              <w:rPr>
                <w:sz w:val="20"/>
                <w:szCs w:val="20"/>
                <w:color w:val="auto"/>
              </w:rPr>
            </w:pPr>
          </w:p>
        </w:tc>
        <w:tc>
          <w:tcPr>
            <w:tcW w:w="16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w w:val="78"/>
              </w:rPr>
              <w:t>$</w:t>
            </w:r>
          </w:p>
        </w:tc>
        <w:tc>
          <w:tcPr>
            <w:tcW w:w="1300" w:type="dxa"/>
            <w:vAlign w:val="bottom"/>
            <w:gridSpan w:val="2"/>
            <w:shd w:val="clear" w:color="auto" w:fill="E5E5E5"/>
          </w:tcPr>
          <w:p>
            <w:pPr>
              <w:jc w:val="right"/>
              <w:ind w:right="160"/>
              <w:spacing w:after="0" w:line="235" w:lineRule="exact"/>
              <w:rPr>
                <w:sz w:val="20"/>
                <w:szCs w:val="20"/>
                <w:color w:val="auto"/>
              </w:rPr>
            </w:pPr>
            <w:r>
              <w:rPr>
                <w:rFonts w:ascii="Calibri" w:cs="Calibri" w:eastAsia="Calibri" w:hAnsi="Calibri"/>
                <w:sz w:val="20"/>
                <w:szCs w:val="20"/>
                <w:color w:val="auto"/>
              </w:rPr>
              <w:t>(183,124)</w:t>
            </w:r>
          </w:p>
        </w:tc>
        <w:tc>
          <w:tcPr>
            <w:tcW w:w="180" w:type="dxa"/>
            <w:vAlign w:val="bottom"/>
            <w:gridSpan w:val="2"/>
            <w:shd w:val="clear" w:color="auto" w:fill="E5E5E5"/>
          </w:tcPr>
          <w:p>
            <w:pPr>
              <w:jc w:val="right"/>
              <w:ind w:right="60"/>
              <w:spacing w:after="0" w:line="235" w:lineRule="exact"/>
              <w:rPr>
                <w:sz w:val="20"/>
                <w:szCs w:val="20"/>
                <w:color w:val="auto"/>
              </w:rPr>
            </w:pPr>
            <w:r>
              <w:rPr>
                <w:rFonts w:ascii="Calibri" w:cs="Calibri" w:eastAsia="Calibri" w:hAnsi="Calibri"/>
                <w:sz w:val="20"/>
                <w:szCs w:val="20"/>
                <w:color w:val="auto"/>
                <w:w w:val="98"/>
              </w:rPr>
              <w:t>$</w:t>
            </w:r>
          </w:p>
        </w:tc>
        <w:tc>
          <w:tcPr>
            <w:tcW w:w="114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(215,394)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360" w:type="dxa"/>
            <w:vAlign w:val="bottom"/>
            <w:tcBorders>
              <w:bottom w:val="single" w:sz="8" w:color="E5E5E5"/>
            </w:tcBorders>
          </w:tcPr>
          <w:p>
            <w:pPr>
              <w:ind w:left="120"/>
              <w:spacing w:after="0"/>
              <w:rPr>
                <w:sz w:val="20"/>
                <w:szCs w:val="20"/>
                <w:color w:val="auto"/>
              </w:rPr>
            </w:pPr>
            <w:r>
              <w:rPr>
                <w:rFonts w:ascii="Calibri" w:cs="Calibri" w:eastAsia="Calibri" w:hAnsi="Calibri"/>
                <w:sz w:val="20"/>
                <w:szCs w:val="20"/>
                <w:color w:val="auto"/>
              </w:rPr>
              <w:t>Weighted-average common shares outstanding, basic and diluted</w:t>
            </w:r>
          </w:p>
        </w:tc>
        <w:tc>
          <w:tcPr>
            <w:tcW w:w="20" w:type="dxa"/>
            <w:vAlign w:val="bottom"/>
            <w:tcBorders>
              <w:bottom w:val="single" w:sz="8" w:color="E5E5E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117,143,457</w:t>
            </w:r>
          </w:p>
        </w:tc>
        <w:tc>
          <w:tcPr>
            <w:tcW w:w="16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114,553,537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360" w:type="dxa"/>
            <w:vAlign w:val="bottom"/>
            <w:shd w:val="clear" w:color="auto" w:fill="E5E5E5"/>
          </w:tcPr>
          <w:p>
            <w:pPr>
              <w:ind w:left="120"/>
              <w:spacing w:after="0" w:line="235" w:lineRule="exact"/>
              <w:rPr>
                <w:sz w:val="20"/>
                <w:szCs w:val="20"/>
                <w:color w:val="auto"/>
              </w:rPr>
            </w:pPr>
            <w:r>
              <w:rPr>
                <w:rFonts w:ascii="Calibri" w:cs="Calibri" w:eastAsia="Calibri" w:hAnsi="Calibri"/>
                <w:sz w:val="20"/>
                <w:szCs w:val="20"/>
                <w:color w:val="auto"/>
              </w:rPr>
              <w:t>Net loss from continuing operations, basic and diluted</w:t>
            </w:r>
          </w:p>
        </w:tc>
        <w:tc>
          <w:tcPr>
            <w:tcW w:w="20" w:type="dxa"/>
            <w:vAlign w:val="bottom"/>
            <w:shd w:val="clear" w:color="auto" w:fill="E5E5E5"/>
          </w:tcPr>
          <w:p>
            <w:pPr>
              <w:spacing w:after="0"/>
              <w:rPr>
                <w:sz w:val="21"/>
                <w:szCs w:val="21"/>
                <w:color w:val="auto"/>
              </w:rPr>
            </w:pPr>
          </w:p>
        </w:tc>
        <w:tc>
          <w:tcPr>
            <w:tcW w:w="16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w w:val="78"/>
              </w:rPr>
              <w:t>$</w:t>
            </w:r>
          </w:p>
        </w:tc>
        <w:tc>
          <w:tcPr>
            <w:tcW w:w="114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(1.56)</w:t>
            </w:r>
          </w:p>
        </w:tc>
        <w:tc>
          <w:tcPr>
            <w:tcW w:w="160" w:type="dxa"/>
            <w:vAlign w:val="bottom"/>
            <w:shd w:val="clear" w:color="auto" w:fill="E5E5E5"/>
          </w:tcPr>
          <w:p>
            <w:pPr>
              <w:spacing w:after="0"/>
              <w:rPr>
                <w:sz w:val="21"/>
                <w:szCs w:val="21"/>
                <w:color w:val="auto"/>
              </w:rPr>
            </w:pPr>
          </w:p>
        </w:tc>
        <w:tc>
          <w:tcPr>
            <w:tcW w:w="180" w:type="dxa"/>
            <w:vAlign w:val="bottom"/>
            <w:gridSpan w:val="2"/>
            <w:shd w:val="clear" w:color="auto" w:fill="E5E5E5"/>
          </w:tcPr>
          <w:p>
            <w:pPr>
              <w:jc w:val="right"/>
              <w:ind w:right="60"/>
              <w:spacing w:after="0" w:line="235" w:lineRule="exact"/>
              <w:rPr>
                <w:sz w:val="20"/>
                <w:szCs w:val="20"/>
                <w:color w:val="auto"/>
              </w:rPr>
            </w:pPr>
            <w:r>
              <w:rPr>
                <w:rFonts w:ascii="Calibri" w:cs="Calibri" w:eastAsia="Calibri" w:hAnsi="Calibri"/>
                <w:sz w:val="20"/>
                <w:szCs w:val="20"/>
                <w:color w:val="auto"/>
                <w:w w:val="98"/>
              </w:rPr>
              <w:t>$</w:t>
            </w:r>
          </w:p>
        </w:tc>
        <w:tc>
          <w:tcPr>
            <w:tcW w:w="114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(1.88)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8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36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Net income from discontinued operations, net of tax</w:t>
            </w:r>
          </w:p>
        </w:tc>
        <w:tc>
          <w:tcPr>
            <w:tcW w:w="180" w:type="dxa"/>
            <w:vAlign w:val="bottom"/>
            <w:gridSpan w:val="2"/>
            <w:shd w:val="clear" w:color="auto" w:fill="E5E5E5"/>
          </w:tcPr>
          <w:p>
            <w:pPr>
              <w:jc w:val="right"/>
              <w:spacing w:after="0"/>
              <w:rPr>
                <w:sz w:val="20"/>
                <w:szCs w:val="20"/>
                <w:color w:val="auto"/>
              </w:rPr>
            </w:pPr>
            <w:r>
              <w:rPr>
                <w:rFonts w:ascii="Calibri" w:cs="Calibri" w:eastAsia="Calibri" w:hAnsi="Calibri"/>
                <w:sz w:val="20"/>
                <w:szCs w:val="20"/>
                <w:color w:val="auto"/>
                <w:w w:val="98"/>
              </w:rPr>
              <w:t>$</w:t>
            </w:r>
          </w:p>
        </w:tc>
        <w:tc>
          <w:tcPr>
            <w:tcW w:w="11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351,148</w:t>
            </w:r>
          </w:p>
        </w:tc>
        <w:tc>
          <w:tcPr>
            <w:tcW w:w="160" w:type="dxa"/>
            <w:vAlign w:val="bottom"/>
            <w:shd w:val="clear" w:color="auto" w:fill="E5E5E5"/>
          </w:tcPr>
          <w:p>
            <w:pPr>
              <w:spacing w:after="0"/>
              <w:rPr>
                <w:sz w:val="21"/>
                <w:szCs w:val="21"/>
                <w:color w:val="auto"/>
              </w:rPr>
            </w:pPr>
          </w:p>
        </w:tc>
        <w:tc>
          <w:tcPr>
            <w:tcW w:w="180" w:type="dxa"/>
            <w:vAlign w:val="bottom"/>
            <w:gridSpan w:val="2"/>
            <w:shd w:val="clear" w:color="auto" w:fill="E5E5E5"/>
          </w:tcPr>
          <w:p>
            <w:pPr>
              <w:jc w:val="right"/>
              <w:ind w:right="60"/>
              <w:spacing w:after="0"/>
              <w:rPr>
                <w:sz w:val="20"/>
                <w:szCs w:val="20"/>
                <w:color w:val="auto"/>
              </w:rPr>
            </w:pPr>
            <w:r>
              <w:rPr>
                <w:rFonts w:ascii="Calibri" w:cs="Calibri" w:eastAsia="Calibri" w:hAnsi="Calibri"/>
                <w:sz w:val="20"/>
                <w:szCs w:val="20"/>
                <w:color w:val="auto"/>
                <w:w w:val="98"/>
              </w:rPr>
              <w:t>$</w:t>
            </w:r>
          </w:p>
        </w:tc>
        <w:tc>
          <w:tcPr>
            <w:tcW w:w="11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243,901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360" w:type="dxa"/>
            <w:vAlign w:val="bottom"/>
            <w:tcBorders>
              <w:bottom w:val="single" w:sz="8" w:color="E5E5E5"/>
            </w:tcBorders>
          </w:tcPr>
          <w:p>
            <w:pPr>
              <w:ind w:left="120"/>
              <w:spacing w:after="0"/>
              <w:rPr>
                <w:sz w:val="20"/>
                <w:szCs w:val="20"/>
                <w:color w:val="auto"/>
              </w:rPr>
            </w:pPr>
            <w:r>
              <w:rPr>
                <w:rFonts w:ascii="Calibri" w:cs="Calibri" w:eastAsia="Calibri" w:hAnsi="Calibri"/>
                <w:sz w:val="20"/>
                <w:szCs w:val="20"/>
                <w:color w:val="auto"/>
              </w:rPr>
              <w:t>Weighted-average common shares outstanding, basic and diluted</w:t>
            </w:r>
          </w:p>
        </w:tc>
        <w:tc>
          <w:tcPr>
            <w:tcW w:w="20" w:type="dxa"/>
            <w:vAlign w:val="bottom"/>
            <w:tcBorders>
              <w:bottom w:val="single" w:sz="8" w:color="E5E5E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117,143,457</w:t>
            </w:r>
          </w:p>
        </w:tc>
        <w:tc>
          <w:tcPr>
            <w:tcW w:w="16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114,553,537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360" w:type="dxa"/>
            <w:vAlign w:val="bottom"/>
            <w:shd w:val="clear" w:color="auto" w:fill="E5E5E5"/>
          </w:tcPr>
          <w:p>
            <w:pPr>
              <w:ind w:left="120"/>
              <w:spacing w:after="0" w:line="235" w:lineRule="exact"/>
              <w:rPr>
                <w:sz w:val="20"/>
                <w:szCs w:val="20"/>
                <w:color w:val="auto"/>
              </w:rPr>
            </w:pPr>
            <w:r>
              <w:rPr>
                <w:rFonts w:ascii="Calibri" w:cs="Calibri" w:eastAsia="Calibri" w:hAnsi="Calibri"/>
                <w:sz w:val="20"/>
                <w:szCs w:val="20"/>
                <w:color w:val="auto"/>
              </w:rPr>
              <w:t>Net income from discontinued operations, basic and diluted</w:t>
            </w:r>
          </w:p>
        </w:tc>
        <w:tc>
          <w:tcPr>
            <w:tcW w:w="180" w:type="dxa"/>
            <w:vAlign w:val="bottom"/>
            <w:gridSpan w:val="2"/>
            <w:shd w:val="clear" w:color="auto" w:fill="E5E5E5"/>
          </w:tcPr>
          <w:p>
            <w:pPr>
              <w:jc w:val="right"/>
              <w:spacing w:after="0" w:line="235" w:lineRule="exact"/>
              <w:rPr>
                <w:sz w:val="20"/>
                <w:szCs w:val="20"/>
                <w:color w:val="auto"/>
              </w:rPr>
            </w:pPr>
            <w:r>
              <w:rPr>
                <w:rFonts w:ascii="Calibri" w:cs="Calibri" w:eastAsia="Calibri" w:hAnsi="Calibri"/>
                <w:sz w:val="20"/>
                <w:szCs w:val="20"/>
                <w:color w:val="auto"/>
                <w:w w:val="98"/>
              </w:rPr>
              <w:t>$</w:t>
            </w:r>
          </w:p>
        </w:tc>
        <w:tc>
          <w:tcPr>
            <w:tcW w:w="114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3.00</w:t>
            </w:r>
          </w:p>
        </w:tc>
        <w:tc>
          <w:tcPr>
            <w:tcW w:w="160" w:type="dxa"/>
            <w:vAlign w:val="bottom"/>
            <w:shd w:val="clear" w:color="auto" w:fill="E5E5E5"/>
          </w:tcPr>
          <w:p>
            <w:pPr>
              <w:spacing w:after="0"/>
              <w:rPr>
                <w:sz w:val="21"/>
                <w:szCs w:val="21"/>
                <w:color w:val="auto"/>
              </w:rPr>
            </w:pPr>
          </w:p>
        </w:tc>
        <w:tc>
          <w:tcPr>
            <w:tcW w:w="180" w:type="dxa"/>
            <w:vAlign w:val="bottom"/>
            <w:gridSpan w:val="2"/>
            <w:shd w:val="clear" w:color="auto" w:fill="E5E5E5"/>
          </w:tcPr>
          <w:p>
            <w:pPr>
              <w:jc w:val="right"/>
              <w:ind w:right="60"/>
              <w:spacing w:after="0" w:line="235" w:lineRule="exact"/>
              <w:rPr>
                <w:sz w:val="20"/>
                <w:szCs w:val="20"/>
                <w:color w:val="auto"/>
              </w:rPr>
            </w:pPr>
            <w:r>
              <w:rPr>
                <w:rFonts w:ascii="Calibri" w:cs="Calibri" w:eastAsia="Calibri" w:hAnsi="Calibri"/>
                <w:sz w:val="20"/>
                <w:szCs w:val="20"/>
                <w:color w:val="auto"/>
                <w:w w:val="98"/>
              </w:rPr>
              <w:t>$</w:t>
            </w:r>
          </w:p>
        </w:tc>
        <w:tc>
          <w:tcPr>
            <w:tcW w:w="1140" w:type="dxa"/>
            <w:vAlign w:val="bottom"/>
            <w:shd w:val="clear" w:color="auto" w:fill="E5E5E5"/>
          </w:tcPr>
          <w:p>
            <w:pPr>
              <w:jc w:val="right"/>
              <w:spacing w:after="0" w:line="235" w:lineRule="exact"/>
              <w:rPr>
                <w:sz w:val="20"/>
                <w:szCs w:val="20"/>
                <w:color w:val="auto"/>
              </w:rPr>
            </w:pPr>
            <w:r>
              <w:rPr>
                <w:rFonts w:ascii="Calibri" w:cs="Calibri" w:eastAsia="Calibri" w:hAnsi="Calibri"/>
                <w:sz w:val="20"/>
                <w:szCs w:val="20"/>
                <w:color w:val="auto"/>
              </w:rPr>
              <w:t>2.13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8360" w:type="dxa"/>
            <w:vAlign w:val="bottom"/>
            <w:tcBorders>
              <w:top w:val="single" w:sz="8" w:color="E5E5E5"/>
            </w:tcBorders>
          </w:tcPr>
          <w:p>
            <w:pPr>
              <w:spacing w:after="0"/>
              <w:rPr>
                <w:sz w:val="21"/>
                <w:szCs w:val="21"/>
                <w:color w:val="auto"/>
              </w:rPr>
            </w:pPr>
          </w:p>
        </w:tc>
        <w:tc>
          <w:tcPr>
            <w:tcW w:w="20" w:type="dxa"/>
            <w:vAlign w:val="bottom"/>
            <w:tcBorders>
              <w:top w:val="single" w:sz="8" w:color="E5E5E5"/>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60" w:type="dxa"/>
            <w:vAlign w:val="bottom"/>
            <w:tcBorders>
              <w:top w:val="single" w:sz="8" w:color="E5E5E5"/>
            </w:tcBorders>
          </w:tcPr>
          <w:p>
            <w:pPr>
              <w:spacing w:after="0"/>
              <w:rPr>
                <w:sz w:val="21"/>
                <w:szCs w:val="21"/>
                <w:color w:val="auto"/>
              </w:rPr>
            </w:pPr>
          </w:p>
        </w:tc>
        <w:tc>
          <w:tcPr>
            <w:tcW w:w="20" w:type="dxa"/>
            <w:vAlign w:val="bottom"/>
            <w:tcBorders>
              <w:top w:val="single" w:sz="8" w:color="E5E5E5"/>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8360" w:type="dxa"/>
            <w:vAlign w:val="bottom"/>
            <w:shd w:val="clear" w:color="auto" w:fill="E5E5E5"/>
          </w:tcPr>
          <w:p>
            <w:pPr>
              <w:ind w:left="120"/>
              <w:spacing w:after="0"/>
              <w:rPr>
                <w:sz w:val="20"/>
                <w:szCs w:val="20"/>
                <w:color w:val="auto"/>
              </w:rPr>
            </w:pPr>
            <w:r>
              <w:rPr>
                <w:rFonts w:ascii="Calibri" w:cs="Calibri" w:eastAsia="Calibri" w:hAnsi="Calibri"/>
                <w:sz w:val="20"/>
                <w:szCs w:val="20"/>
                <w:color w:val="auto"/>
              </w:rPr>
              <w:t>Net income</w:t>
            </w:r>
          </w:p>
        </w:tc>
        <w:tc>
          <w:tcPr>
            <w:tcW w:w="180" w:type="dxa"/>
            <w:vAlign w:val="bottom"/>
            <w:gridSpan w:val="2"/>
            <w:shd w:val="clear" w:color="auto" w:fill="E5E5E5"/>
          </w:tcPr>
          <w:p>
            <w:pPr>
              <w:jc w:val="right"/>
              <w:spacing w:after="0"/>
              <w:rPr>
                <w:sz w:val="20"/>
                <w:szCs w:val="20"/>
                <w:color w:val="auto"/>
              </w:rPr>
            </w:pPr>
            <w:r>
              <w:rPr>
                <w:rFonts w:ascii="Calibri" w:cs="Calibri" w:eastAsia="Calibri" w:hAnsi="Calibri"/>
                <w:sz w:val="20"/>
                <w:szCs w:val="20"/>
                <w:color w:val="auto"/>
                <w:w w:val="98"/>
              </w:rPr>
              <w:t>$</w:t>
            </w:r>
          </w:p>
        </w:tc>
        <w:tc>
          <w:tcPr>
            <w:tcW w:w="11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168,024</w:t>
            </w:r>
          </w:p>
        </w:tc>
        <w:tc>
          <w:tcPr>
            <w:tcW w:w="160" w:type="dxa"/>
            <w:vAlign w:val="bottom"/>
            <w:shd w:val="clear" w:color="auto" w:fill="E5E5E5"/>
          </w:tcPr>
          <w:p>
            <w:pPr>
              <w:spacing w:after="0"/>
              <w:rPr>
                <w:sz w:val="21"/>
                <w:szCs w:val="21"/>
                <w:color w:val="auto"/>
              </w:rPr>
            </w:pPr>
          </w:p>
        </w:tc>
        <w:tc>
          <w:tcPr>
            <w:tcW w:w="180" w:type="dxa"/>
            <w:vAlign w:val="bottom"/>
            <w:gridSpan w:val="2"/>
            <w:shd w:val="clear" w:color="auto" w:fill="E5E5E5"/>
          </w:tcPr>
          <w:p>
            <w:pPr>
              <w:jc w:val="right"/>
              <w:ind w:right="60"/>
              <w:spacing w:after="0"/>
              <w:rPr>
                <w:sz w:val="20"/>
                <w:szCs w:val="20"/>
                <w:color w:val="auto"/>
              </w:rPr>
            </w:pPr>
            <w:r>
              <w:rPr>
                <w:rFonts w:ascii="Calibri" w:cs="Calibri" w:eastAsia="Calibri" w:hAnsi="Calibri"/>
                <w:sz w:val="20"/>
                <w:szCs w:val="20"/>
                <w:color w:val="auto"/>
                <w:w w:val="98"/>
              </w:rPr>
              <w:t>$</w:t>
            </w:r>
          </w:p>
        </w:tc>
        <w:tc>
          <w:tcPr>
            <w:tcW w:w="114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28,507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360" w:type="dxa"/>
            <w:vAlign w:val="bottom"/>
            <w:tcBorders>
              <w:bottom w:val="single" w:sz="8" w:color="E5E5E5"/>
            </w:tcBorders>
          </w:tcPr>
          <w:p>
            <w:pPr>
              <w:ind w:left="120"/>
              <w:spacing w:after="0"/>
              <w:rPr>
                <w:sz w:val="20"/>
                <w:szCs w:val="20"/>
                <w:color w:val="auto"/>
              </w:rPr>
            </w:pPr>
            <w:r>
              <w:rPr>
                <w:rFonts w:ascii="Calibri" w:cs="Calibri" w:eastAsia="Calibri" w:hAnsi="Calibri"/>
                <w:sz w:val="20"/>
                <w:szCs w:val="20"/>
                <w:color w:val="auto"/>
              </w:rPr>
              <w:t>Weighted-average common shares outstanding, basic and diluted</w:t>
            </w:r>
          </w:p>
        </w:tc>
        <w:tc>
          <w:tcPr>
            <w:tcW w:w="20" w:type="dxa"/>
            <w:vAlign w:val="bottom"/>
            <w:tcBorders>
              <w:bottom w:val="single" w:sz="8" w:color="E5E5E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117,143,457</w:t>
            </w:r>
          </w:p>
        </w:tc>
        <w:tc>
          <w:tcPr>
            <w:tcW w:w="160" w:type="dxa"/>
            <w:vAlign w:val="bottom"/>
            <w:tcBorders>
              <w:bottom w:val="single" w:sz="8" w:color="E5E5E5"/>
            </w:tcBorders>
          </w:tcPr>
          <w:p>
            <w:pPr>
              <w:spacing w:after="0"/>
              <w:rPr>
                <w:sz w:val="21"/>
                <w:szCs w:val="21"/>
                <w:color w:val="auto"/>
              </w:rPr>
            </w:pPr>
          </w:p>
        </w:tc>
        <w:tc>
          <w:tcPr>
            <w:tcW w:w="20" w:type="dxa"/>
            <w:vAlign w:val="bottom"/>
            <w:tcBorders>
              <w:bottom w:val="single" w:sz="8" w:color="E5E5E5"/>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114,553,537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8360" w:type="dxa"/>
            <w:vAlign w:val="bottom"/>
            <w:shd w:val="clear" w:color="auto" w:fill="E5E5E5"/>
          </w:tcPr>
          <w:p>
            <w:pPr>
              <w:ind w:left="120"/>
              <w:spacing w:after="0" w:line="235" w:lineRule="exact"/>
              <w:rPr>
                <w:sz w:val="20"/>
                <w:szCs w:val="20"/>
                <w:color w:val="auto"/>
              </w:rPr>
            </w:pPr>
            <w:r>
              <w:rPr>
                <w:rFonts w:ascii="Calibri" w:cs="Calibri" w:eastAsia="Calibri" w:hAnsi="Calibri"/>
                <w:sz w:val="20"/>
                <w:szCs w:val="20"/>
                <w:color w:val="auto"/>
              </w:rPr>
              <w:t>Net income per share, basic and diluted</w:t>
            </w:r>
          </w:p>
        </w:tc>
        <w:tc>
          <w:tcPr>
            <w:tcW w:w="20" w:type="dxa"/>
            <w:vAlign w:val="bottom"/>
            <w:tcBorders>
              <w:bottom w:val="single" w:sz="8" w:color="auto"/>
            </w:tcBorders>
            <w:shd w:val="clear" w:color="auto" w:fill="E5E5E5"/>
          </w:tcPr>
          <w:p>
            <w:pPr>
              <w:spacing w:after="0"/>
              <w:rPr>
                <w:sz w:val="21"/>
                <w:szCs w:val="21"/>
                <w:color w:val="auto"/>
              </w:rPr>
            </w:pPr>
          </w:p>
        </w:tc>
        <w:tc>
          <w:tcPr>
            <w:tcW w:w="160" w:type="dxa"/>
            <w:vAlign w:val="bottom"/>
            <w:tcBorders>
              <w:bottom w:val="single" w:sz="8" w:color="auto"/>
            </w:tcBorders>
            <w:shd w:val="clear" w:color="auto" w:fill="E5E5E5"/>
          </w:tcPr>
          <w:p>
            <w:pPr>
              <w:jc w:val="right"/>
              <w:spacing w:after="0" w:line="236" w:lineRule="exact"/>
              <w:rPr>
                <w:sz w:val="20"/>
                <w:szCs w:val="20"/>
                <w:color w:val="auto"/>
              </w:rPr>
            </w:pPr>
            <w:r>
              <w:rPr>
                <w:rFonts w:ascii="Calibri" w:cs="Calibri" w:eastAsia="Calibri" w:hAnsi="Calibri"/>
                <w:sz w:val="20"/>
                <w:szCs w:val="20"/>
                <w:color w:val="auto"/>
                <w:w w:val="78"/>
              </w:rPr>
              <w:t>$</w:t>
            </w:r>
          </w:p>
        </w:tc>
        <w:tc>
          <w:tcPr>
            <w:tcW w:w="1140" w:type="dxa"/>
            <w:vAlign w:val="bottom"/>
            <w:tcBorders>
              <w:bottom w:val="single" w:sz="8" w:color="auto"/>
            </w:tcBorders>
            <w:shd w:val="clear" w:color="auto" w:fill="E5E5E5"/>
          </w:tcPr>
          <w:p>
            <w:pPr>
              <w:jc w:val="right"/>
              <w:spacing w:after="0" w:line="236" w:lineRule="exact"/>
              <w:rPr>
                <w:sz w:val="20"/>
                <w:szCs w:val="20"/>
                <w:color w:val="auto"/>
              </w:rPr>
            </w:pPr>
            <w:r>
              <w:rPr>
                <w:rFonts w:ascii="Calibri" w:cs="Calibri" w:eastAsia="Calibri" w:hAnsi="Calibri"/>
                <w:sz w:val="20"/>
                <w:szCs w:val="20"/>
                <w:color w:val="auto"/>
              </w:rPr>
              <w:t>1.43</w:t>
            </w:r>
          </w:p>
        </w:tc>
        <w:tc>
          <w:tcPr>
            <w:tcW w:w="160" w:type="dxa"/>
            <w:vAlign w:val="bottom"/>
            <w:shd w:val="clear" w:color="auto" w:fill="E5E5E5"/>
          </w:tcPr>
          <w:p>
            <w:pPr>
              <w:spacing w:after="0"/>
              <w:rPr>
                <w:sz w:val="21"/>
                <w:szCs w:val="21"/>
                <w:color w:val="auto"/>
              </w:rPr>
            </w:pPr>
          </w:p>
        </w:tc>
        <w:tc>
          <w:tcPr>
            <w:tcW w:w="180" w:type="dxa"/>
            <w:vAlign w:val="bottom"/>
            <w:tcBorders>
              <w:bottom w:val="single" w:sz="8" w:color="auto"/>
            </w:tcBorders>
            <w:gridSpan w:val="2"/>
            <w:shd w:val="clear" w:color="auto" w:fill="E5E5E5"/>
          </w:tcPr>
          <w:p>
            <w:pPr>
              <w:jc w:val="right"/>
              <w:ind w:right="60"/>
              <w:spacing w:after="0" w:line="236" w:lineRule="exact"/>
              <w:rPr>
                <w:sz w:val="20"/>
                <w:szCs w:val="20"/>
                <w:color w:val="auto"/>
              </w:rPr>
            </w:pPr>
            <w:r>
              <w:rPr>
                <w:rFonts w:ascii="Calibri" w:cs="Calibri" w:eastAsia="Calibri" w:hAnsi="Calibri"/>
                <w:sz w:val="20"/>
                <w:szCs w:val="20"/>
                <w:color w:val="auto"/>
                <w:w w:val="98"/>
              </w:rPr>
              <w:t>$</w:t>
            </w:r>
          </w:p>
        </w:tc>
        <w:tc>
          <w:tcPr>
            <w:tcW w:w="1140" w:type="dxa"/>
            <w:vAlign w:val="bottom"/>
            <w:tcBorders>
              <w:bottom w:val="single" w:sz="8" w:color="auto"/>
            </w:tcBorders>
            <w:shd w:val="clear" w:color="auto" w:fill="E5E5E5"/>
          </w:tcPr>
          <w:p>
            <w:pPr>
              <w:jc w:val="right"/>
              <w:spacing w:after="0" w:line="236" w:lineRule="exact"/>
              <w:rPr>
                <w:sz w:val="20"/>
                <w:szCs w:val="20"/>
                <w:color w:val="auto"/>
              </w:rPr>
            </w:pPr>
            <w:r>
              <w:rPr>
                <w:rFonts w:ascii="Calibri" w:cs="Calibri" w:eastAsia="Calibri" w:hAnsi="Calibri"/>
                <w:sz w:val="20"/>
                <w:szCs w:val="20"/>
                <w:color w:val="auto"/>
              </w:rPr>
              <w:t>0.25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jc w:val="both"/>
        <w:ind w:firstLine="720"/>
        <w:spacing w:after="0" w:line="305" w:lineRule="auto"/>
        <w:rPr>
          <w:sz w:val="20"/>
          <w:szCs w:val="20"/>
          <w:color w:val="auto"/>
        </w:rPr>
      </w:pPr>
      <w:r>
        <w:rPr>
          <w:rFonts w:ascii="Segoe UI" w:cs="Segoe UI" w:eastAsia="Segoe UI" w:hAnsi="Segoe UI"/>
          <w:sz w:val="18"/>
          <w:szCs w:val="18"/>
          <w:color w:val="auto"/>
        </w:rPr>
        <w:t>For the year ended December 31, 2025, the PIPE Warrants issued in the Private Placement to purchase the Company’s common stock were included in the basic and diluted earnings per share calculation because their exercise price was non-substantive.</w:t>
      </w:r>
    </w:p>
    <w:p>
      <w:pPr>
        <w:spacing w:after="0" w:line="110" w:lineRule="exact"/>
        <w:rPr>
          <w:sz w:val="20"/>
          <w:szCs w:val="20"/>
          <w:color w:val="auto"/>
        </w:rPr>
      </w:pPr>
    </w:p>
    <w:p>
      <w:pPr>
        <w:jc w:val="both"/>
        <w:ind w:firstLine="720"/>
        <w:spacing w:after="0" w:line="256" w:lineRule="auto"/>
        <w:rPr>
          <w:sz w:val="20"/>
          <w:szCs w:val="20"/>
          <w:color w:val="auto"/>
        </w:rPr>
      </w:pPr>
      <w:r>
        <w:rPr>
          <w:rFonts w:ascii="Segoe UI" w:cs="Segoe UI" w:eastAsia="Segoe UI" w:hAnsi="Segoe UI"/>
          <w:sz w:val="18"/>
          <w:szCs w:val="18"/>
          <w:color w:val="auto"/>
        </w:rPr>
        <w:t>As the Company had discontinued operations, the Company used net loss from continuing operations as the control number to determine whether potential common shares were dilutive or anti-dilutive for purposes of reporting each of the basic and diluted net income per common share presentations above. Because there is a loss from continuing operations in each of the periods presented, the potentially dilutive shares are anti-dilutive and diluted net income (loss) per share in each of the presentations is the same as basic net income (loss) per share.</w:t>
      </w:r>
    </w:p>
    <w:p>
      <w:pPr>
        <w:sectPr>
          <w:pgSz w:w="12240" w:h="15840" w:orient="portrait"/>
          <w:cols w:equalWidth="0" w:num="1">
            <w:col w:w="11160"/>
          </w:cols>
          <w:pgMar w:left="540" w:top="53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112</w:t>
      </w:r>
    </w:p>
    <w:p>
      <w:pPr>
        <w:sectPr>
          <w:pgSz w:w="12240" w:h="15840" w:orient="portrait"/>
          <w:cols w:equalWidth="0" w:num="1">
            <w:col w:w="11160"/>
          </w:cols>
          <w:pgMar w:left="540" w:top="532" w:right="540" w:bottom="0" w:gutter="0" w:footer="0" w:header="0"/>
          <w:type w:val="continuous"/>
        </w:sectPr>
      </w:pPr>
    </w:p>
    <w:bookmarkStart w:id="114" w:name="page115"/>
    <w:bookmarkEnd w:id="114"/>
    <w:p>
      <w:pPr>
        <w:ind w:firstLine="490"/>
        <w:spacing w:after="0" w:line="262" w:lineRule="auto"/>
        <w:rPr>
          <w:sz w:val="20"/>
          <w:szCs w:val="20"/>
          <w:color w:val="auto"/>
        </w:rPr>
      </w:pPr>
      <w:r>
        <w:rPr>
          <w:rFonts w:ascii="Calibri" w:cs="Calibri" w:eastAsia="Calibri" w:hAnsi="Calibri"/>
          <w:sz w:val="20"/>
          <w:szCs w:val="20"/>
          <w:color w:val="auto"/>
        </w:rPr>
        <w:t>The following outstanding dilutive potential shares were excluded from the calculation of diluted net income (loss) per share due to their anti-dilutive effect: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550"/>
              <w:spacing w:after="0"/>
              <w:rPr>
                <w:sz w:val="20"/>
                <w:szCs w:val="20"/>
                <w:color w:val="auto"/>
              </w:rPr>
            </w:pPr>
            <w:r>
              <w:rPr>
                <w:rFonts w:ascii="Calibri" w:cs="Calibri" w:eastAsia="Calibri" w:hAnsi="Calibri"/>
                <w:sz w:val="16"/>
                <w:szCs w:val="16"/>
                <w:b w:val="1"/>
                <w:bCs w:val="1"/>
                <w:color w:val="auto"/>
              </w:rPr>
              <w:t>Year Ended December 31,</w:t>
            </w:r>
          </w:p>
        </w:tc>
      </w:tr>
      <w:tr>
        <w:trPr>
          <w:trHeight w:val="185"/>
        </w:trPr>
        <w:tc>
          <w:tcPr>
            <w:tcW w:w="8220" w:type="dxa"/>
            <w:vAlign w:val="bottom"/>
            <w:tcBorders>
              <w:bottom w:val="single" w:sz="8" w:color="E5E5E5"/>
            </w:tcBorders>
          </w:tcPr>
          <w:p>
            <w:pPr>
              <w:spacing w:after="0"/>
              <w:rPr>
                <w:sz w:val="16"/>
                <w:szCs w:val="16"/>
                <w:color w:val="auto"/>
              </w:rPr>
            </w:pPr>
          </w:p>
        </w:tc>
        <w:tc>
          <w:tcPr>
            <w:tcW w:w="20" w:type="dxa"/>
            <w:vAlign w:val="bottom"/>
            <w:tcBorders>
              <w:bottom w:val="single" w:sz="8" w:color="E5E5E5"/>
            </w:tcBorders>
          </w:tcPr>
          <w:p>
            <w:pPr>
              <w:spacing w:after="0"/>
              <w:rPr>
                <w:sz w:val="16"/>
                <w:szCs w:val="16"/>
                <w:color w:val="auto"/>
              </w:rPr>
            </w:pPr>
          </w:p>
        </w:tc>
        <w:tc>
          <w:tcPr>
            <w:tcW w:w="1300" w:type="dxa"/>
            <w:vAlign w:val="bottom"/>
            <w:tcBorders>
              <w:bottom w:val="single" w:sz="8" w:color="auto"/>
            </w:tcBorders>
          </w:tcPr>
          <w:p>
            <w:pPr>
              <w:jc w:val="right"/>
              <w:ind w:right="407"/>
              <w:spacing w:after="0" w:line="185" w:lineRule="exact"/>
              <w:rPr>
                <w:sz w:val="20"/>
                <w:szCs w:val="20"/>
                <w:color w:val="auto"/>
              </w:rPr>
            </w:pPr>
            <w:r>
              <w:rPr>
                <w:rFonts w:ascii="Calibri" w:cs="Calibri" w:eastAsia="Calibri" w:hAnsi="Calibri"/>
                <w:sz w:val="16"/>
                <w:szCs w:val="16"/>
                <w:b w:val="1"/>
                <w:bCs w:val="1"/>
                <w:color w:val="auto"/>
              </w:rPr>
              <w:t>2025</w:t>
            </w:r>
          </w:p>
        </w:tc>
        <w:tc>
          <w:tcPr>
            <w:tcW w:w="320" w:type="dxa"/>
            <w:vAlign w:val="bottom"/>
            <w:tcBorders>
              <w:bottom w:val="single" w:sz="8" w:color="E5E5E5"/>
            </w:tcBorders>
            <w:gridSpan w:val="2"/>
          </w:tcPr>
          <w:p>
            <w:pPr>
              <w:spacing w:after="0"/>
              <w:rPr>
                <w:sz w:val="16"/>
                <w:szCs w:val="16"/>
                <w:color w:val="auto"/>
              </w:rPr>
            </w:pPr>
          </w:p>
        </w:tc>
        <w:tc>
          <w:tcPr>
            <w:tcW w:w="1300" w:type="dxa"/>
            <w:vAlign w:val="bottom"/>
            <w:tcBorders>
              <w:bottom w:val="single" w:sz="8" w:color="auto"/>
            </w:tcBorders>
          </w:tcPr>
          <w:p>
            <w:pPr>
              <w:jc w:val="right"/>
              <w:ind w:right="410"/>
              <w:spacing w:after="0" w:line="185" w:lineRule="exact"/>
              <w:rPr>
                <w:sz w:val="20"/>
                <w:szCs w:val="20"/>
                <w:color w:val="auto"/>
              </w:rPr>
            </w:pPr>
            <w:r>
              <w:rPr>
                <w:rFonts w:ascii="Calibri" w:cs="Calibri" w:eastAsia="Calibri" w:hAnsi="Calibri"/>
                <w:sz w:val="16"/>
                <w:szCs w:val="16"/>
                <w:b w:val="1"/>
                <w:bCs w:val="1"/>
                <w:color w:val="auto"/>
              </w:rPr>
              <w:t>2024</w:t>
            </w:r>
          </w:p>
        </w:tc>
      </w:tr>
      <w:tr>
        <w:trPr>
          <w:trHeight w:val="234"/>
        </w:trPr>
        <w:tc>
          <w:tcPr>
            <w:tcW w:w="8240" w:type="dxa"/>
            <w:vAlign w:val="bottom"/>
            <w:gridSpan w:val="2"/>
            <w:shd w:val="clear" w:color="auto" w:fill="E5E5E5"/>
          </w:tcPr>
          <w:p>
            <w:pPr>
              <w:spacing w:after="0" w:line="234" w:lineRule="exact"/>
              <w:rPr>
                <w:sz w:val="20"/>
                <w:szCs w:val="20"/>
                <w:color w:val="auto"/>
              </w:rPr>
            </w:pPr>
            <w:r>
              <w:rPr>
                <w:rFonts w:ascii="Calibri" w:cs="Calibri" w:eastAsia="Calibri" w:hAnsi="Calibri"/>
                <w:sz w:val="20"/>
                <w:szCs w:val="20"/>
                <w:color w:val="auto"/>
              </w:rPr>
              <w:t>Stock options, performance stock options and shares subject to ESPP</w:t>
            </w:r>
          </w:p>
        </w:tc>
        <w:tc>
          <w:tcPr>
            <w:tcW w:w="1300" w:type="dxa"/>
            <w:vAlign w:val="bottom"/>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30,459,679</w:t>
            </w:r>
          </w:p>
        </w:tc>
        <w:tc>
          <w:tcPr>
            <w:tcW w:w="1620" w:type="dxa"/>
            <w:vAlign w:val="bottom"/>
            <w:gridSpan w:val="3"/>
            <w:shd w:val="clear" w:color="auto" w:fill="E5E5E5"/>
          </w:tcPr>
          <w:p>
            <w:pPr>
              <w:jc w:val="right"/>
              <w:spacing w:after="0" w:line="234" w:lineRule="exact"/>
              <w:rPr>
                <w:sz w:val="20"/>
                <w:szCs w:val="20"/>
                <w:color w:val="auto"/>
              </w:rPr>
            </w:pPr>
            <w:r>
              <w:rPr>
                <w:rFonts w:ascii="Calibri" w:cs="Calibri" w:eastAsia="Calibri" w:hAnsi="Calibri"/>
                <w:sz w:val="20"/>
                <w:szCs w:val="20"/>
                <w:color w:val="auto"/>
              </w:rPr>
              <w:t>29,274,841</w:t>
            </w:r>
          </w:p>
        </w:tc>
      </w:tr>
      <w:tr>
        <w:trPr>
          <w:trHeight w:val="244"/>
        </w:trPr>
        <w:tc>
          <w:tcPr>
            <w:tcW w:w="8240" w:type="dxa"/>
            <w:vAlign w:val="bottom"/>
            <w:gridSpan w:val="2"/>
          </w:tcPr>
          <w:p>
            <w:pPr>
              <w:spacing w:after="0"/>
              <w:rPr>
                <w:sz w:val="20"/>
                <w:szCs w:val="20"/>
                <w:color w:val="auto"/>
              </w:rPr>
            </w:pPr>
            <w:r>
              <w:rPr>
                <w:rFonts w:ascii="Calibri" w:cs="Calibri" w:eastAsia="Calibri" w:hAnsi="Calibri"/>
                <w:sz w:val="20"/>
                <w:szCs w:val="20"/>
                <w:color w:val="auto"/>
              </w:rPr>
              <w:t>Restricted stock units</w:t>
            </w:r>
          </w:p>
        </w:tc>
        <w:tc>
          <w:tcPr>
            <w:tcW w:w="1300" w:type="dxa"/>
            <w:vAlign w:val="bottom"/>
          </w:tcPr>
          <w:p>
            <w:pPr>
              <w:jc w:val="right"/>
              <w:spacing w:after="0"/>
              <w:rPr>
                <w:sz w:val="20"/>
                <w:szCs w:val="20"/>
                <w:color w:val="auto"/>
              </w:rPr>
            </w:pPr>
            <w:r>
              <w:rPr>
                <w:rFonts w:ascii="Calibri" w:cs="Calibri" w:eastAsia="Calibri" w:hAnsi="Calibri"/>
                <w:sz w:val="20"/>
                <w:szCs w:val="20"/>
                <w:color w:val="auto"/>
              </w:rPr>
              <w:t>251,445</w:t>
            </w:r>
          </w:p>
        </w:tc>
        <w:tc>
          <w:tcPr>
            <w:tcW w:w="1620" w:type="dxa"/>
            <w:vAlign w:val="bottom"/>
            <w:gridSpan w:val="3"/>
          </w:tcPr>
          <w:p>
            <w:pPr>
              <w:jc w:val="right"/>
              <w:spacing w:after="0"/>
              <w:rPr>
                <w:sz w:val="20"/>
                <w:szCs w:val="20"/>
                <w:color w:val="auto"/>
              </w:rPr>
            </w:pPr>
            <w:r>
              <w:rPr>
                <w:rFonts w:ascii="Calibri" w:cs="Calibri" w:eastAsia="Calibri" w:hAnsi="Calibri"/>
                <w:sz w:val="20"/>
                <w:szCs w:val="20"/>
                <w:color w:val="auto"/>
              </w:rPr>
              <w:t>901,104</w:t>
            </w:r>
          </w:p>
        </w:tc>
      </w:tr>
      <w:tr>
        <w:trPr>
          <w:trHeight w:val="245"/>
        </w:trPr>
        <w:tc>
          <w:tcPr>
            <w:tcW w:w="8240" w:type="dxa"/>
            <w:vAlign w:val="bottom"/>
            <w:gridSpan w:val="2"/>
            <w:shd w:val="clear" w:color="auto" w:fill="E5E5E5"/>
          </w:tcPr>
          <w:p>
            <w:pPr>
              <w:spacing w:after="0"/>
              <w:rPr>
                <w:sz w:val="20"/>
                <w:szCs w:val="20"/>
                <w:color w:val="auto"/>
              </w:rPr>
            </w:pPr>
            <w:r>
              <w:rPr>
                <w:rFonts w:ascii="Calibri" w:cs="Calibri" w:eastAsia="Calibri" w:hAnsi="Calibri"/>
                <w:sz w:val="20"/>
                <w:szCs w:val="20"/>
                <w:color w:val="auto"/>
              </w:rPr>
              <w:t>Shares issuable upon conversion of 2026 Convertible Notes</w:t>
            </w:r>
          </w:p>
        </w:tc>
        <w:tc>
          <w:tcPr>
            <w:tcW w:w="1300" w:type="dxa"/>
            <w:vAlign w:val="bottom"/>
            <w:shd w:val="clear" w:color="auto" w:fill="E5E5E5"/>
          </w:tcPr>
          <w:p>
            <w:pPr>
              <w:jc w:val="right"/>
              <w:spacing w:after="0"/>
              <w:rPr>
                <w:sz w:val="20"/>
                <w:szCs w:val="20"/>
                <w:color w:val="auto"/>
              </w:rPr>
            </w:pPr>
            <w:r>
              <w:rPr>
                <w:rFonts w:ascii="Calibri" w:cs="Calibri" w:eastAsia="Calibri" w:hAnsi="Calibri"/>
                <w:sz w:val="20"/>
                <w:szCs w:val="20"/>
                <w:color w:val="auto"/>
              </w:rPr>
              <w:t>6,283</w:t>
            </w:r>
          </w:p>
        </w:tc>
        <w:tc>
          <w:tcPr>
            <w:tcW w:w="1620" w:type="dxa"/>
            <w:vAlign w:val="bottom"/>
            <w:gridSpan w:val="3"/>
            <w:shd w:val="clear" w:color="auto" w:fill="E5E5E5"/>
          </w:tcPr>
          <w:p>
            <w:pPr>
              <w:jc w:val="right"/>
              <w:spacing w:after="0"/>
              <w:rPr>
                <w:sz w:val="20"/>
                <w:szCs w:val="20"/>
                <w:color w:val="auto"/>
              </w:rPr>
            </w:pPr>
            <w:r>
              <w:rPr>
                <w:rFonts w:ascii="Calibri" w:cs="Calibri" w:eastAsia="Calibri" w:hAnsi="Calibri"/>
                <w:sz w:val="20"/>
                <w:szCs w:val="20"/>
                <w:color w:val="auto"/>
              </w:rPr>
              <w:t>11,942,152</w:t>
            </w:r>
          </w:p>
        </w:tc>
      </w:tr>
      <w:tr>
        <w:trPr>
          <w:trHeight w:val="244"/>
        </w:trPr>
        <w:tc>
          <w:tcPr>
            <w:tcW w:w="8220" w:type="dxa"/>
            <w:vAlign w:val="bottom"/>
          </w:tcPr>
          <w:p>
            <w:pPr>
              <w:ind w:left="120"/>
              <w:spacing w:after="0" w:line="235" w:lineRule="exact"/>
              <w:rPr>
                <w:sz w:val="20"/>
                <w:szCs w:val="20"/>
                <w:color w:val="auto"/>
              </w:rPr>
            </w:pPr>
            <w:r>
              <w:rPr>
                <w:rFonts w:ascii="Calibri" w:cs="Calibri" w:eastAsia="Calibri" w:hAnsi="Calibri"/>
                <w:sz w:val="20"/>
                <w:szCs w:val="20"/>
                <w:color w:val="auto"/>
              </w:rPr>
              <w:t>Total</w:t>
            </w:r>
          </w:p>
        </w:tc>
        <w:tc>
          <w:tcPr>
            <w:tcW w:w="20" w:type="dxa"/>
            <w:vAlign w:val="bottom"/>
            <w:tcBorders>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line="235" w:lineRule="exact"/>
              <w:rPr>
                <w:sz w:val="20"/>
                <w:szCs w:val="20"/>
                <w:color w:val="auto"/>
              </w:rPr>
            </w:pPr>
            <w:r>
              <w:rPr>
                <w:rFonts w:ascii="Calibri" w:cs="Calibri" w:eastAsia="Calibri" w:hAnsi="Calibri"/>
                <w:sz w:val="20"/>
                <w:szCs w:val="20"/>
                <w:color w:val="auto"/>
              </w:rPr>
              <w:t>30,717,407</w:t>
            </w: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line="235" w:lineRule="exact"/>
              <w:rPr>
                <w:sz w:val="20"/>
                <w:szCs w:val="20"/>
                <w:color w:val="auto"/>
              </w:rPr>
            </w:pPr>
            <w:r>
              <w:rPr>
                <w:rFonts w:ascii="Calibri" w:cs="Calibri" w:eastAsia="Calibri" w:hAnsi="Calibri"/>
                <w:sz w:val="20"/>
                <w:szCs w:val="20"/>
                <w:color w:val="auto"/>
              </w:rPr>
              <w:t>42,118,097</w:t>
            </w:r>
          </w:p>
        </w:tc>
      </w:tr>
    </w:tbl>
    <w:p>
      <w:pPr>
        <w:spacing w:after="0" w:line="229"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The amounts in the table above exclude any shares potentially issuable pursuant to the CVR Agreement because the conditions that could result in a payment becoming due were not met.</w:t>
      </w:r>
    </w:p>
    <w:p>
      <w:pPr>
        <w:spacing w:after="0" w:line="223" w:lineRule="exact"/>
        <w:rPr>
          <w:sz w:val="20"/>
          <w:szCs w:val="20"/>
          <w:color w:val="auto"/>
        </w:rPr>
      </w:pPr>
    </w:p>
    <w:p>
      <w:pPr>
        <w:ind w:right="8860" w:firstLine="7"/>
        <w:spacing w:after="0" w:line="476" w:lineRule="auto"/>
        <w:tabs>
          <w:tab w:leader="none" w:pos="720" w:val="left"/>
        </w:tabs>
        <w:numPr>
          <w:ilvl w:val="0"/>
          <w:numId w:val="7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Subsequent Events Public Offering</w:t>
      </w:r>
    </w:p>
    <w:p>
      <w:pPr>
        <w:spacing w:after="0" w:line="1" w:lineRule="exact"/>
        <w:rPr>
          <w:sz w:val="20"/>
          <w:szCs w:val="20"/>
          <w:color w:val="auto"/>
        </w:rPr>
      </w:pPr>
    </w:p>
    <w:p>
      <w:pPr>
        <w:jc w:val="both"/>
        <w:ind w:firstLine="720"/>
        <w:spacing w:after="0" w:line="242" w:lineRule="auto"/>
        <w:rPr>
          <w:sz w:val="20"/>
          <w:szCs w:val="20"/>
          <w:color w:val="auto"/>
        </w:rPr>
      </w:pPr>
      <w:r>
        <w:rPr>
          <w:rFonts w:ascii="Calibri" w:cs="Calibri" w:eastAsia="Calibri" w:hAnsi="Calibri"/>
          <w:sz w:val="20"/>
          <w:szCs w:val="20"/>
          <w:color w:val="auto"/>
        </w:rPr>
        <w:t>On February 12, 2026, the Company entered into an underwriting agreement (the “Underwriting Agreement”) with TD Securities (USA) LLC, Guggenheim Securities, LLC and Oppenheimer &amp; Co. Inc. as representatives of the several underwriters named therein (collectively, the “Underwriters”), pursuant to which the Company agreed to issue and sell an aggregate of 28,600,000 shares (the “Firm Shares”) of its common stock, par value $0.0001 per share (“Common Stock”) to the Underwriters (the “Offering”). Additionally, under the terms of the Underwriting Agreement, the Company granted the Underwriters an option, for 30 days from the date of the Underwriting Agreement, solely for the purpose of covering over-allotments, if any, to purchase up to an additional 4,290,000 shares of Common Stock (the “Optional Shares,” and together with the Firm Shares, the “Offering Shares”). The price to the public in the Offering was $1.75 per share. The Underwriters agreed to purchase the Offering Shares from the Company pursuant to the Underwriting Agreement at a price of $1.645 per share.</w:t>
      </w:r>
    </w:p>
    <w:p>
      <w:pPr>
        <w:spacing w:after="0" w:line="222"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On February 17, 2026, the Company completed the sale and issuance of an aggregate of 28,600,000 shares of Common Stock. The Company received net proceeds of approximately $47.0 million, after deducting the Underwriters’ discounts and commissions but before estimated offering expenses payable by the Company.</w:t>
      </w: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Janssen Agreement</w:t>
      </w:r>
    </w:p>
    <w:p>
      <w:pPr>
        <w:spacing w:after="0" w:line="241"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On February 4, 2026, the Company announced a clinical supply agreement with Janssen, to evaluate tagmokitug in combination with pasritamig, a T-cell engaging bispecific antibody, in a Phase 1b clinical study in patients with mCRPC. Under the terms of the clinical supply agreement, Janssen will provide pasritamig to the Company, and the Company will be the sponsor of the Phase 1b clinical trial. Janssen and the Company each retain all commercial rights to our respective compounds, including as monotherapy or as combination treatments.</w:t>
      </w:r>
    </w:p>
    <w:p>
      <w:pPr>
        <w:sectPr>
          <w:pgSz w:w="12240" w:h="15840" w:orient="portrait"/>
          <w:cols w:equalWidth="0" w:num="1">
            <w:col w:w="11160"/>
          </w:cols>
          <w:pgMar w:left="540" w:top="53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113</w:t>
      </w:r>
    </w:p>
    <w:p>
      <w:pPr>
        <w:sectPr>
          <w:pgSz w:w="12240" w:h="15840" w:orient="portrait"/>
          <w:cols w:equalWidth="0" w:num="1">
            <w:col w:w="11160"/>
          </w:cols>
          <w:pgMar w:left="540" w:top="532" w:right="540" w:bottom="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20"/>
          <w:szCs w:val="20"/>
          <w:b w:val="1"/>
          <w:bCs w:val="1"/>
          <w:color w:val="auto"/>
        </w:rPr>
        <w:t xml:space="preserve">Item 9.  </w:t>
      </w:r>
      <w:r>
        <w:rPr>
          <w:rFonts w:ascii="Calibri" w:cs="Calibri" w:eastAsia="Calibri" w:hAnsi="Calibri"/>
          <w:sz w:val="20"/>
          <w:szCs w:val="20"/>
          <w:b w:val="1"/>
          <w:bCs w:val="1"/>
          <w:i w:val="1"/>
          <w:iCs w:val="1"/>
          <w:color w:val="auto"/>
        </w:rPr>
        <w:t>Changes in and Disagreements with Accountants on Accounting and Financial Disclosure</w:t>
      </w:r>
    </w:p>
    <w:p>
      <w:pPr>
        <w:spacing w:after="0" w:line="246"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None.</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9A.  </w:t>
      </w:r>
      <w:r>
        <w:rPr>
          <w:rFonts w:ascii="Calibri" w:cs="Calibri" w:eastAsia="Calibri" w:hAnsi="Calibri"/>
          <w:sz w:val="20"/>
          <w:szCs w:val="20"/>
          <w:b w:val="1"/>
          <w:bCs w:val="1"/>
          <w:i w:val="1"/>
          <w:iCs w:val="1"/>
          <w:color w:val="auto"/>
        </w:rPr>
        <w:t>Controls and Procedures</w:t>
      </w:r>
    </w:p>
    <w:p>
      <w:pPr>
        <w:spacing w:after="0" w:line="23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Evaluation of Effectiveness of Disclosure Controls and Procedures</w:t>
      </w:r>
    </w:p>
    <w:p>
      <w:pPr>
        <w:spacing w:after="0" w:line="241"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We carried out an evaluation, under the supervision of our Chief Executive Officer and our Chief Financial Officer, and evaluated the effectiveness of our disclosure controls and procedures as defined in Rules 13a-15(e) and 15d-15(e) under the Exchange Act, as of the end of the period covered by this Annual Report on Form 10-K. Based on this evaluation, our President and Chief Executive Officer and our Chief Financial Officer have concluded that, as of the end of the period covered by this Annual Report on Form 10-K, our disclosure controls and procedures were effective at a reasonable assurance level.</w:t>
      </w:r>
    </w:p>
    <w:p>
      <w:pPr>
        <w:spacing w:after="0" w:line="214"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chief executive officer, principal financial officer and principal accounting officer, as appropriate, to allow for timely decisions regarding required disclosure.</w:t>
      </w:r>
    </w:p>
    <w:p>
      <w:pPr>
        <w:spacing w:after="0" w:line="214" w:lineRule="exact"/>
        <w:rPr>
          <w:sz w:val="20"/>
          <w:szCs w:val="20"/>
          <w:color w:val="auto"/>
        </w:rPr>
      </w:pPr>
    </w:p>
    <w:p>
      <w:pPr>
        <w:jc w:val="both"/>
        <w:ind w:firstLine="720"/>
        <w:spacing w:after="0" w:line="261" w:lineRule="auto"/>
        <w:rPr>
          <w:sz w:val="20"/>
          <w:szCs w:val="20"/>
          <w:color w:val="auto"/>
        </w:rPr>
      </w:pPr>
      <w:r>
        <w:rPr>
          <w:rFonts w:ascii="Calibri" w:cs="Calibri" w:eastAsia="Calibri" w:hAnsi="Calibri"/>
          <w:sz w:val="19"/>
          <w:szCs w:val="19"/>
          <w:color w:val="auto"/>
        </w:rPr>
        <w:t>We review and evaluate the design and effectiveness of our disclosure controls and procedures on an ongoing basis and implement improvements as appropriate. Our goal is to ensure that our management has timely access to material information that could affect our business.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Management’s Annual Report on Internal Control Over Financial Reporting</w:t>
      </w:r>
    </w:p>
    <w:p>
      <w:pPr>
        <w:spacing w:after="0" w:line="241" w:lineRule="exact"/>
        <w:rPr>
          <w:sz w:val="20"/>
          <w:szCs w:val="20"/>
          <w:color w:val="auto"/>
        </w:rPr>
      </w:pPr>
    </w:p>
    <w:p>
      <w:pPr>
        <w:jc w:val="both"/>
        <w:ind w:firstLine="720"/>
        <w:spacing w:after="0" w:line="243" w:lineRule="auto"/>
        <w:rPr>
          <w:sz w:val="20"/>
          <w:szCs w:val="20"/>
          <w:color w:val="auto"/>
        </w:rPr>
      </w:pPr>
      <w:r>
        <w:rPr>
          <w:rFonts w:ascii="Calibri" w:cs="Calibri" w:eastAsia="Calibri" w:hAnsi="Calibri"/>
          <w:sz w:val="20"/>
          <w:szCs w:val="20"/>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principal financial officer and principal accounting officer, we conducted an evaluation of the effectiveness of our internal control over financial reporting based on the framework in </w:t>
      </w:r>
      <w:r>
        <w:rPr>
          <w:rFonts w:ascii="Calibri" w:cs="Calibri" w:eastAsia="Calibri" w:hAnsi="Calibri"/>
          <w:sz w:val="20"/>
          <w:szCs w:val="20"/>
          <w:i w:val="1"/>
          <w:iCs w:val="1"/>
          <w:color w:val="auto"/>
        </w:rPr>
        <w:t>Internal Control—Integrated Framework</w:t>
      </w:r>
      <w:r>
        <w:rPr>
          <w:rFonts w:ascii="Calibri" w:cs="Calibri" w:eastAsia="Calibri" w:hAnsi="Calibri"/>
          <w:sz w:val="20"/>
          <w:szCs w:val="20"/>
          <w:color w:val="auto"/>
        </w:rPr>
        <w:t xml:space="preserve"> issued by the Committee of Sponsoring Organizations of the Treadway Commission (2013 Framework). Based on our evaluation under the framework in </w:t>
      </w:r>
      <w:r>
        <w:rPr>
          <w:rFonts w:ascii="Calibri" w:cs="Calibri" w:eastAsia="Calibri" w:hAnsi="Calibri"/>
          <w:sz w:val="20"/>
          <w:szCs w:val="20"/>
          <w:i w:val="1"/>
          <w:iCs w:val="1"/>
          <w:color w:val="auto"/>
        </w:rPr>
        <w:t>Internal Control—Integrated Framework</w:t>
      </w:r>
      <w:r>
        <w:rPr>
          <w:rFonts w:ascii="Calibri" w:cs="Calibri" w:eastAsia="Calibri" w:hAnsi="Calibri"/>
          <w:sz w:val="20"/>
          <w:szCs w:val="20"/>
          <w:color w:val="auto"/>
        </w:rPr>
        <w:t>, our management concluded that our internal control over financial reporting was effective as of December 31, 2025. Ernst &amp; Young LLP, our independent registered public accounting firm, has attested to and issued a report on the effectiveness of our internal control over financial reporting, which is included herein.</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Changes in Internal Control over Financial Reporting</w:t>
      </w:r>
    </w:p>
    <w:p>
      <w:pPr>
        <w:spacing w:after="0" w:line="241" w:lineRule="exact"/>
        <w:rPr>
          <w:sz w:val="20"/>
          <w:szCs w:val="20"/>
          <w:color w:val="auto"/>
        </w:rPr>
      </w:pPr>
    </w:p>
    <w:p>
      <w:pPr>
        <w:jc w:val="both"/>
        <w:ind w:firstLine="720"/>
        <w:spacing w:after="0" w:line="261" w:lineRule="auto"/>
        <w:rPr>
          <w:sz w:val="20"/>
          <w:szCs w:val="20"/>
          <w:color w:val="auto"/>
        </w:rPr>
      </w:pPr>
      <w:r>
        <w:rPr>
          <w:rFonts w:ascii="Calibri" w:cs="Calibri" w:eastAsia="Calibri" w:hAnsi="Calibri"/>
          <w:sz w:val="20"/>
          <w:szCs w:val="20"/>
          <w:color w:val="auto"/>
        </w:rPr>
        <w:t>There were no changes in our internal control over financial reporting during the three months ended December 31, 2025, that have materially affected, or are reasonably likely to materially affect, our internal control over financial reporting.</w:t>
      </w:r>
    </w:p>
    <w:p>
      <w:pPr>
        <w:sectPr>
          <w:pgSz w:w="12240" w:h="15840" w:orient="portrait"/>
          <w:cols w:equalWidth="0" w:num="1">
            <w:col w:w="11160"/>
          </w:cols>
          <w:pgMar w:left="540" w:top="53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114</w:t>
      </w:r>
    </w:p>
    <w:p>
      <w:pPr>
        <w:sectPr>
          <w:pgSz w:w="12240" w:h="15840" w:orient="portrait"/>
          <w:cols w:equalWidth="0" w:num="1">
            <w:col w:w="11160"/>
          </w:cols>
          <w:pgMar w:left="540" w:top="530" w:right="540" w:bottom="0" w:gutter="0" w:footer="0" w:header="0"/>
          <w:type w:val="continuous"/>
        </w:sectPr>
      </w:pPr>
    </w:p>
    <w:bookmarkStart w:id="116" w:name="page117"/>
    <w:bookmarkEnd w:id="116"/>
    <w:p>
      <w:pPr>
        <w:jc w:val="center"/>
        <w:spacing w:after="0"/>
        <w:rPr>
          <w:sz w:val="20"/>
          <w:szCs w:val="20"/>
          <w:color w:val="auto"/>
        </w:rPr>
      </w:pPr>
      <w:r>
        <w:rPr>
          <w:rFonts w:ascii="Calibri" w:cs="Calibri" w:eastAsia="Calibri" w:hAnsi="Calibri"/>
          <w:sz w:val="20"/>
          <w:szCs w:val="20"/>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color w:val="auto"/>
        </w:rPr>
        <w:t>To the Stockholders and the Board of Directors of Coherus Oncology, Inc.</w:t>
      </w:r>
    </w:p>
    <w:p>
      <w:pPr>
        <w:spacing w:after="0" w:line="23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Opinion on Internal Control Over Financial Reporting</w:t>
      </w:r>
    </w:p>
    <w:p>
      <w:pPr>
        <w:spacing w:after="0" w:line="241" w:lineRule="exact"/>
        <w:rPr>
          <w:sz w:val="20"/>
          <w:szCs w:val="20"/>
          <w:color w:val="auto"/>
        </w:rPr>
      </w:pPr>
    </w:p>
    <w:p>
      <w:pPr>
        <w:jc w:val="both"/>
        <w:spacing w:after="0" w:line="247" w:lineRule="auto"/>
        <w:rPr>
          <w:sz w:val="20"/>
          <w:szCs w:val="20"/>
          <w:color w:val="auto"/>
        </w:rPr>
      </w:pPr>
      <w:r>
        <w:rPr>
          <w:rFonts w:ascii="Calibri" w:cs="Calibri" w:eastAsia="Calibri" w:hAnsi="Calibri"/>
          <w:sz w:val="20"/>
          <w:szCs w:val="20"/>
          <w:color w:val="auto"/>
        </w:rPr>
        <w:t>We have audited Coherus Oncology, Inc.’s internal control over financial reporting as of December 31, 2025, based on criteria established in Internal Control—Integrated Framework issued by the Committee of Sponsoring Organizations of the Treadway Commission (2013 framework) (the COSO criteria). In our opinion, Coherus Oncology, Inc. (the Company) maintained, in all material respects, effective internal control over financial reporting as of December 31, 2025, based on the COSO criteria.</w:t>
      </w:r>
    </w:p>
    <w:p>
      <w:pPr>
        <w:spacing w:after="0" w:line="211" w:lineRule="exact"/>
        <w:rPr>
          <w:sz w:val="20"/>
          <w:szCs w:val="20"/>
          <w:color w:val="auto"/>
        </w:rPr>
      </w:pPr>
    </w:p>
    <w:p>
      <w:pPr>
        <w:jc w:val="both"/>
        <w:spacing w:after="0" w:line="247" w:lineRule="auto"/>
        <w:rPr>
          <w:sz w:val="20"/>
          <w:szCs w:val="20"/>
          <w:color w:val="auto"/>
        </w:rPr>
      </w:pPr>
      <w:r>
        <w:rPr>
          <w:rFonts w:ascii="Calibri" w:cs="Calibri" w:eastAsia="Calibri" w:hAnsi="Calibri"/>
          <w:sz w:val="20"/>
          <w:szCs w:val="20"/>
          <w:color w:val="auto"/>
        </w:rPr>
        <w:t>We also have audited, in accordance with the standards of the Public Company Accounting Oversight Board (United States) (PCAOB), the balance sheets of the Company as of December 31, 2025 and 2024, the related statements of operations, comprehensive income, stockholders' equity (deficit) and cash flows for each of the two years in the period ended December 31, 2025, and the related notes and our report dated March 9, 2026 expressed an unqualified opinion thereon.</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Basis for Opinion</w:t>
      </w:r>
    </w:p>
    <w:p>
      <w:pPr>
        <w:spacing w:after="0" w:line="241" w:lineRule="exact"/>
        <w:rPr>
          <w:sz w:val="20"/>
          <w:szCs w:val="20"/>
          <w:color w:val="auto"/>
        </w:rPr>
      </w:pPr>
    </w:p>
    <w:p>
      <w:pPr>
        <w:jc w:val="both"/>
        <w:spacing w:after="0" w:line="244" w:lineRule="auto"/>
        <w:rPr>
          <w:sz w:val="20"/>
          <w:szCs w:val="20"/>
          <w:color w:val="auto"/>
        </w:rPr>
      </w:pPr>
      <w:r>
        <w:rPr>
          <w:rFonts w:ascii="Calibri" w:cs="Calibri" w:eastAsia="Calibri" w:hAnsi="Calibri"/>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63" w:lineRule="auto"/>
        <w:rPr>
          <w:sz w:val="20"/>
          <w:szCs w:val="20"/>
          <w:color w:val="auto"/>
        </w:rPr>
      </w:pPr>
      <w:r>
        <w:rPr>
          <w:rFonts w:ascii="Calibri" w:cs="Calibri" w:eastAsia="Calibri" w:hAnsi="Calibri"/>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3" w:lineRule="exact"/>
        <w:rPr>
          <w:sz w:val="20"/>
          <w:szCs w:val="20"/>
          <w:color w:val="auto"/>
        </w:rPr>
      </w:pPr>
    </w:p>
    <w:p>
      <w:pPr>
        <w:jc w:val="both"/>
        <w:spacing w:after="0" w:line="271" w:lineRule="auto"/>
        <w:rPr>
          <w:sz w:val="20"/>
          <w:szCs w:val="20"/>
          <w:color w:val="auto"/>
        </w:rPr>
      </w:pPr>
      <w:r>
        <w:rPr>
          <w:rFonts w:ascii="Calibri" w:cs="Calibri" w:eastAsia="Calibri" w:hAnsi="Calibri"/>
          <w:sz w:val="19"/>
          <w:szCs w:val="19"/>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Definition and Limitations of Internal Control Over Financial Reporting</w:t>
      </w:r>
    </w:p>
    <w:p>
      <w:pPr>
        <w:spacing w:after="0" w:line="240" w:lineRule="exact"/>
        <w:rPr>
          <w:sz w:val="20"/>
          <w:szCs w:val="20"/>
          <w:color w:val="auto"/>
        </w:rPr>
      </w:pPr>
    </w:p>
    <w:p>
      <w:pPr>
        <w:jc w:val="both"/>
        <w:spacing w:after="0" w:line="242" w:lineRule="auto"/>
        <w:rPr>
          <w:sz w:val="20"/>
          <w:szCs w:val="20"/>
          <w:color w:val="auto"/>
        </w:rPr>
      </w:pPr>
      <w:r>
        <w:rPr>
          <w:rFonts w:ascii="Calibri" w:cs="Calibri" w:eastAsia="Calibri" w:hAnsi="Calibri"/>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2" w:lineRule="exact"/>
        <w:rPr>
          <w:sz w:val="20"/>
          <w:szCs w:val="20"/>
          <w:color w:val="auto"/>
        </w:rPr>
      </w:pPr>
    </w:p>
    <w:p>
      <w:pPr>
        <w:jc w:val="both"/>
        <w:spacing w:after="0" w:line="251" w:lineRule="auto"/>
        <w:rPr>
          <w:sz w:val="20"/>
          <w:szCs w:val="20"/>
          <w:color w:val="auto"/>
        </w:rPr>
      </w:pPr>
      <w:r>
        <w:rPr>
          <w:rFonts w:ascii="Calibri" w:cs="Calibri" w:eastAsia="Calibri" w:hAnsi="Calibri"/>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spacing w:after="0"/>
        <w:rPr>
          <w:sz w:val="20"/>
          <w:szCs w:val="20"/>
          <w:color w:val="auto"/>
        </w:rPr>
      </w:pPr>
      <w:r>
        <w:rPr>
          <w:rFonts w:ascii="Calibri" w:cs="Calibri" w:eastAsia="Calibri" w:hAnsi="Calibri"/>
          <w:sz w:val="20"/>
          <w:szCs w:val="20"/>
          <w:color w:val="auto"/>
        </w:rPr>
        <w:t>/s/ Ernst &amp; Young LLP</w:t>
      </w:r>
    </w:p>
    <w:p>
      <w:pPr>
        <w:spacing w:after="0" w:line="239" w:lineRule="exact"/>
        <w:rPr>
          <w:sz w:val="20"/>
          <w:szCs w:val="20"/>
          <w:color w:val="auto"/>
        </w:rPr>
      </w:pPr>
    </w:p>
    <w:p>
      <w:pPr>
        <w:spacing w:after="0"/>
        <w:rPr>
          <w:sz w:val="20"/>
          <w:szCs w:val="20"/>
          <w:color w:val="auto"/>
        </w:rPr>
      </w:pPr>
      <w:r>
        <w:rPr>
          <w:rFonts w:ascii="Calibri" w:cs="Calibri" w:eastAsia="Calibri" w:hAnsi="Calibri"/>
          <w:sz w:val="20"/>
          <w:szCs w:val="20"/>
          <w:color w:val="auto"/>
        </w:rPr>
        <w:t>San Francisco, California</w:t>
      </w:r>
    </w:p>
    <w:p>
      <w:pPr>
        <w:spacing w:after="0" w:line="22" w:lineRule="exact"/>
        <w:rPr>
          <w:sz w:val="20"/>
          <w:szCs w:val="20"/>
          <w:color w:val="auto"/>
        </w:rPr>
      </w:pPr>
    </w:p>
    <w:p>
      <w:pPr>
        <w:spacing w:after="0"/>
        <w:rPr>
          <w:sz w:val="20"/>
          <w:szCs w:val="20"/>
          <w:color w:val="auto"/>
        </w:rPr>
      </w:pPr>
      <w:r>
        <w:rPr>
          <w:rFonts w:ascii="Calibri" w:cs="Calibri" w:eastAsia="Calibri" w:hAnsi="Calibri"/>
          <w:sz w:val="20"/>
          <w:szCs w:val="20"/>
          <w:color w:val="auto"/>
        </w:rPr>
        <w:t>March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115</w:t>
      </w:r>
    </w:p>
    <w:p>
      <w:pPr>
        <w:sectPr>
          <w:pgSz w:w="12240" w:h="15840" w:orient="portrait"/>
          <w:cols w:equalWidth="0" w:num="1">
            <w:col w:w="11160"/>
          </w:cols>
          <w:pgMar w:left="540" w:top="628" w:right="540" w:bottom="0" w:gutter="0" w:footer="0" w:header="0"/>
        </w:sectPr>
      </w:pPr>
    </w:p>
    <w:bookmarkStart w:id="117" w:name="page118"/>
    <w:bookmarkEnd w:id="117"/>
    <w:p>
      <w:pPr>
        <w:spacing w:after="0"/>
        <w:rPr>
          <w:sz w:val="20"/>
          <w:szCs w:val="20"/>
          <w:color w:val="auto"/>
        </w:rPr>
      </w:pPr>
      <w:r>
        <w:rPr>
          <w:rFonts w:ascii="Calibri" w:cs="Calibri" w:eastAsia="Calibri" w:hAnsi="Calibri"/>
          <w:sz w:val="20"/>
          <w:szCs w:val="20"/>
          <w:b w:val="1"/>
          <w:bCs w:val="1"/>
          <w:color w:val="auto"/>
        </w:rPr>
        <w:t xml:space="preserve">Item 9B.  </w:t>
      </w:r>
      <w:r>
        <w:rPr>
          <w:rFonts w:ascii="Calibri" w:cs="Calibri" w:eastAsia="Calibri" w:hAnsi="Calibri"/>
          <w:sz w:val="20"/>
          <w:szCs w:val="20"/>
          <w:b w:val="1"/>
          <w:bCs w:val="1"/>
          <w:i w:val="1"/>
          <w:iCs w:val="1"/>
          <w:color w:val="auto"/>
        </w:rPr>
        <w:t>Other Information</w:t>
      </w:r>
    </w:p>
    <w:p>
      <w:pPr>
        <w:spacing w:after="0" w:line="240" w:lineRule="exact"/>
        <w:rPr>
          <w:sz w:val="20"/>
          <w:szCs w:val="20"/>
          <w:color w:val="auto"/>
        </w:rPr>
      </w:pPr>
    </w:p>
    <w:p>
      <w:pPr>
        <w:jc w:val="both"/>
        <w:ind w:firstLine="727"/>
        <w:spacing w:after="0" w:line="250" w:lineRule="auto"/>
        <w:tabs>
          <w:tab w:leader="none" w:pos="995" w:val="left"/>
        </w:tabs>
        <w:numPr>
          <w:ilvl w:val="0"/>
          <w:numId w:val="76"/>
        </w:numPr>
        <w:rPr>
          <w:rFonts w:ascii="Calibri" w:cs="Calibri" w:eastAsia="Calibri" w:hAnsi="Calibri"/>
          <w:sz w:val="20"/>
          <w:szCs w:val="20"/>
          <w:color w:val="auto"/>
        </w:rPr>
      </w:pPr>
      <w:r>
        <w:rPr>
          <w:rFonts w:ascii="Calibri" w:cs="Calibri" w:eastAsia="Calibri" w:hAnsi="Calibri"/>
          <w:sz w:val="20"/>
          <w:szCs w:val="20"/>
          <w:color w:val="auto"/>
        </w:rPr>
        <w:t>During the three months ended December 31, 2025, neither we nor any of our directors or officers adopted or terminated a “Rule 10b5-1 trading arrangement” or “non-Rule 10b5-1 trading arrangement,” as each such term is defined in Item 408(a) of Regulation S-K.</w:t>
      </w:r>
    </w:p>
    <w:p>
      <w:pPr>
        <w:spacing w:after="0" w:line="21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9C.  </w:t>
      </w:r>
      <w:r>
        <w:rPr>
          <w:rFonts w:ascii="Calibri" w:cs="Calibri" w:eastAsia="Calibri" w:hAnsi="Calibri"/>
          <w:sz w:val="20"/>
          <w:szCs w:val="20"/>
          <w:b w:val="1"/>
          <w:bCs w:val="1"/>
          <w:i w:val="1"/>
          <w:iCs w:val="1"/>
          <w:color w:val="auto"/>
        </w:rPr>
        <w:t>Disclosure Regarding Foreign Jurisdictions that Prevent Inspections</w:t>
      </w:r>
    </w:p>
    <w:p>
      <w:pPr>
        <w:spacing w:after="0" w:line="241"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Not applicable.</w:t>
      </w: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PART III</w:t>
      </w:r>
    </w:p>
    <w:p>
      <w:pPr>
        <w:spacing w:after="0" w:line="241" w:lineRule="exact"/>
        <w:rPr>
          <w:sz w:val="20"/>
          <w:szCs w:val="20"/>
          <w:color w:val="auto"/>
        </w:rPr>
      </w:pPr>
    </w:p>
    <w:p>
      <w:pPr>
        <w:jc w:val="both"/>
        <w:ind w:firstLine="720"/>
        <w:spacing w:after="0" w:line="251" w:lineRule="auto"/>
        <w:rPr>
          <w:sz w:val="20"/>
          <w:szCs w:val="20"/>
          <w:color w:val="auto"/>
        </w:rPr>
      </w:pPr>
      <w:r>
        <w:rPr>
          <w:rFonts w:ascii="Calibri" w:cs="Calibri" w:eastAsia="Calibri" w:hAnsi="Calibri"/>
          <w:sz w:val="20"/>
          <w:szCs w:val="20"/>
          <w:color w:val="auto"/>
        </w:rPr>
        <w:t>Certain information required by Part III is omitted from this Annual Report on From 10 - K because we will file a Definitive Proxy Statement (the “Proxy Statement”) with the Securities and Exchange Commission within 120 days after the end of our fiscal year ended December 31, 2025.</w:t>
      </w: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10.  </w:t>
      </w:r>
      <w:r>
        <w:rPr>
          <w:rFonts w:ascii="Calibri" w:cs="Calibri" w:eastAsia="Calibri" w:hAnsi="Calibri"/>
          <w:sz w:val="20"/>
          <w:szCs w:val="20"/>
          <w:b w:val="1"/>
          <w:bCs w:val="1"/>
          <w:i w:val="1"/>
          <w:iCs w:val="1"/>
          <w:color w:val="auto"/>
        </w:rPr>
        <w:t>Directors, Executive Officers and Corporate Governance</w:t>
      </w:r>
    </w:p>
    <w:p>
      <w:pPr>
        <w:spacing w:after="0" w:line="241" w:lineRule="exact"/>
        <w:rPr>
          <w:sz w:val="20"/>
          <w:szCs w:val="20"/>
          <w:color w:val="auto"/>
        </w:rPr>
      </w:pPr>
    </w:p>
    <w:p>
      <w:pPr>
        <w:jc w:val="both"/>
        <w:ind w:firstLine="720"/>
        <w:spacing w:after="0" w:line="261" w:lineRule="auto"/>
        <w:rPr>
          <w:sz w:val="20"/>
          <w:szCs w:val="20"/>
          <w:color w:val="auto"/>
        </w:rPr>
      </w:pPr>
      <w:r>
        <w:rPr>
          <w:rFonts w:ascii="Calibri" w:cs="Calibri" w:eastAsia="Calibri" w:hAnsi="Calibri"/>
          <w:sz w:val="20"/>
          <w:szCs w:val="20"/>
          <w:color w:val="auto"/>
        </w:rPr>
        <w:t>The information required by this Item is included in the Proxy Statement to be filed with the SEC within 120 days after the end of our fiscal year ended December 31, 2025, and is incorporated herein by reference.</w:t>
      </w:r>
    </w:p>
    <w:p>
      <w:pPr>
        <w:spacing w:after="0" w:line="20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11.  </w:t>
      </w:r>
      <w:r>
        <w:rPr>
          <w:rFonts w:ascii="Calibri" w:cs="Calibri" w:eastAsia="Calibri" w:hAnsi="Calibri"/>
          <w:sz w:val="20"/>
          <w:szCs w:val="20"/>
          <w:b w:val="1"/>
          <w:bCs w:val="1"/>
          <w:i w:val="1"/>
          <w:iCs w:val="1"/>
          <w:color w:val="auto"/>
        </w:rPr>
        <w:t>Executive Compensation</w:t>
      </w:r>
    </w:p>
    <w:p>
      <w:pPr>
        <w:spacing w:after="0" w:line="240"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The information required by this Item is included in the Proxy Statement to be filed with the SEC within 120 days after the end of our fiscal year ended December 31, 2025, and is incorporated herein by reference.</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12.  </w:t>
      </w:r>
      <w:r>
        <w:rPr>
          <w:rFonts w:ascii="Calibri" w:cs="Calibri" w:eastAsia="Calibri" w:hAnsi="Calibri"/>
          <w:sz w:val="20"/>
          <w:szCs w:val="20"/>
          <w:b w:val="1"/>
          <w:bCs w:val="1"/>
          <w:i w:val="1"/>
          <w:iCs w:val="1"/>
          <w:color w:val="auto"/>
        </w:rPr>
        <w:t>Security Ownership of Certain Beneficial Owners and Management and Related Stockholder Matters</w:t>
      </w:r>
    </w:p>
    <w:p>
      <w:pPr>
        <w:spacing w:after="0" w:line="240"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The information required by this Item is included in the Proxy Statement to be filed with the SEC within 120 days after the end of our fiscal year ended December 31, 2025, and is incorporated herein by reference.</w:t>
      </w:r>
    </w:p>
    <w:p>
      <w:pPr>
        <w:spacing w:after="0" w:line="19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13.  </w:t>
      </w:r>
      <w:r>
        <w:rPr>
          <w:rFonts w:ascii="Calibri" w:cs="Calibri" w:eastAsia="Calibri" w:hAnsi="Calibri"/>
          <w:sz w:val="20"/>
          <w:szCs w:val="20"/>
          <w:b w:val="1"/>
          <w:bCs w:val="1"/>
          <w:i w:val="1"/>
          <w:iCs w:val="1"/>
          <w:color w:val="auto"/>
        </w:rPr>
        <w:t>Certain Relationships and Related Transactions, and Director Independence</w:t>
      </w:r>
    </w:p>
    <w:p>
      <w:pPr>
        <w:spacing w:after="0" w:line="240"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The information required by this Item is included in the Proxy Statement to be filed with the SEC within 120 days after the end of our fiscal year ended December 31, 2025, and is incorporated herein by reference.</w:t>
      </w:r>
    </w:p>
    <w:p>
      <w:pPr>
        <w:spacing w:after="0" w:line="19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14.  </w:t>
      </w:r>
      <w:r>
        <w:rPr>
          <w:rFonts w:ascii="Calibri" w:cs="Calibri" w:eastAsia="Calibri" w:hAnsi="Calibri"/>
          <w:sz w:val="20"/>
          <w:szCs w:val="20"/>
          <w:b w:val="1"/>
          <w:bCs w:val="1"/>
          <w:i w:val="1"/>
          <w:iCs w:val="1"/>
          <w:color w:val="auto"/>
        </w:rPr>
        <w:t>Principal Accounting Fees and Services</w:t>
      </w:r>
    </w:p>
    <w:p>
      <w:pPr>
        <w:spacing w:after="0" w:line="241" w:lineRule="exact"/>
        <w:rPr>
          <w:sz w:val="20"/>
          <w:szCs w:val="20"/>
          <w:color w:val="auto"/>
        </w:rPr>
      </w:pPr>
    </w:p>
    <w:p>
      <w:pPr>
        <w:jc w:val="both"/>
        <w:ind w:firstLine="720"/>
        <w:spacing w:after="0" w:line="261" w:lineRule="auto"/>
        <w:rPr>
          <w:sz w:val="20"/>
          <w:szCs w:val="20"/>
          <w:color w:val="auto"/>
        </w:rPr>
      </w:pPr>
      <w:r>
        <w:rPr>
          <w:rFonts w:ascii="Calibri" w:cs="Calibri" w:eastAsia="Calibri" w:hAnsi="Calibri"/>
          <w:sz w:val="20"/>
          <w:szCs w:val="20"/>
          <w:color w:val="auto"/>
        </w:rPr>
        <w:t>The information required by this Item is included in the Proxy Statement to be filed with the SEC within 120 days after the end of our fiscal year ended December 31, 2025, and is incorporated herein by reference.</w:t>
      </w:r>
    </w:p>
    <w:p>
      <w:pPr>
        <w:spacing w:after="0" w:line="13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PART IV</w:t>
      </w:r>
    </w:p>
    <w:p>
      <w:pPr>
        <w:spacing w:after="0" w:line="5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15.  </w:t>
      </w:r>
      <w:r>
        <w:rPr>
          <w:rFonts w:ascii="Calibri" w:cs="Calibri" w:eastAsia="Calibri" w:hAnsi="Calibri"/>
          <w:sz w:val="20"/>
          <w:szCs w:val="20"/>
          <w:b w:val="1"/>
          <w:bCs w:val="1"/>
          <w:i w:val="1"/>
          <w:iCs w:val="1"/>
          <w:color w:val="auto"/>
        </w:rPr>
        <w:t>Exhibits and Financial Statement Schedules</w:t>
      </w:r>
    </w:p>
    <w:p>
      <w:pPr>
        <w:spacing w:after="0" w:line="260" w:lineRule="exact"/>
        <w:rPr>
          <w:sz w:val="20"/>
          <w:szCs w:val="20"/>
          <w:color w:val="auto"/>
        </w:rPr>
      </w:pPr>
    </w:p>
    <w:p>
      <w:pPr>
        <w:ind w:left="560" w:hanging="553"/>
        <w:spacing w:after="0"/>
        <w:tabs>
          <w:tab w:leader="none" w:pos="560" w:val="left"/>
        </w:tabs>
        <w:numPr>
          <w:ilvl w:val="0"/>
          <w:numId w:val="77"/>
        </w:numPr>
        <w:rPr>
          <w:rFonts w:ascii="Calibri" w:cs="Calibri" w:eastAsia="Calibri" w:hAnsi="Calibri"/>
          <w:sz w:val="20"/>
          <w:szCs w:val="20"/>
          <w:color w:val="auto"/>
        </w:rPr>
      </w:pPr>
      <w:r>
        <w:rPr>
          <w:rFonts w:ascii="Calibri" w:cs="Calibri" w:eastAsia="Calibri" w:hAnsi="Calibri"/>
          <w:sz w:val="20"/>
          <w:szCs w:val="20"/>
          <w:color w:val="auto"/>
        </w:rPr>
        <w:t>(1) The financial statements required by Item 15(a) are filed in Item 8 of this Annual Report on Form 10 - K.</w:t>
      </w:r>
    </w:p>
    <w:p>
      <w:pPr>
        <w:spacing w:after="0" w:line="244" w:lineRule="exact"/>
        <w:rPr>
          <w:rFonts w:ascii="Calibri" w:cs="Calibri" w:eastAsia="Calibri" w:hAnsi="Calibri"/>
          <w:sz w:val="20"/>
          <w:szCs w:val="20"/>
          <w:color w:val="auto"/>
        </w:rPr>
      </w:pPr>
    </w:p>
    <w:p>
      <w:pPr>
        <w:jc w:val="both"/>
        <w:ind w:left="900" w:hanging="336"/>
        <w:spacing w:after="0" w:line="250" w:lineRule="auto"/>
        <w:tabs>
          <w:tab w:leader="none" w:pos="899" w:val="left"/>
        </w:tabs>
        <w:numPr>
          <w:ilvl w:val="1"/>
          <w:numId w:val="77"/>
        </w:numPr>
        <w:rPr>
          <w:rFonts w:ascii="Calibri" w:cs="Calibri" w:eastAsia="Calibri" w:hAnsi="Calibri"/>
          <w:sz w:val="20"/>
          <w:szCs w:val="20"/>
          <w:color w:val="auto"/>
        </w:rPr>
      </w:pPr>
      <w:r>
        <w:rPr>
          <w:rFonts w:ascii="Calibri" w:cs="Calibri" w:eastAsia="Calibri" w:hAnsi="Calibri"/>
          <w:sz w:val="20"/>
          <w:szCs w:val="20"/>
          <w:color w:val="auto"/>
        </w:rPr>
        <w:t>The financial statement schedules required by Item 15(a) are omitted because they are not applicable, not required or the required information is included in the financial statements or notes thereto as filed in Item 8 of this Annual Report on Form 10 - K.</w:t>
      </w:r>
    </w:p>
    <w:p>
      <w:pPr>
        <w:spacing w:after="0" w:line="213" w:lineRule="exact"/>
        <w:rPr>
          <w:rFonts w:ascii="Calibri" w:cs="Calibri" w:eastAsia="Calibri" w:hAnsi="Calibri"/>
          <w:sz w:val="20"/>
          <w:szCs w:val="20"/>
          <w:color w:val="auto"/>
        </w:rPr>
      </w:pPr>
    </w:p>
    <w:p>
      <w:pPr>
        <w:ind w:left="900" w:hanging="336"/>
        <w:spacing w:after="0" w:line="262" w:lineRule="auto"/>
        <w:tabs>
          <w:tab w:leader="none" w:pos="900" w:val="left"/>
        </w:tabs>
        <w:numPr>
          <w:ilvl w:val="1"/>
          <w:numId w:val="77"/>
        </w:numPr>
        <w:rPr>
          <w:rFonts w:ascii="Calibri" w:cs="Calibri" w:eastAsia="Calibri" w:hAnsi="Calibri"/>
          <w:sz w:val="20"/>
          <w:szCs w:val="20"/>
          <w:color w:val="auto"/>
        </w:rPr>
      </w:pPr>
      <w:r>
        <w:rPr>
          <w:rFonts w:ascii="Calibri" w:cs="Calibri" w:eastAsia="Calibri" w:hAnsi="Calibri"/>
          <w:sz w:val="20"/>
          <w:szCs w:val="20"/>
          <w:color w:val="auto"/>
        </w:rPr>
        <w:t>We have filed, or incorporated into this report by reference, the exhibits listed on the accompanying Index to Exhibits immediately preceding the signature page of this Annual Report on Form 10 - K.</w:t>
      </w:r>
    </w:p>
    <w:p>
      <w:pPr>
        <w:spacing w:after="0" w:line="22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16.  </w:t>
      </w:r>
      <w:r>
        <w:rPr>
          <w:rFonts w:ascii="Calibri" w:cs="Calibri" w:eastAsia="Calibri" w:hAnsi="Calibri"/>
          <w:sz w:val="20"/>
          <w:szCs w:val="20"/>
          <w:b w:val="1"/>
          <w:bCs w:val="1"/>
          <w:i w:val="1"/>
          <w:iCs w:val="1"/>
          <w:color w:val="auto"/>
        </w:rPr>
        <w:t>Form 10 - K Summary</w:t>
      </w:r>
    </w:p>
    <w:p>
      <w:pPr>
        <w:spacing w:after="0" w:line="161" w:lineRule="exact"/>
        <w:rPr>
          <w:sz w:val="20"/>
          <w:szCs w:val="20"/>
          <w:color w:val="auto"/>
        </w:rPr>
      </w:pPr>
    </w:p>
    <w:p>
      <w:pPr>
        <w:ind w:left="720"/>
        <w:spacing w:after="0"/>
        <w:rPr>
          <w:sz w:val="20"/>
          <w:szCs w:val="20"/>
          <w:color w:val="auto"/>
        </w:rPr>
      </w:pPr>
      <w:r>
        <w:rPr>
          <w:rFonts w:ascii="Calibri" w:cs="Calibri" w:eastAsia="Calibri" w:hAnsi="Calibri"/>
          <w:sz w:val="20"/>
          <w:szCs w:val="20"/>
          <w:color w:val="auto"/>
        </w:rPr>
        <w:t>None.</w:t>
      </w:r>
    </w:p>
    <w:p>
      <w:pPr>
        <w:sectPr>
          <w:pgSz w:w="12240" w:h="15840" w:orient="portrait"/>
          <w:cols w:equalWidth="0" w:num="1">
            <w:col w:w="11160"/>
          </w:cols>
          <w:pgMar w:left="540" w:top="53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116</w:t>
      </w:r>
    </w:p>
    <w:p>
      <w:pPr>
        <w:sectPr>
          <w:pgSz w:w="12240" w:h="15840" w:orient="portrait"/>
          <w:cols w:equalWidth="0" w:num="1">
            <w:col w:w="11160"/>
          </w:cols>
          <w:pgMar w:left="540" w:top="531" w:right="540" w:bottom="0" w:gutter="0" w:footer="0" w:header="0"/>
          <w:type w:val="continuous"/>
        </w:sectPr>
      </w:pPr>
    </w:p>
    <w:bookmarkStart w:id="118" w:name="page119"/>
    <w:bookmarkEnd w:id="118"/>
    <w:p>
      <w:pPr>
        <w:jc w:val="center"/>
        <w:spacing w:after="0"/>
        <w:rPr>
          <w:sz w:val="20"/>
          <w:szCs w:val="20"/>
          <w:color w:val="auto"/>
        </w:rPr>
      </w:pPr>
      <w:r>
        <w:rPr>
          <w:rFonts w:ascii="Calibri" w:cs="Calibri" w:eastAsia="Calibri" w:hAnsi="Calibri"/>
          <w:sz w:val="20"/>
          <w:szCs w:val="20"/>
          <w:b w:val="1"/>
          <w:bCs w:val="1"/>
          <w:color w:val="auto"/>
        </w:rPr>
        <w:t>INDEX TO EXHIBITS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0" w:type="dxa"/>
            <w:vAlign w:val="bottom"/>
            <w:vMerge w:val="restart"/>
          </w:tcPr>
          <w:p>
            <w:pPr>
              <w:spacing w:after="0"/>
              <w:rPr>
                <w:sz w:val="20"/>
                <w:szCs w:val="20"/>
                <w:color w:val="auto"/>
              </w:rPr>
            </w:pPr>
            <w:r>
              <w:rPr>
                <w:rFonts w:ascii="Calibri" w:cs="Calibri" w:eastAsia="Calibri" w:hAnsi="Calibri"/>
                <w:sz w:val="15"/>
                <w:szCs w:val="15"/>
                <w:b w:val="1"/>
                <w:bCs w:val="1"/>
                <w:color w:val="auto"/>
              </w:rPr>
              <w:t>Exhibit</w:t>
            </w:r>
          </w:p>
        </w:tc>
        <w:tc>
          <w:tcPr>
            <w:tcW w:w="28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Borders>
              <w:bottom w:val="single" w:sz="8" w:color="auto"/>
            </w:tcBorders>
            <w:gridSpan w:val="5"/>
          </w:tcPr>
          <w:p>
            <w:pPr>
              <w:ind w:left="620"/>
              <w:spacing w:after="0"/>
              <w:rPr>
                <w:sz w:val="20"/>
                <w:szCs w:val="20"/>
                <w:color w:val="auto"/>
              </w:rPr>
            </w:pPr>
            <w:r>
              <w:rPr>
                <w:rFonts w:ascii="Calibri" w:cs="Calibri" w:eastAsia="Calibri" w:hAnsi="Calibri"/>
                <w:sz w:val="15"/>
                <w:szCs w:val="15"/>
                <w:b w:val="1"/>
                <w:bCs w:val="1"/>
                <w:color w:val="auto"/>
              </w:rPr>
              <w:t>Incorporated by Reference</w:t>
            </w:r>
          </w:p>
        </w:tc>
        <w:tc>
          <w:tcPr>
            <w:tcW w:w="0" w:type="dxa"/>
            <w:vAlign w:val="bottom"/>
          </w:tcPr>
          <w:p>
            <w:pPr>
              <w:spacing w:after="0"/>
              <w:rPr>
                <w:sz w:val="1"/>
                <w:szCs w:val="1"/>
                <w:color w:val="auto"/>
              </w:rPr>
            </w:pPr>
          </w:p>
        </w:tc>
      </w:tr>
      <w:tr>
        <w:trPr>
          <w:trHeight w:val="160"/>
        </w:trPr>
        <w:tc>
          <w:tcPr>
            <w:tcW w:w="9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spacing w:after="0" w:line="161" w:lineRule="exact"/>
              <w:rPr>
                <w:sz w:val="20"/>
                <w:szCs w:val="20"/>
                <w:color w:val="auto"/>
              </w:rPr>
            </w:pPr>
            <w:r>
              <w:rPr>
                <w:rFonts w:ascii="Calibri" w:cs="Calibri" w:eastAsia="Calibri" w:hAnsi="Calibri"/>
                <w:sz w:val="15"/>
                <w:szCs w:val="15"/>
                <w:b w:val="1"/>
                <w:bCs w:val="1"/>
                <w:color w:val="auto"/>
              </w:rPr>
              <w:t>Filed</w:t>
            </w:r>
          </w:p>
        </w:tc>
        <w:tc>
          <w:tcPr>
            <w:tcW w:w="0" w:type="dxa"/>
            <w:vAlign w:val="bottom"/>
          </w:tcPr>
          <w:p>
            <w:pPr>
              <w:spacing w:after="0"/>
              <w:rPr>
                <w:sz w:val="1"/>
                <w:szCs w:val="1"/>
                <w:color w:val="auto"/>
              </w:rPr>
            </w:pPr>
          </w:p>
        </w:tc>
      </w:tr>
      <w:tr>
        <w:trPr>
          <w:trHeight w:val="195"/>
        </w:trPr>
        <w:tc>
          <w:tcPr>
            <w:tcW w:w="900" w:type="dxa"/>
            <w:vAlign w:val="bottom"/>
            <w:tcBorders>
              <w:bottom w:val="single" w:sz="8" w:color="auto"/>
            </w:tcBorders>
          </w:tcPr>
          <w:p>
            <w:pPr>
              <w:spacing w:after="0"/>
              <w:rPr>
                <w:sz w:val="20"/>
                <w:szCs w:val="20"/>
                <w:color w:val="auto"/>
              </w:rPr>
            </w:pPr>
            <w:r>
              <w:rPr>
                <w:rFonts w:ascii="Calibri" w:cs="Calibri" w:eastAsia="Calibri" w:hAnsi="Calibri"/>
                <w:sz w:val="15"/>
                <w:szCs w:val="15"/>
                <w:b w:val="1"/>
                <w:bCs w:val="1"/>
                <w:color w:val="auto"/>
              </w:rPr>
              <w:t>Number</w:t>
            </w:r>
          </w:p>
        </w:tc>
        <w:tc>
          <w:tcPr>
            <w:tcW w:w="280" w:type="dxa"/>
            <w:vAlign w:val="bottom"/>
          </w:tcPr>
          <w:p>
            <w:pPr>
              <w:spacing w:after="0"/>
              <w:rPr>
                <w:sz w:val="16"/>
                <w:szCs w:val="16"/>
                <w:color w:val="auto"/>
              </w:rPr>
            </w:pPr>
          </w:p>
        </w:tc>
        <w:tc>
          <w:tcPr>
            <w:tcW w:w="6340" w:type="dxa"/>
            <w:vAlign w:val="bottom"/>
            <w:tcBorders>
              <w:bottom w:val="single" w:sz="8" w:color="auto"/>
            </w:tcBorders>
          </w:tcPr>
          <w:p>
            <w:pPr>
              <w:ind w:left="2640"/>
              <w:spacing w:after="0"/>
              <w:rPr>
                <w:sz w:val="20"/>
                <w:szCs w:val="20"/>
                <w:color w:val="auto"/>
              </w:rPr>
            </w:pPr>
            <w:r>
              <w:rPr>
                <w:rFonts w:ascii="Calibri" w:cs="Calibri" w:eastAsia="Calibri" w:hAnsi="Calibri"/>
                <w:sz w:val="15"/>
                <w:szCs w:val="15"/>
                <w:b w:val="1"/>
                <w:bCs w:val="1"/>
                <w:color w:val="auto"/>
              </w:rPr>
              <w:t>Exhibit Description</w:t>
            </w:r>
          </w:p>
        </w:tc>
        <w:tc>
          <w:tcPr>
            <w:tcW w:w="14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8"/>
              </w:rPr>
              <w:t>Form</w:t>
            </w:r>
          </w:p>
        </w:tc>
        <w:tc>
          <w:tcPr>
            <w:tcW w:w="120" w:type="dxa"/>
            <w:vAlign w:val="bottom"/>
          </w:tcPr>
          <w:p>
            <w:pPr>
              <w:spacing w:after="0"/>
              <w:rPr>
                <w:sz w:val="16"/>
                <w:szCs w:val="16"/>
                <w:color w:val="auto"/>
              </w:rPr>
            </w:pPr>
          </w:p>
        </w:tc>
        <w:tc>
          <w:tcPr>
            <w:tcW w:w="1160" w:type="dxa"/>
            <w:vAlign w:val="bottom"/>
            <w:tcBorders>
              <w:bottom w:val="single" w:sz="8" w:color="auto"/>
            </w:tcBorders>
          </w:tcPr>
          <w:p>
            <w:pPr>
              <w:ind w:left="440"/>
              <w:spacing w:after="0"/>
              <w:rPr>
                <w:sz w:val="20"/>
                <w:szCs w:val="20"/>
                <w:color w:val="auto"/>
              </w:rPr>
            </w:pPr>
            <w:r>
              <w:rPr>
                <w:rFonts w:ascii="Calibri" w:cs="Calibri" w:eastAsia="Calibri" w:hAnsi="Calibri"/>
                <w:sz w:val="15"/>
                <w:szCs w:val="15"/>
                <w:b w:val="1"/>
                <w:bCs w:val="1"/>
                <w:color w:val="auto"/>
              </w:rPr>
              <w:t>Date</w:t>
            </w:r>
          </w:p>
        </w:tc>
        <w:tc>
          <w:tcPr>
            <w:tcW w:w="120" w:type="dxa"/>
            <w:vAlign w:val="bottom"/>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Calibri" w:cs="Calibri" w:eastAsia="Calibri" w:hAnsi="Calibri"/>
                <w:sz w:val="15"/>
                <w:szCs w:val="15"/>
                <w:b w:val="1"/>
                <w:bCs w:val="1"/>
                <w:color w:val="auto"/>
              </w:rPr>
              <w:t>Number</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9"/>
              </w:rPr>
              <w:t>Herewith</w:t>
            </w:r>
          </w:p>
        </w:tc>
        <w:tc>
          <w:tcPr>
            <w:tcW w:w="0" w:type="dxa"/>
            <w:vAlign w:val="bottom"/>
          </w:tcPr>
          <w:p>
            <w:pPr>
              <w:spacing w:after="0"/>
              <w:rPr>
                <w:sz w:val="1"/>
                <w:szCs w:val="1"/>
                <w:color w:val="auto"/>
              </w:rPr>
            </w:pPr>
          </w:p>
        </w:tc>
      </w:tr>
      <w:tr>
        <w:trPr>
          <w:trHeight w:val="366"/>
        </w:trPr>
        <w:tc>
          <w:tcPr>
            <w:tcW w:w="900" w:type="dxa"/>
            <w:vAlign w:val="bottom"/>
          </w:tcPr>
          <w:p>
            <w:pPr>
              <w:spacing w:after="0"/>
              <w:rPr>
                <w:sz w:val="20"/>
                <w:szCs w:val="20"/>
                <w:color w:val="auto"/>
              </w:rPr>
            </w:pPr>
            <w:r>
              <w:rPr>
                <w:rFonts w:ascii="Calibri" w:cs="Calibri" w:eastAsia="Calibri" w:hAnsi="Calibri"/>
                <w:sz w:val="19"/>
                <w:szCs w:val="19"/>
                <w:color w:val="auto"/>
              </w:rPr>
              <w:t>2.1</w:t>
            </w:r>
            <w:r>
              <w:rPr>
                <w:rFonts w:ascii="Calibri" w:cs="Calibri" w:eastAsia="Calibri" w:hAnsi="Calibri"/>
                <w:sz w:val="20"/>
                <w:szCs w:val="20"/>
                <w:color w:val="auto"/>
              </w:rPr>
              <w:t>††</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Agreement and Plan of Merger, by and among Coherus BioSciences, Inc.,</w:t>
            </w:r>
          </w:p>
        </w:tc>
        <w:tc>
          <w:tcPr>
            <w:tcW w:w="620" w:type="dxa"/>
            <w:vAlign w:val="bottom"/>
            <w:gridSpan w:val="2"/>
          </w:tcPr>
          <w:p>
            <w:pPr>
              <w:jc w:val="center"/>
              <w:ind w:right="120"/>
              <w:spacing w:after="0"/>
              <w:rPr>
                <w:sz w:val="20"/>
                <w:szCs w:val="20"/>
                <w:color w:val="auto"/>
              </w:rPr>
            </w:pPr>
            <w:r>
              <w:rPr>
                <w:rFonts w:ascii="Calibri" w:cs="Calibri" w:eastAsia="Calibri" w:hAnsi="Calibri"/>
                <w:sz w:val="20"/>
                <w:szCs w:val="20"/>
                <w:color w:val="auto"/>
                <w:w w:val="97"/>
              </w:rPr>
              <w:t>8-K</w:t>
            </w:r>
          </w:p>
        </w:tc>
        <w:tc>
          <w:tcPr>
            <w:tcW w:w="1160" w:type="dxa"/>
            <w:vAlign w:val="bottom"/>
          </w:tcPr>
          <w:p>
            <w:pPr>
              <w:jc w:val="center"/>
              <w:spacing w:after="0"/>
              <w:rPr>
                <w:sz w:val="20"/>
                <w:szCs w:val="20"/>
                <w:color w:val="auto"/>
              </w:rPr>
            </w:pPr>
            <w:r>
              <w:rPr>
                <w:rFonts w:ascii="Calibri" w:cs="Calibri" w:eastAsia="Calibri" w:hAnsi="Calibri"/>
                <w:sz w:val="20"/>
                <w:szCs w:val="20"/>
                <w:color w:val="auto"/>
                <w:w w:val="99"/>
              </w:rPr>
              <w:t>6/16/2023</w:t>
            </w:r>
          </w:p>
        </w:tc>
        <w:tc>
          <w:tcPr>
            <w:tcW w:w="900" w:type="dxa"/>
            <w:vAlign w:val="bottom"/>
            <w:gridSpan w:val="2"/>
          </w:tcPr>
          <w:p>
            <w:pPr>
              <w:jc w:val="center"/>
              <w:ind w:left="20"/>
              <w:spacing w:after="0"/>
              <w:rPr>
                <w:sz w:val="20"/>
                <w:szCs w:val="20"/>
                <w:color w:val="auto"/>
              </w:rPr>
            </w:pPr>
            <w:r>
              <w:rPr>
                <w:rFonts w:ascii="Calibri" w:cs="Calibri" w:eastAsia="Calibri" w:hAnsi="Calibri"/>
                <w:sz w:val="20"/>
                <w:szCs w:val="20"/>
                <w:color w:val="auto"/>
                <w:w w:val="86"/>
              </w:rPr>
              <w:t>2. 1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Crimson Merger Sub I, Inc., Crimson Merger Sub II, LLC and Surface Oncology,</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Inc., dated June 15, 2023 (Form of CVR Agreement included as Exhibit A</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thereto)</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2.2</w:t>
            </w:r>
            <w:r>
              <w:rPr>
                <w:rFonts w:ascii="Calibri" w:cs="Calibri" w:eastAsia="Calibri" w:hAnsi="Calibri"/>
                <w:sz w:val="20"/>
                <w:szCs w:val="20"/>
                <w:color w:val="auto"/>
              </w:rPr>
              <w:t>††</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Purchase and Sale Agreement, by and between Coherus BioSciences, Inc. and</w:t>
            </w:r>
          </w:p>
        </w:tc>
        <w:tc>
          <w:tcPr>
            <w:tcW w:w="620" w:type="dxa"/>
            <w:vAlign w:val="bottom"/>
            <w:gridSpan w:val="2"/>
          </w:tcPr>
          <w:p>
            <w:pPr>
              <w:jc w:val="center"/>
              <w:ind w:right="120"/>
              <w:spacing w:after="0"/>
              <w:rPr>
                <w:sz w:val="20"/>
                <w:szCs w:val="20"/>
                <w:color w:val="auto"/>
              </w:rPr>
            </w:pPr>
            <w:r>
              <w:rPr>
                <w:rFonts w:ascii="Calibri" w:cs="Calibri" w:eastAsia="Calibri" w:hAnsi="Calibri"/>
                <w:sz w:val="20"/>
                <w:szCs w:val="20"/>
                <w:color w:val="auto"/>
                <w:w w:val="97"/>
              </w:rPr>
              <w:t>8-K</w:t>
            </w:r>
          </w:p>
        </w:tc>
        <w:tc>
          <w:tcPr>
            <w:tcW w:w="1160" w:type="dxa"/>
            <w:vAlign w:val="bottom"/>
          </w:tcPr>
          <w:p>
            <w:pPr>
              <w:jc w:val="center"/>
              <w:spacing w:after="0"/>
              <w:rPr>
                <w:sz w:val="20"/>
                <w:szCs w:val="20"/>
                <w:color w:val="auto"/>
              </w:rPr>
            </w:pPr>
            <w:r>
              <w:rPr>
                <w:rFonts w:ascii="Calibri" w:cs="Calibri" w:eastAsia="Calibri" w:hAnsi="Calibri"/>
                <w:sz w:val="20"/>
                <w:szCs w:val="20"/>
                <w:color w:val="auto"/>
                <w:w w:val="99"/>
              </w:rPr>
              <w:t>1/22/2024</w:t>
            </w:r>
          </w:p>
        </w:tc>
        <w:tc>
          <w:tcPr>
            <w:tcW w:w="900" w:type="dxa"/>
            <w:vAlign w:val="bottom"/>
            <w:gridSpan w:val="2"/>
          </w:tcPr>
          <w:p>
            <w:pPr>
              <w:jc w:val="center"/>
              <w:ind w:left="20"/>
              <w:spacing w:after="0"/>
              <w:rPr>
                <w:sz w:val="20"/>
                <w:szCs w:val="20"/>
                <w:color w:val="auto"/>
              </w:rPr>
            </w:pPr>
            <w:r>
              <w:rPr>
                <w:rFonts w:ascii="Calibri" w:cs="Calibri" w:eastAsia="Calibri" w:hAnsi="Calibri"/>
                <w:sz w:val="20"/>
                <w:szCs w:val="20"/>
                <w:color w:val="auto"/>
              </w:rPr>
              <w:t>2.1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Sandoz Inc., dated January 19, 2024</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7"/>
        </w:trPr>
        <w:tc>
          <w:tcPr>
            <w:tcW w:w="900" w:type="dxa"/>
            <w:vAlign w:val="bottom"/>
          </w:tcPr>
          <w:p>
            <w:pPr>
              <w:spacing w:after="0"/>
              <w:rPr>
                <w:sz w:val="20"/>
                <w:szCs w:val="20"/>
                <w:color w:val="auto"/>
              </w:rPr>
            </w:pPr>
            <w:r>
              <w:rPr>
                <w:rFonts w:ascii="Calibri" w:cs="Calibri" w:eastAsia="Calibri" w:hAnsi="Calibri"/>
                <w:sz w:val="19"/>
                <w:szCs w:val="19"/>
                <w:color w:val="auto"/>
              </w:rPr>
              <w:t>2.3</w:t>
            </w:r>
            <w:r>
              <w:rPr>
                <w:rFonts w:ascii="Calibri" w:cs="Calibri" w:eastAsia="Calibri" w:hAnsi="Calibri"/>
                <w:sz w:val="20"/>
                <w:szCs w:val="20"/>
                <w:color w:val="auto"/>
              </w:rPr>
              <w:t>††</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Asset Purchase Agreement, by and between Coherus BioSciences, Inc. and</w:t>
            </w:r>
          </w:p>
        </w:tc>
        <w:tc>
          <w:tcPr>
            <w:tcW w:w="620" w:type="dxa"/>
            <w:vAlign w:val="bottom"/>
            <w:gridSpan w:val="2"/>
          </w:tcPr>
          <w:p>
            <w:pPr>
              <w:jc w:val="center"/>
              <w:ind w:right="120"/>
              <w:spacing w:after="0"/>
              <w:rPr>
                <w:sz w:val="20"/>
                <w:szCs w:val="20"/>
                <w:color w:val="auto"/>
              </w:rPr>
            </w:pPr>
            <w:r>
              <w:rPr>
                <w:rFonts w:ascii="Calibri" w:cs="Calibri" w:eastAsia="Calibri" w:hAnsi="Calibri"/>
                <w:sz w:val="20"/>
                <w:szCs w:val="20"/>
                <w:color w:val="auto"/>
                <w:w w:val="97"/>
              </w:rPr>
              <w:t>8-K</w:t>
            </w:r>
          </w:p>
        </w:tc>
        <w:tc>
          <w:tcPr>
            <w:tcW w:w="1160" w:type="dxa"/>
            <w:vAlign w:val="bottom"/>
          </w:tcPr>
          <w:p>
            <w:pPr>
              <w:jc w:val="center"/>
              <w:spacing w:after="0"/>
              <w:rPr>
                <w:sz w:val="20"/>
                <w:szCs w:val="20"/>
                <w:color w:val="auto"/>
              </w:rPr>
            </w:pPr>
            <w:r>
              <w:rPr>
                <w:rFonts w:ascii="Calibri" w:cs="Calibri" w:eastAsia="Calibri" w:hAnsi="Calibri"/>
                <w:sz w:val="20"/>
                <w:szCs w:val="20"/>
                <w:color w:val="auto"/>
                <w:w w:val="99"/>
              </w:rPr>
              <w:t>6/27/2024</w:t>
            </w:r>
          </w:p>
        </w:tc>
        <w:tc>
          <w:tcPr>
            <w:tcW w:w="900" w:type="dxa"/>
            <w:vAlign w:val="bottom"/>
            <w:gridSpan w:val="2"/>
          </w:tcPr>
          <w:p>
            <w:pPr>
              <w:jc w:val="center"/>
              <w:ind w:left="20"/>
              <w:spacing w:after="0"/>
              <w:rPr>
                <w:sz w:val="20"/>
                <w:szCs w:val="20"/>
                <w:color w:val="auto"/>
              </w:rPr>
            </w:pPr>
            <w:r>
              <w:rPr>
                <w:rFonts w:ascii="Calibri" w:cs="Calibri" w:eastAsia="Calibri" w:hAnsi="Calibri"/>
                <w:sz w:val="20"/>
                <w:szCs w:val="20"/>
                <w:color w:val="auto"/>
              </w:rPr>
              <w:t>2.1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Hong Kong King-Friend Industrial Company Ltd., dated as of June 26, 2024</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2.4</w:t>
            </w:r>
            <w:r>
              <w:rPr>
                <w:rFonts w:ascii="Calibri" w:cs="Calibri" w:eastAsia="Calibri" w:hAnsi="Calibri"/>
                <w:sz w:val="20"/>
                <w:szCs w:val="20"/>
                <w:color w:val="auto"/>
              </w:rPr>
              <w:t>††</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Asset Purchase Agreement, by and between Coherus BioSciences, Inc. and</w:t>
            </w:r>
          </w:p>
        </w:tc>
        <w:tc>
          <w:tcPr>
            <w:tcW w:w="620" w:type="dxa"/>
            <w:vAlign w:val="bottom"/>
            <w:gridSpan w:val="2"/>
          </w:tcPr>
          <w:p>
            <w:pPr>
              <w:jc w:val="center"/>
              <w:ind w:right="120"/>
              <w:spacing w:after="0"/>
              <w:rPr>
                <w:sz w:val="20"/>
                <w:szCs w:val="20"/>
                <w:color w:val="auto"/>
              </w:rPr>
            </w:pPr>
            <w:r>
              <w:rPr>
                <w:rFonts w:ascii="Calibri" w:cs="Calibri" w:eastAsia="Calibri" w:hAnsi="Calibri"/>
                <w:sz w:val="20"/>
                <w:szCs w:val="20"/>
                <w:color w:val="auto"/>
                <w:w w:val="97"/>
              </w:rPr>
              <w:t>8-K</w:t>
            </w:r>
          </w:p>
        </w:tc>
        <w:tc>
          <w:tcPr>
            <w:tcW w:w="1160" w:type="dxa"/>
            <w:vAlign w:val="bottom"/>
          </w:tcPr>
          <w:p>
            <w:pPr>
              <w:jc w:val="center"/>
              <w:spacing w:after="0"/>
              <w:rPr>
                <w:sz w:val="20"/>
                <w:szCs w:val="20"/>
                <w:color w:val="auto"/>
              </w:rPr>
            </w:pPr>
            <w:r>
              <w:rPr>
                <w:rFonts w:ascii="Calibri" w:cs="Calibri" w:eastAsia="Calibri" w:hAnsi="Calibri"/>
                <w:sz w:val="20"/>
                <w:szCs w:val="20"/>
                <w:color w:val="auto"/>
                <w:w w:val="99"/>
              </w:rPr>
              <w:t>12/3/2024</w:t>
            </w:r>
          </w:p>
        </w:tc>
        <w:tc>
          <w:tcPr>
            <w:tcW w:w="900" w:type="dxa"/>
            <w:vAlign w:val="bottom"/>
            <w:gridSpan w:val="2"/>
          </w:tcPr>
          <w:p>
            <w:pPr>
              <w:jc w:val="center"/>
              <w:ind w:left="20"/>
              <w:spacing w:after="0"/>
              <w:rPr>
                <w:sz w:val="20"/>
                <w:szCs w:val="20"/>
                <w:color w:val="auto"/>
              </w:rPr>
            </w:pPr>
            <w:r>
              <w:rPr>
                <w:rFonts w:ascii="Calibri" w:cs="Calibri" w:eastAsia="Calibri" w:hAnsi="Calibri"/>
                <w:sz w:val="20"/>
                <w:szCs w:val="20"/>
                <w:color w:val="auto"/>
              </w:rPr>
              <w:t>2.1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Intas Pharmaceuticals Ltd., dated December 2, 2024.</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8"/>
        </w:trPr>
        <w:tc>
          <w:tcPr>
            <w:tcW w:w="900" w:type="dxa"/>
            <w:vAlign w:val="bottom"/>
          </w:tcPr>
          <w:p>
            <w:pPr>
              <w:spacing w:after="0"/>
              <w:rPr>
                <w:sz w:val="20"/>
                <w:szCs w:val="20"/>
                <w:color w:val="auto"/>
              </w:rPr>
            </w:pPr>
            <w:r>
              <w:rPr>
                <w:rFonts w:ascii="Calibri" w:cs="Calibri" w:eastAsia="Calibri" w:hAnsi="Calibri"/>
                <w:sz w:val="19"/>
                <w:szCs w:val="19"/>
                <w:color w:val="auto"/>
              </w:rPr>
              <w:t>3.1</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Amended and Restated Certificate of Incorporation.</w:t>
            </w:r>
          </w:p>
        </w:tc>
        <w:tc>
          <w:tcPr>
            <w:tcW w:w="620" w:type="dxa"/>
            <w:vAlign w:val="bottom"/>
            <w:gridSpan w:val="2"/>
          </w:tcPr>
          <w:p>
            <w:pPr>
              <w:jc w:val="center"/>
              <w:ind w:right="140"/>
              <w:spacing w:after="0"/>
              <w:rPr>
                <w:sz w:val="20"/>
                <w:szCs w:val="20"/>
                <w:color w:val="auto"/>
              </w:rPr>
            </w:pPr>
            <w:r>
              <w:rPr>
                <w:rFonts w:ascii="Calibri" w:cs="Calibri" w:eastAsia="Calibri" w:hAnsi="Calibri"/>
                <w:sz w:val="20"/>
                <w:szCs w:val="20"/>
                <w:color w:val="auto"/>
                <w:w w:val="78"/>
              </w:rPr>
              <w:t>8 - K</w:t>
            </w:r>
          </w:p>
        </w:tc>
        <w:tc>
          <w:tcPr>
            <w:tcW w:w="1160" w:type="dxa"/>
            <w:vAlign w:val="bottom"/>
          </w:tcPr>
          <w:p>
            <w:pPr>
              <w:jc w:val="center"/>
              <w:spacing w:after="0"/>
              <w:rPr>
                <w:sz w:val="20"/>
                <w:szCs w:val="20"/>
                <w:color w:val="auto"/>
              </w:rPr>
            </w:pPr>
            <w:r>
              <w:rPr>
                <w:rFonts w:ascii="Calibri" w:cs="Calibri" w:eastAsia="Calibri" w:hAnsi="Calibri"/>
                <w:sz w:val="20"/>
                <w:szCs w:val="20"/>
                <w:color w:val="auto"/>
                <w:w w:val="99"/>
              </w:rPr>
              <w:t>11/13/2014</w:t>
            </w:r>
          </w:p>
        </w:tc>
        <w:tc>
          <w:tcPr>
            <w:tcW w:w="900" w:type="dxa"/>
            <w:vAlign w:val="bottom"/>
            <w:gridSpan w:val="2"/>
          </w:tcPr>
          <w:p>
            <w:pPr>
              <w:jc w:val="center"/>
              <w:ind w:left="20"/>
              <w:spacing w:after="0"/>
              <w:rPr>
                <w:sz w:val="20"/>
                <w:szCs w:val="20"/>
                <w:color w:val="auto"/>
              </w:rPr>
            </w:pPr>
            <w:r>
              <w:rPr>
                <w:rFonts w:ascii="Calibri" w:cs="Calibri" w:eastAsia="Calibri" w:hAnsi="Calibri"/>
                <w:sz w:val="20"/>
                <w:szCs w:val="20"/>
                <w:color w:val="auto"/>
              </w:rPr>
              <w:t>3.1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900" w:type="dxa"/>
            <w:vAlign w:val="bottom"/>
          </w:tcPr>
          <w:p>
            <w:pPr>
              <w:spacing w:after="0"/>
              <w:rPr>
                <w:sz w:val="20"/>
                <w:szCs w:val="20"/>
                <w:color w:val="auto"/>
              </w:rPr>
            </w:pPr>
            <w:r>
              <w:rPr>
                <w:rFonts w:ascii="Calibri" w:cs="Calibri" w:eastAsia="Calibri" w:hAnsi="Calibri"/>
                <w:sz w:val="19"/>
                <w:szCs w:val="19"/>
                <w:color w:val="auto"/>
              </w:rPr>
              <w:t>3.2</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Amended and Restated Bylaws.</w:t>
            </w:r>
          </w:p>
        </w:tc>
        <w:tc>
          <w:tcPr>
            <w:tcW w:w="620" w:type="dxa"/>
            <w:vAlign w:val="bottom"/>
            <w:gridSpan w:val="2"/>
          </w:tcPr>
          <w:p>
            <w:pPr>
              <w:jc w:val="center"/>
              <w:ind w:right="140"/>
              <w:spacing w:after="0"/>
              <w:rPr>
                <w:sz w:val="20"/>
                <w:szCs w:val="20"/>
                <w:color w:val="auto"/>
              </w:rPr>
            </w:pPr>
            <w:r>
              <w:rPr>
                <w:rFonts w:ascii="Calibri" w:cs="Calibri" w:eastAsia="Calibri" w:hAnsi="Calibri"/>
                <w:sz w:val="20"/>
                <w:szCs w:val="20"/>
                <w:color w:val="auto"/>
                <w:w w:val="78"/>
              </w:rPr>
              <w:t>8 - K</w:t>
            </w:r>
          </w:p>
        </w:tc>
        <w:tc>
          <w:tcPr>
            <w:tcW w:w="1160" w:type="dxa"/>
            <w:vAlign w:val="bottom"/>
          </w:tcPr>
          <w:p>
            <w:pPr>
              <w:jc w:val="center"/>
              <w:spacing w:after="0"/>
              <w:rPr>
                <w:sz w:val="20"/>
                <w:szCs w:val="20"/>
                <w:color w:val="auto"/>
              </w:rPr>
            </w:pPr>
            <w:r>
              <w:rPr>
                <w:rFonts w:ascii="Calibri" w:cs="Calibri" w:eastAsia="Calibri" w:hAnsi="Calibri"/>
                <w:sz w:val="20"/>
                <w:szCs w:val="20"/>
                <w:color w:val="auto"/>
                <w:w w:val="99"/>
              </w:rPr>
              <w:t>5/30/2025</w:t>
            </w:r>
          </w:p>
        </w:tc>
        <w:tc>
          <w:tcPr>
            <w:tcW w:w="900" w:type="dxa"/>
            <w:vAlign w:val="bottom"/>
            <w:gridSpan w:val="2"/>
          </w:tcPr>
          <w:p>
            <w:pPr>
              <w:jc w:val="center"/>
              <w:ind w:left="20"/>
              <w:spacing w:after="0"/>
              <w:rPr>
                <w:sz w:val="20"/>
                <w:szCs w:val="20"/>
                <w:color w:val="auto"/>
              </w:rPr>
            </w:pPr>
            <w:r>
              <w:rPr>
                <w:rFonts w:ascii="Calibri" w:cs="Calibri" w:eastAsia="Calibri" w:hAnsi="Calibri"/>
                <w:sz w:val="20"/>
                <w:szCs w:val="20"/>
                <w:color w:val="auto"/>
              </w:rPr>
              <w:t>3.2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3.3</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Certificate of Amendment to the Amended and Restated Certificate of</w:t>
            </w:r>
          </w:p>
        </w:tc>
        <w:tc>
          <w:tcPr>
            <w:tcW w:w="620" w:type="dxa"/>
            <w:vAlign w:val="bottom"/>
            <w:gridSpan w:val="2"/>
          </w:tcPr>
          <w:p>
            <w:pPr>
              <w:jc w:val="center"/>
              <w:ind w:right="140"/>
              <w:spacing w:after="0"/>
              <w:rPr>
                <w:sz w:val="20"/>
                <w:szCs w:val="20"/>
                <w:color w:val="auto"/>
              </w:rPr>
            </w:pPr>
            <w:r>
              <w:rPr>
                <w:rFonts w:ascii="Calibri" w:cs="Calibri" w:eastAsia="Calibri" w:hAnsi="Calibri"/>
                <w:sz w:val="20"/>
                <w:szCs w:val="20"/>
                <w:color w:val="auto"/>
                <w:w w:val="78"/>
              </w:rPr>
              <w:t>8 - K</w:t>
            </w:r>
          </w:p>
        </w:tc>
        <w:tc>
          <w:tcPr>
            <w:tcW w:w="1160" w:type="dxa"/>
            <w:vAlign w:val="bottom"/>
          </w:tcPr>
          <w:p>
            <w:pPr>
              <w:jc w:val="center"/>
              <w:spacing w:after="0"/>
              <w:rPr>
                <w:sz w:val="20"/>
                <w:szCs w:val="20"/>
                <w:color w:val="auto"/>
              </w:rPr>
            </w:pPr>
            <w:r>
              <w:rPr>
                <w:rFonts w:ascii="Calibri" w:cs="Calibri" w:eastAsia="Calibri" w:hAnsi="Calibri"/>
                <w:sz w:val="20"/>
                <w:szCs w:val="20"/>
                <w:color w:val="auto"/>
                <w:w w:val="99"/>
              </w:rPr>
              <w:t>5/30/2025</w:t>
            </w:r>
          </w:p>
        </w:tc>
        <w:tc>
          <w:tcPr>
            <w:tcW w:w="900" w:type="dxa"/>
            <w:vAlign w:val="bottom"/>
            <w:gridSpan w:val="2"/>
          </w:tcPr>
          <w:p>
            <w:pPr>
              <w:jc w:val="center"/>
              <w:ind w:left="20"/>
              <w:spacing w:after="0"/>
              <w:rPr>
                <w:sz w:val="20"/>
                <w:szCs w:val="20"/>
                <w:color w:val="auto"/>
              </w:rPr>
            </w:pPr>
            <w:r>
              <w:rPr>
                <w:rFonts w:ascii="Calibri" w:cs="Calibri" w:eastAsia="Calibri" w:hAnsi="Calibri"/>
                <w:sz w:val="20"/>
                <w:szCs w:val="20"/>
                <w:color w:val="auto"/>
              </w:rPr>
              <w:t>3.1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Incorporation of Coherus BioSciences, Inc., effective as of May 29, 2025.</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8"/>
        </w:trPr>
        <w:tc>
          <w:tcPr>
            <w:tcW w:w="900" w:type="dxa"/>
            <w:vAlign w:val="bottom"/>
          </w:tcPr>
          <w:p>
            <w:pPr>
              <w:spacing w:after="0"/>
              <w:rPr>
                <w:sz w:val="20"/>
                <w:szCs w:val="20"/>
                <w:color w:val="auto"/>
              </w:rPr>
            </w:pPr>
            <w:r>
              <w:rPr>
                <w:rFonts w:ascii="Calibri" w:cs="Calibri" w:eastAsia="Calibri" w:hAnsi="Calibri"/>
                <w:sz w:val="19"/>
                <w:szCs w:val="19"/>
                <w:color w:val="auto"/>
              </w:rPr>
              <w:t>4.1</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Reference is made to Exhibits 3.1, 3.2 and 3.3.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900" w:type="dxa"/>
            <w:vAlign w:val="bottom"/>
          </w:tcPr>
          <w:p>
            <w:pPr>
              <w:spacing w:after="0"/>
              <w:rPr>
                <w:sz w:val="20"/>
                <w:szCs w:val="20"/>
                <w:color w:val="auto"/>
              </w:rPr>
            </w:pPr>
            <w:r>
              <w:rPr>
                <w:rFonts w:ascii="Calibri" w:cs="Calibri" w:eastAsia="Calibri" w:hAnsi="Calibri"/>
                <w:sz w:val="19"/>
                <w:szCs w:val="19"/>
                <w:color w:val="auto"/>
              </w:rPr>
              <w:t>4.2</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Form of Common Stock Certificate.</w:t>
            </w:r>
          </w:p>
        </w:tc>
        <w:tc>
          <w:tcPr>
            <w:tcW w:w="620" w:type="dxa"/>
            <w:vAlign w:val="bottom"/>
            <w:gridSpan w:val="2"/>
          </w:tcPr>
          <w:p>
            <w:pPr>
              <w:jc w:val="center"/>
              <w:ind w:right="120"/>
              <w:spacing w:after="0"/>
              <w:rPr>
                <w:sz w:val="20"/>
                <w:szCs w:val="20"/>
                <w:color w:val="auto"/>
              </w:rPr>
            </w:pPr>
            <w:r>
              <w:rPr>
                <w:rFonts w:ascii="Calibri" w:cs="Calibri" w:eastAsia="Calibri" w:hAnsi="Calibri"/>
                <w:sz w:val="20"/>
                <w:szCs w:val="20"/>
                <w:color w:val="auto"/>
                <w:w w:val="85"/>
              </w:rPr>
              <w:t>S - 1/A</w:t>
            </w:r>
          </w:p>
        </w:tc>
        <w:tc>
          <w:tcPr>
            <w:tcW w:w="1160" w:type="dxa"/>
            <w:vAlign w:val="bottom"/>
          </w:tcPr>
          <w:p>
            <w:pPr>
              <w:jc w:val="center"/>
              <w:spacing w:after="0"/>
              <w:rPr>
                <w:sz w:val="20"/>
                <w:szCs w:val="20"/>
                <w:color w:val="auto"/>
              </w:rPr>
            </w:pPr>
            <w:r>
              <w:rPr>
                <w:rFonts w:ascii="Calibri" w:cs="Calibri" w:eastAsia="Calibri" w:hAnsi="Calibri"/>
                <w:sz w:val="20"/>
                <w:szCs w:val="20"/>
                <w:color w:val="auto"/>
                <w:w w:val="99"/>
              </w:rPr>
              <w:t>10/24/2014</w:t>
            </w:r>
          </w:p>
        </w:tc>
        <w:tc>
          <w:tcPr>
            <w:tcW w:w="900" w:type="dxa"/>
            <w:vAlign w:val="bottom"/>
            <w:gridSpan w:val="2"/>
          </w:tcPr>
          <w:p>
            <w:pPr>
              <w:jc w:val="center"/>
              <w:ind w:left="20"/>
              <w:spacing w:after="0"/>
              <w:rPr>
                <w:sz w:val="20"/>
                <w:szCs w:val="20"/>
                <w:color w:val="auto"/>
              </w:rPr>
            </w:pPr>
            <w:r>
              <w:rPr>
                <w:rFonts w:ascii="Calibri" w:cs="Calibri" w:eastAsia="Calibri" w:hAnsi="Calibri"/>
                <w:sz w:val="20"/>
                <w:szCs w:val="20"/>
                <w:color w:val="auto"/>
              </w:rPr>
              <w:t>4.2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4.3</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Description of Coherus’ Securities Registered Pursuant to Section 12 of the</w:t>
            </w:r>
          </w:p>
        </w:tc>
        <w:tc>
          <w:tcPr>
            <w:tcW w:w="620" w:type="dxa"/>
            <w:vAlign w:val="bottom"/>
            <w:gridSpan w:val="2"/>
          </w:tcPr>
          <w:p>
            <w:pPr>
              <w:jc w:val="center"/>
              <w:ind w:right="120"/>
              <w:spacing w:after="0"/>
              <w:rPr>
                <w:sz w:val="20"/>
                <w:szCs w:val="20"/>
                <w:color w:val="auto"/>
              </w:rPr>
            </w:pPr>
            <w:r>
              <w:rPr>
                <w:rFonts w:ascii="Calibri" w:cs="Calibri" w:eastAsia="Calibri" w:hAnsi="Calibri"/>
                <w:sz w:val="20"/>
                <w:szCs w:val="20"/>
                <w:color w:val="auto"/>
              </w:rPr>
              <w:t>10-K</w:t>
            </w:r>
          </w:p>
        </w:tc>
        <w:tc>
          <w:tcPr>
            <w:tcW w:w="1160" w:type="dxa"/>
            <w:vAlign w:val="bottom"/>
          </w:tcPr>
          <w:p>
            <w:pPr>
              <w:jc w:val="center"/>
              <w:spacing w:after="0"/>
              <w:rPr>
                <w:sz w:val="20"/>
                <w:szCs w:val="20"/>
                <w:color w:val="auto"/>
              </w:rPr>
            </w:pPr>
            <w:r>
              <w:rPr>
                <w:rFonts w:ascii="Calibri" w:cs="Calibri" w:eastAsia="Calibri" w:hAnsi="Calibri"/>
                <w:sz w:val="20"/>
                <w:szCs w:val="20"/>
                <w:color w:val="auto"/>
                <w:w w:val="99"/>
              </w:rPr>
              <w:t>2/27/2020</w:t>
            </w:r>
          </w:p>
        </w:tc>
        <w:tc>
          <w:tcPr>
            <w:tcW w:w="900" w:type="dxa"/>
            <w:vAlign w:val="bottom"/>
            <w:gridSpan w:val="2"/>
          </w:tcPr>
          <w:p>
            <w:pPr>
              <w:jc w:val="center"/>
              <w:ind w:left="20"/>
              <w:spacing w:after="0"/>
              <w:rPr>
                <w:sz w:val="20"/>
                <w:szCs w:val="20"/>
                <w:color w:val="auto"/>
              </w:rPr>
            </w:pPr>
            <w:r>
              <w:rPr>
                <w:rFonts w:ascii="Calibri" w:cs="Calibri" w:eastAsia="Calibri" w:hAnsi="Calibri"/>
                <w:sz w:val="20"/>
                <w:szCs w:val="20"/>
                <w:color w:val="auto"/>
              </w:rPr>
              <w:t>4.3</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Securities Exchange Act of 1934.</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7"/>
        </w:trPr>
        <w:tc>
          <w:tcPr>
            <w:tcW w:w="900" w:type="dxa"/>
            <w:vAlign w:val="bottom"/>
          </w:tcPr>
          <w:p>
            <w:pPr>
              <w:spacing w:after="0"/>
              <w:rPr>
                <w:sz w:val="20"/>
                <w:szCs w:val="20"/>
                <w:color w:val="auto"/>
              </w:rPr>
            </w:pPr>
            <w:r>
              <w:rPr>
                <w:rFonts w:ascii="Calibri" w:cs="Calibri" w:eastAsia="Calibri" w:hAnsi="Calibri"/>
                <w:sz w:val="19"/>
                <w:szCs w:val="19"/>
                <w:color w:val="auto"/>
              </w:rPr>
              <w:t>4.4</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Indenture, dated April 17, 2020, by and between Coherus BioSciences, Inc. and</w:t>
            </w:r>
          </w:p>
        </w:tc>
        <w:tc>
          <w:tcPr>
            <w:tcW w:w="620" w:type="dxa"/>
            <w:vAlign w:val="bottom"/>
            <w:gridSpan w:val="2"/>
          </w:tcPr>
          <w:p>
            <w:pPr>
              <w:jc w:val="center"/>
              <w:ind w:right="120"/>
              <w:spacing w:after="0"/>
              <w:rPr>
                <w:sz w:val="20"/>
                <w:szCs w:val="20"/>
                <w:color w:val="auto"/>
              </w:rPr>
            </w:pPr>
            <w:r>
              <w:rPr>
                <w:rFonts w:ascii="Calibri" w:cs="Calibri" w:eastAsia="Calibri" w:hAnsi="Calibri"/>
                <w:sz w:val="20"/>
                <w:szCs w:val="20"/>
                <w:color w:val="auto"/>
                <w:w w:val="97"/>
              </w:rPr>
              <w:t>8-K</w:t>
            </w:r>
          </w:p>
        </w:tc>
        <w:tc>
          <w:tcPr>
            <w:tcW w:w="1160" w:type="dxa"/>
            <w:vAlign w:val="bottom"/>
          </w:tcPr>
          <w:p>
            <w:pPr>
              <w:jc w:val="center"/>
              <w:spacing w:after="0"/>
              <w:rPr>
                <w:sz w:val="20"/>
                <w:szCs w:val="20"/>
                <w:color w:val="auto"/>
              </w:rPr>
            </w:pPr>
            <w:r>
              <w:rPr>
                <w:rFonts w:ascii="Calibri" w:cs="Calibri" w:eastAsia="Calibri" w:hAnsi="Calibri"/>
                <w:sz w:val="20"/>
                <w:szCs w:val="20"/>
                <w:color w:val="auto"/>
                <w:w w:val="99"/>
              </w:rPr>
              <w:t>4/17/2020</w:t>
            </w:r>
          </w:p>
        </w:tc>
        <w:tc>
          <w:tcPr>
            <w:tcW w:w="900" w:type="dxa"/>
            <w:vAlign w:val="bottom"/>
            <w:gridSpan w:val="2"/>
          </w:tcPr>
          <w:p>
            <w:pPr>
              <w:jc w:val="center"/>
              <w:ind w:left="20"/>
              <w:spacing w:after="0"/>
              <w:rPr>
                <w:sz w:val="20"/>
                <w:szCs w:val="20"/>
                <w:color w:val="auto"/>
              </w:rPr>
            </w:pPr>
            <w:r>
              <w:rPr>
                <w:rFonts w:ascii="Calibri" w:cs="Calibri" w:eastAsia="Calibri" w:hAnsi="Calibri"/>
                <w:sz w:val="20"/>
                <w:szCs w:val="20"/>
                <w:color w:val="auto"/>
              </w:rPr>
              <w:t>4.1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U.S. Bank National Association.</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4.5</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Form of certificate representing the 1.5% Convertible Senior Subordinated</w:t>
            </w:r>
          </w:p>
        </w:tc>
        <w:tc>
          <w:tcPr>
            <w:tcW w:w="620" w:type="dxa"/>
            <w:vAlign w:val="bottom"/>
            <w:gridSpan w:val="2"/>
          </w:tcPr>
          <w:p>
            <w:pPr>
              <w:jc w:val="center"/>
              <w:ind w:right="120"/>
              <w:spacing w:after="0"/>
              <w:rPr>
                <w:sz w:val="20"/>
                <w:szCs w:val="20"/>
                <w:color w:val="auto"/>
              </w:rPr>
            </w:pPr>
            <w:r>
              <w:rPr>
                <w:rFonts w:ascii="Calibri" w:cs="Calibri" w:eastAsia="Calibri" w:hAnsi="Calibri"/>
                <w:sz w:val="20"/>
                <w:szCs w:val="20"/>
                <w:color w:val="auto"/>
                <w:w w:val="97"/>
              </w:rPr>
              <w:t>8-K</w:t>
            </w:r>
          </w:p>
        </w:tc>
        <w:tc>
          <w:tcPr>
            <w:tcW w:w="1160" w:type="dxa"/>
            <w:vAlign w:val="bottom"/>
          </w:tcPr>
          <w:p>
            <w:pPr>
              <w:jc w:val="center"/>
              <w:spacing w:after="0"/>
              <w:rPr>
                <w:sz w:val="20"/>
                <w:szCs w:val="20"/>
                <w:color w:val="auto"/>
              </w:rPr>
            </w:pPr>
            <w:r>
              <w:rPr>
                <w:rFonts w:ascii="Calibri" w:cs="Calibri" w:eastAsia="Calibri" w:hAnsi="Calibri"/>
                <w:sz w:val="20"/>
                <w:szCs w:val="20"/>
                <w:color w:val="auto"/>
                <w:w w:val="99"/>
              </w:rPr>
              <w:t>4/17/2020</w:t>
            </w:r>
          </w:p>
        </w:tc>
        <w:tc>
          <w:tcPr>
            <w:tcW w:w="900" w:type="dxa"/>
            <w:vAlign w:val="bottom"/>
            <w:gridSpan w:val="2"/>
          </w:tcPr>
          <w:p>
            <w:pPr>
              <w:jc w:val="center"/>
              <w:ind w:left="20"/>
              <w:spacing w:after="0"/>
              <w:rPr>
                <w:sz w:val="20"/>
                <w:szCs w:val="20"/>
                <w:color w:val="auto"/>
              </w:rPr>
            </w:pPr>
            <w:r>
              <w:rPr>
                <w:rFonts w:ascii="Calibri" w:cs="Calibri" w:eastAsia="Calibri" w:hAnsi="Calibri"/>
                <w:sz w:val="20"/>
                <w:szCs w:val="20"/>
                <w:color w:val="auto"/>
              </w:rPr>
              <w:t>4.1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Notes due 2026.</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8"/>
        </w:trPr>
        <w:tc>
          <w:tcPr>
            <w:tcW w:w="900" w:type="dxa"/>
            <w:vAlign w:val="bottom"/>
          </w:tcPr>
          <w:p>
            <w:pPr>
              <w:spacing w:after="0"/>
              <w:rPr>
                <w:sz w:val="20"/>
                <w:szCs w:val="20"/>
                <w:color w:val="auto"/>
              </w:rPr>
            </w:pPr>
            <w:r>
              <w:rPr>
                <w:rFonts w:ascii="Calibri" w:cs="Calibri" w:eastAsia="Calibri" w:hAnsi="Calibri"/>
                <w:sz w:val="19"/>
                <w:szCs w:val="19"/>
                <w:color w:val="auto"/>
              </w:rPr>
              <w:t>4.6</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Notice of Successor Trustee to Indenture dated February 7, 2022</w:t>
            </w:r>
          </w:p>
        </w:tc>
        <w:tc>
          <w:tcPr>
            <w:tcW w:w="620" w:type="dxa"/>
            <w:vAlign w:val="bottom"/>
            <w:gridSpan w:val="2"/>
          </w:tcPr>
          <w:p>
            <w:pPr>
              <w:jc w:val="center"/>
              <w:ind w:right="140"/>
              <w:spacing w:after="0"/>
              <w:rPr>
                <w:sz w:val="20"/>
                <w:szCs w:val="20"/>
                <w:color w:val="auto"/>
              </w:rPr>
            </w:pPr>
            <w:r>
              <w:rPr>
                <w:rFonts w:ascii="Calibri" w:cs="Calibri" w:eastAsia="Calibri" w:hAnsi="Calibri"/>
                <w:sz w:val="20"/>
                <w:szCs w:val="20"/>
                <w:color w:val="auto"/>
              </w:rPr>
              <w:t>10-Q</w:t>
            </w:r>
          </w:p>
        </w:tc>
        <w:tc>
          <w:tcPr>
            <w:tcW w:w="1160" w:type="dxa"/>
            <w:vAlign w:val="bottom"/>
          </w:tcPr>
          <w:p>
            <w:pPr>
              <w:jc w:val="center"/>
              <w:spacing w:after="0"/>
              <w:rPr>
                <w:sz w:val="20"/>
                <w:szCs w:val="20"/>
                <w:color w:val="auto"/>
              </w:rPr>
            </w:pPr>
            <w:r>
              <w:rPr>
                <w:rFonts w:ascii="Calibri" w:cs="Calibri" w:eastAsia="Calibri" w:hAnsi="Calibri"/>
                <w:sz w:val="20"/>
                <w:szCs w:val="20"/>
                <w:color w:val="auto"/>
                <w:w w:val="99"/>
              </w:rPr>
              <w:t>5/5/2022</w:t>
            </w:r>
          </w:p>
        </w:tc>
        <w:tc>
          <w:tcPr>
            <w:tcW w:w="900" w:type="dxa"/>
            <w:vAlign w:val="bottom"/>
            <w:gridSpan w:val="2"/>
          </w:tcPr>
          <w:p>
            <w:pPr>
              <w:jc w:val="center"/>
              <w:ind w:left="20"/>
              <w:spacing w:after="0"/>
              <w:rPr>
                <w:sz w:val="20"/>
                <w:szCs w:val="20"/>
                <w:color w:val="auto"/>
              </w:rPr>
            </w:pPr>
            <w:r>
              <w:rPr>
                <w:rFonts w:ascii="Calibri" w:cs="Calibri" w:eastAsia="Calibri" w:hAnsi="Calibri"/>
                <w:sz w:val="20"/>
                <w:szCs w:val="20"/>
                <w:color w:val="auto"/>
              </w:rPr>
              <w:t>4.5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4.7</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First Supplemental Indenture, dated March 31, 2025, between Coherus</w:t>
            </w:r>
          </w:p>
        </w:tc>
        <w:tc>
          <w:tcPr>
            <w:tcW w:w="620" w:type="dxa"/>
            <w:vAlign w:val="bottom"/>
            <w:gridSpan w:val="2"/>
          </w:tcPr>
          <w:p>
            <w:pPr>
              <w:jc w:val="center"/>
              <w:ind w:right="120"/>
              <w:spacing w:after="0"/>
              <w:rPr>
                <w:sz w:val="20"/>
                <w:szCs w:val="20"/>
                <w:color w:val="auto"/>
              </w:rPr>
            </w:pPr>
            <w:r>
              <w:rPr>
                <w:rFonts w:ascii="Calibri" w:cs="Calibri" w:eastAsia="Calibri" w:hAnsi="Calibri"/>
                <w:sz w:val="20"/>
                <w:szCs w:val="20"/>
                <w:color w:val="auto"/>
                <w:w w:val="97"/>
              </w:rPr>
              <w:t>8-K</w:t>
            </w:r>
          </w:p>
        </w:tc>
        <w:tc>
          <w:tcPr>
            <w:tcW w:w="1160" w:type="dxa"/>
            <w:vAlign w:val="bottom"/>
          </w:tcPr>
          <w:p>
            <w:pPr>
              <w:jc w:val="center"/>
              <w:spacing w:after="0"/>
              <w:rPr>
                <w:sz w:val="20"/>
                <w:szCs w:val="20"/>
                <w:color w:val="auto"/>
              </w:rPr>
            </w:pPr>
            <w:r>
              <w:rPr>
                <w:rFonts w:ascii="Calibri" w:cs="Calibri" w:eastAsia="Calibri" w:hAnsi="Calibri"/>
                <w:sz w:val="20"/>
                <w:szCs w:val="20"/>
                <w:color w:val="auto"/>
                <w:w w:val="99"/>
              </w:rPr>
              <w:t>4/1/2025</w:t>
            </w:r>
          </w:p>
        </w:tc>
        <w:tc>
          <w:tcPr>
            <w:tcW w:w="900" w:type="dxa"/>
            <w:vAlign w:val="bottom"/>
            <w:gridSpan w:val="2"/>
          </w:tcPr>
          <w:p>
            <w:pPr>
              <w:jc w:val="center"/>
              <w:ind w:left="20"/>
              <w:spacing w:after="0"/>
              <w:rPr>
                <w:sz w:val="20"/>
                <w:szCs w:val="20"/>
                <w:color w:val="auto"/>
              </w:rPr>
            </w:pPr>
            <w:r>
              <w:rPr>
                <w:rFonts w:ascii="Calibri" w:cs="Calibri" w:eastAsia="Calibri" w:hAnsi="Calibri"/>
                <w:sz w:val="20"/>
                <w:szCs w:val="20"/>
                <w:color w:val="auto"/>
              </w:rPr>
              <w:t>4.1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BioSciences, Inc. and U.S. Bank Trust Company, National Association, as</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trustee.</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10.1(a)</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Standard Industrial/Commercial Multi-tenant Lease-Gross, effective</w:t>
            </w:r>
          </w:p>
        </w:tc>
        <w:tc>
          <w:tcPr>
            <w:tcW w:w="620" w:type="dxa"/>
            <w:vAlign w:val="bottom"/>
            <w:gridSpan w:val="2"/>
          </w:tcPr>
          <w:p>
            <w:pPr>
              <w:jc w:val="center"/>
              <w:ind w:right="120"/>
              <w:spacing w:after="0"/>
              <w:rPr>
                <w:sz w:val="20"/>
                <w:szCs w:val="20"/>
                <w:color w:val="auto"/>
              </w:rPr>
            </w:pPr>
            <w:r>
              <w:rPr>
                <w:rFonts w:ascii="Calibri" w:cs="Calibri" w:eastAsia="Calibri" w:hAnsi="Calibri"/>
                <w:sz w:val="20"/>
                <w:szCs w:val="20"/>
                <w:color w:val="auto"/>
                <w:w w:val="75"/>
              </w:rPr>
              <w:t>S - 1</w:t>
            </w:r>
          </w:p>
        </w:tc>
        <w:tc>
          <w:tcPr>
            <w:tcW w:w="1160" w:type="dxa"/>
            <w:vAlign w:val="bottom"/>
          </w:tcPr>
          <w:p>
            <w:pPr>
              <w:jc w:val="center"/>
              <w:spacing w:after="0"/>
              <w:rPr>
                <w:sz w:val="20"/>
                <w:szCs w:val="20"/>
                <w:color w:val="auto"/>
              </w:rPr>
            </w:pPr>
            <w:r>
              <w:rPr>
                <w:rFonts w:ascii="Calibri" w:cs="Calibri" w:eastAsia="Calibri" w:hAnsi="Calibri"/>
                <w:sz w:val="20"/>
                <w:szCs w:val="20"/>
                <w:color w:val="auto"/>
                <w:w w:val="99"/>
              </w:rPr>
              <w:t>9/25/2014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Calibri" w:cs="Calibri" w:eastAsia="Calibri" w:hAnsi="Calibri"/>
                <w:sz w:val="20"/>
                <w:szCs w:val="20"/>
                <w:color w:val="auto"/>
              </w:rPr>
              <w:t>10.9(a)</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December 5, 2011, by and between Howard California Property Camarillo 5</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and BioGenerics, Inc.</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7"/>
        </w:trPr>
        <w:tc>
          <w:tcPr>
            <w:tcW w:w="900" w:type="dxa"/>
            <w:vAlign w:val="bottom"/>
          </w:tcPr>
          <w:p>
            <w:pPr>
              <w:spacing w:after="0"/>
              <w:rPr>
                <w:sz w:val="20"/>
                <w:szCs w:val="20"/>
                <w:color w:val="auto"/>
              </w:rPr>
            </w:pPr>
            <w:r>
              <w:rPr>
                <w:rFonts w:ascii="Calibri" w:cs="Calibri" w:eastAsia="Calibri" w:hAnsi="Calibri"/>
                <w:sz w:val="19"/>
                <w:szCs w:val="19"/>
                <w:color w:val="auto"/>
              </w:rPr>
              <w:t>10.1(b)</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First Amendment to Lease, effective December 21, 2013, by and between</w:t>
            </w:r>
          </w:p>
        </w:tc>
        <w:tc>
          <w:tcPr>
            <w:tcW w:w="620" w:type="dxa"/>
            <w:vAlign w:val="bottom"/>
            <w:gridSpan w:val="2"/>
          </w:tcPr>
          <w:p>
            <w:pPr>
              <w:jc w:val="center"/>
              <w:ind w:right="120"/>
              <w:spacing w:after="0"/>
              <w:rPr>
                <w:sz w:val="20"/>
                <w:szCs w:val="20"/>
                <w:color w:val="auto"/>
              </w:rPr>
            </w:pPr>
            <w:r>
              <w:rPr>
                <w:rFonts w:ascii="Calibri" w:cs="Calibri" w:eastAsia="Calibri" w:hAnsi="Calibri"/>
                <w:sz w:val="20"/>
                <w:szCs w:val="20"/>
                <w:color w:val="auto"/>
                <w:w w:val="75"/>
              </w:rPr>
              <w:t>S - 1</w:t>
            </w:r>
          </w:p>
        </w:tc>
        <w:tc>
          <w:tcPr>
            <w:tcW w:w="1160" w:type="dxa"/>
            <w:vAlign w:val="bottom"/>
          </w:tcPr>
          <w:p>
            <w:pPr>
              <w:jc w:val="center"/>
              <w:spacing w:after="0"/>
              <w:rPr>
                <w:sz w:val="20"/>
                <w:szCs w:val="20"/>
                <w:color w:val="auto"/>
              </w:rPr>
            </w:pPr>
            <w:r>
              <w:rPr>
                <w:rFonts w:ascii="Calibri" w:cs="Calibri" w:eastAsia="Calibri" w:hAnsi="Calibri"/>
                <w:sz w:val="20"/>
                <w:szCs w:val="20"/>
                <w:color w:val="auto"/>
                <w:w w:val="99"/>
              </w:rPr>
              <w:t>9/25/2014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Calibri" w:cs="Calibri" w:eastAsia="Calibri" w:hAnsi="Calibri"/>
                <w:sz w:val="20"/>
                <w:szCs w:val="20"/>
                <w:color w:val="auto"/>
                <w:w w:val="99"/>
              </w:rPr>
              <w:t>10.9(b)</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Howard California Property Camarillo 5 and Coherus BioSciences, Inc.</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8"/>
        </w:trPr>
        <w:tc>
          <w:tcPr>
            <w:tcW w:w="900" w:type="dxa"/>
            <w:vAlign w:val="bottom"/>
          </w:tcPr>
          <w:p>
            <w:pPr>
              <w:spacing w:after="0"/>
              <w:rPr>
                <w:sz w:val="20"/>
                <w:szCs w:val="20"/>
                <w:color w:val="auto"/>
              </w:rPr>
            </w:pPr>
            <w:r>
              <w:rPr>
                <w:rFonts w:ascii="Calibri" w:cs="Calibri" w:eastAsia="Calibri" w:hAnsi="Calibri"/>
                <w:sz w:val="19"/>
                <w:szCs w:val="19"/>
                <w:color w:val="auto"/>
              </w:rPr>
              <w:t>10.2(a)#</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BioGenerics, Inc. 2010 Equity Incentive Plan, as amended.</w:t>
            </w:r>
          </w:p>
        </w:tc>
        <w:tc>
          <w:tcPr>
            <w:tcW w:w="620" w:type="dxa"/>
            <w:vAlign w:val="bottom"/>
            <w:gridSpan w:val="2"/>
          </w:tcPr>
          <w:p>
            <w:pPr>
              <w:jc w:val="center"/>
              <w:ind w:right="120"/>
              <w:spacing w:after="0"/>
              <w:rPr>
                <w:sz w:val="20"/>
                <w:szCs w:val="20"/>
                <w:color w:val="auto"/>
              </w:rPr>
            </w:pPr>
            <w:r>
              <w:rPr>
                <w:rFonts w:ascii="Calibri" w:cs="Calibri" w:eastAsia="Calibri" w:hAnsi="Calibri"/>
                <w:sz w:val="20"/>
                <w:szCs w:val="20"/>
                <w:color w:val="auto"/>
                <w:w w:val="75"/>
              </w:rPr>
              <w:t>S - 1</w:t>
            </w:r>
          </w:p>
        </w:tc>
        <w:tc>
          <w:tcPr>
            <w:tcW w:w="1160" w:type="dxa"/>
            <w:vAlign w:val="bottom"/>
          </w:tcPr>
          <w:p>
            <w:pPr>
              <w:jc w:val="center"/>
              <w:spacing w:after="0"/>
              <w:rPr>
                <w:sz w:val="20"/>
                <w:szCs w:val="20"/>
                <w:color w:val="auto"/>
              </w:rPr>
            </w:pPr>
            <w:r>
              <w:rPr>
                <w:rFonts w:ascii="Calibri" w:cs="Calibri" w:eastAsia="Calibri" w:hAnsi="Calibri"/>
                <w:sz w:val="20"/>
                <w:szCs w:val="20"/>
                <w:color w:val="auto"/>
                <w:w w:val="99"/>
              </w:rPr>
              <w:t>9/25/2014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Calibri" w:cs="Calibri" w:eastAsia="Calibri" w:hAnsi="Calibri"/>
                <w:sz w:val="20"/>
                <w:szCs w:val="20"/>
                <w:color w:val="auto"/>
              </w:rPr>
              <w:t>10.10(a)</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10.2(b)#</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Form of Stock Option Grant Notice and Stock Option Agreement under the</w:t>
            </w:r>
          </w:p>
        </w:tc>
        <w:tc>
          <w:tcPr>
            <w:tcW w:w="620" w:type="dxa"/>
            <w:vAlign w:val="bottom"/>
            <w:gridSpan w:val="2"/>
          </w:tcPr>
          <w:p>
            <w:pPr>
              <w:jc w:val="center"/>
              <w:ind w:right="120"/>
              <w:spacing w:after="0"/>
              <w:rPr>
                <w:sz w:val="20"/>
                <w:szCs w:val="20"/>
                <w:color w:val="auto"/>
              </w:rPr>
            </w:pPr>
            <w:r>
              <w:rPr>
                <w:rFonts w:ascii="Calibri" w:cs="Calibri" w:eastAsia="Calibri" w:hAnsi="Calibri"/>
                <w:sz w:val="20"/>
                <w:szCs w:val="20"/>
                <w:color w:val="auto"/>
                <w:w w:val="75"/>
              </w:rPr>
              <w:t>S - 1</w:t>
            </w:r>
          </w:p>
        </w:tc>
        <w:tc>
          <w:tcPr>
            <w:tcW w:w="1160" w:type="dxa"/>
            <w:vAlign w:val="bottom"/>
          </w:tcPr>
          <w:p>
            <w:pPr>
              <w:jc w:val="center"/>
              <w:spacing w:after="0"/>
              <w:rPr>
                <w:sz w:val="20"/>
                <w:szCs w:val="20"/>
                <w:color w:val="auto"/>
              </w:rPr>
            </w:pPr>
            <w:r>
              <w:rPr>
                <w:rFonts w:ascii="Calibri" w:cs="Calibri" w:eastAsia="Calibri" w:hAnsi="Calibri"/>
                <w:sz w:val="20"/>
                <w:szCs w:val="20"/>
                <w:color w:val="auto"/>
                <w:w w:val="99"/>
              </w:rPr>
              <w:t>9/25/2014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Calibri" w:cs="Calibri" w:eastAsia="Calibri" w:hAnsi="Calibri"/>
                <w:sz w:val="20"/>
                <w:szCs w:val="20"/>
                <w:color w:val="auto"/>
                <w:w w:val="99"/>
              </w:rPr>
              <w:t>10.10(b)</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2010 Equity Incentive Plan, as amended.</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1160"/>
          </w:cols>
          <w:pgMar w:left="540" w:top="53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117</w:t>
      </w:r>
    </w:p>
    <w:p>
      <w:pPr>
        <w:sectPr>
          <w:pgSz w:w="12240" w:h="15840" w:orient="portrait"/>
          <w:cols w:equalWidth="0" w:num="1">
            <w:col w:w="11160"/>
          </w:cols>
          <w:pgMar w:left="540" w:top="531" w:right="540" w:bottom="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195"/>
        </w:trPr>
        <w:tc>
          <w:tcPr>
            <w:tcW w:w="900" w:type="dxa"/>
            <w:vAlign w:val="bottom"/>
            <w:vMerge w:val="restart"/>
          </w:tcPr>
          <w:p>
            <w:pPr>
              <w:spacing w:after="0"/>
              <w:rPr>
                <w:sz w:val="20"/>
                <w:szCs w:val="20"/>
                <w:color w:val="auto"/>
              </w:rPr>
            </w:pPr>
            <w:r>
              <w:rPr>
                <w:rFonts w:ascii="Calibri" w:cs="Calibri" w:eastAsia="Calibri" w:hAnsi="Calibri"/>
                <w:sz w:val="15"/>
                <w:szCs w:val="15"/>
                <w:b w:val="1"/>
                <w:bCs w:val="1"/>
                <w:color w:val="auto"/>
              </w:rPr>
              <w:t>Exhibit</w:t>
            </w:r>
          </w:p>
        </w:tc>
        <w:tc>
          <w:tcPr>
            <w:tcW w:w="28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Borders>
              <w:bottom w:val="single" w:sz="8" w:color="auto"/>
            </w:tcBorders>
            <w:gridSpan w:val="5"/>
          </w:tcPr>
          <w:p>
            <w:pPr>
              <w:ind w:left="620"/>
              <w:spacing w:after="0"/>
              <w:rPr>
                <w:sz w:val="20"/>
                <w:szCs w:val="20"/>
                <w:color w:val="auto"/>
              </w:rPr>
            </w:pPr>
            <w:r>
              <w:rPr>
                <w:rFonts w:ascii="Calibri" w:cs="Calibri" w:eastAsia="Calibri" w:hAnsi="Calibri"/>
                <w:sz w:val="15"/>
                <w:szCs w:val="15"/>
                <w:b w:val="1"/>
                <w:bCs w:val="1"/>
                <w:color w:val="auto"/>
              </w:rPr>
              <w:t>Incorporated by Reference</w:t>
            </w:r>
          </w:p>
        </w:tc>
        <w:tc>
          <w:tcPr>
            <w:tcW w:w="0" w:type="dxa"/>
            <w:vAlign w:val="bottom"/>
          </w:tcPr>
          <w:p>
            <w:pPr>
              <w:spacing w:after="0"/>
              <w:rPr>
                <w:sz w:val="1"/>
                <w:szCs w:val="1"/>
                <w:color w:val="auto"/>
              </w:rPr>
            </w:pPr>
          </w:p>
        </w:tc>
      </w:tr>
      <w:tr>
        <w:trPr>
          <w:trHeight w:val="162"/>
        </w:trPr>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line="161" w:lineRule="exact"/>
              <w:rPr>
                <w:sz w:val="20"/>
                <w:szCs w:val="20"/>
                <w:color w:val="auto"/>
              </w:rPr>
            </w:pPr>
            <w:r>
              <w:rPr>
                <w:rFonts w:ascii="Calibri" w:cs="Calibri" w:eastAsia="Calibri" w:hAnsi="Calibri"/>
                <w:sz w:val="15"/>
                <w:szCs w:val="15"/>
                <w:b w:val="1"/>
                <w:bCs w:val="1"/>
                <w:color w:val="auto"/>
              </w:rPr>
              <w:t>Filed</w:t>
            </w:r>
          </w:p>
        </w:tc>
        <w:tc>
          <w:tcPr>
            <w:tcW w:w="0" w:type="dxa"/>
            <w:vAlign w:val="bottom"/>
          </w:tcPr>
          <w:p>
            <w:pPr>
              <w:spacing w:after="0"/>
              <w:rPr>
                <w:sz w:val="1"/>
                <w:szCs w:val="1"/>
                <w:color w:val="auto"/>
              </w:rPr>
            </w:pPr>
          </w:p>
        </w:tc>
      </w:tr>
      <w:tr>
        <w:trPr>
          <w:trHeight w:val="195"/>
        </w:trPr>
        <w:tc>
          <w:tcPr>
            <w:tcW w:w="900" w:type="dxa"/>
            <w:vAlign w:val="bottom"/>
            <w:tcBorders>
              <w:bottom w:val="single" w:sz="8" w:color="auto"/>
            </w:tcBorders>
          </w:tcPr>
          <w:p>
            <w:pPr>
              <w:spacing w:after="0"/>
              <w:rPr>
                <w:sz w:val="20"/>
                <w:szCs w:val="20"/>
                <w:color w:val="auto"/>
              </w:rPr>
            </w:pPr>
            <w:r>
              <w:rPr>
                <w:rFonts w:ascii="Calibri" w:cs="Calibri" w:eastAsia="Calibri" w:hAnsi="Calibri"/>
                <w:sz w:val="15"/>
                <w:szCs w:val="15"/>
                <w:b w:val="1"/>
                <w:bCs w:val="1"/>
                <w:color w:val="auto"/>
              </w:rPr>
              <w:t>Number</w:t>
            </w:r>
          </w:p>
        </w:tc>
        <w:tc>
          <w:tcPr>
            <w:tcW w:w="280" w:type="dxa"/>
            <w:vAlign w:val="bottom"/>
          </w:tcPr>
          <w:p>
            <w:pPr>
              <w:spacing w:after="0"/>
              <w:rPr>
                <w:sz w:val="16"/>
                <w:szCs w:val="16"/>
                <w:color w:val="auto"/>
              </w:rPr>
            </w:pPr>
          </w:p>
        </w:tc>
        <w:tc>
          <w:tcPr>
            <w:tcW w:w="6340" w:type="dxa"/>
            <w:vAlign w:val="bottom"/>
            <w:tcBorders>
              <w:bottom w:val="single" w:sz="8" w:color="auto"/>
            </w:tcBorders>
          </w:tcPr>
          <w:p>
            <w:pPr>
              <w:ind w:left="2640"/>
              <w:spacing w:after="0"/>
              <w:rPr>
                <w:sz w:val="20"/>
                <w:szCs w:val="20"/>
                <w:color w:val="auto"/>
              </w:rPr>
            </w:pPr>
            <w:r>
              <w:rPr>
                <w:rFonts w:ascii="Calibri" w:cs="Calibri" w:eastAsia="Calibri" w:hAnsi="Calibri"/>
                <w:sz w:val="15"/>
                <w:szCs w:val="15"/>
                <w:b w:val="1"/>
                <w:bCs w:val="1"/>
                <w:color w:val="auto"/>
              </w:rPr>
              <w:t>Exhibit Description</w:t>
            </w:r>
          </w:p>
        </w:tc>
        <w:tc>
          <w:tcPr>
            <w:tcW w:w="14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8"/>
              </w:rPr>
              <w:t>Form</w:t>
            </w:r>
          </w:p>
        </w:tc>
        <w:tc>
          <w:tcPr>
            <w:tcW w:w="120" w:type="dxa"/>
            <w:vAlign w:val="bottom"/>
          </w:tcPr>
          <w:p>
            <w:pPr>
              <w:spacing w:after="0"/>
              <w:rPr>
                <w:sz w:val="16"/>
                <w:szCs w:val="16"/>
                <w:color w:val="auto"/>
              </w:rPr>
            </w:pPr>
          </w:p>
        </w:tc>
        <w:tc>
          <w:tcPr>
            <w:tcW w:w="1160" w:type="dxa"/>
            <w:vAlign w:val="bottom"/>
            <w:tcBorders>
              <w:bottom w:val="single" w:sz="8" w:color="auto"/>
            </w:tcBorders>
          </w:tcPr>
          <w:p>
            <w:pPr>
              <w:ind w:left="440"/>
              <w:spacing w:after="0"/>
              <w:rPr>
                <w:sz w:val="20"/>
                <w:szCs w:val="20"/>
                <w:color w:val="auto"/>
              </w:rPr>
            </w:pPr>
            <w:r>
              <w:rPr>
                <w:rFonts w:ascii="Calibri" w:cs="Calibri" w:eastAsia="Calibri" w:hAnsi="Calibri"/>
                <w:sz w:val="15"/>
                <w:szCs w:val="15"/>
                <w:b w:val="1"/>
                <w:bCs w:val="1"/>
                <w:color w:val="auto"/>
              </w:rPr>
              <w:t>Date</w:t>
            </w:r>
          </w:p>
        </w:tc>
        <w:tc>
          <w:tcPr>
            <w:tcW w:w="120" w:type="dxa"/>
            <w:vAlign w:val="bottom"/>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Calibri" w:cs="Calibri" w:eastAsia="Calibri" w:hAnsi="Calibri"/>
                <w:sz w:val="15"/>
                <w:szCs w:val="15"/>
                <w:b w:val="1"/>
                <w:bCs w:val="1"/>
                <w:color w:val="auto"/>
              </w:rPr>
              <w:t>Number</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9"/>
              </w:rPr>
              <w:t>Herewith</w:t>
            </w:r>
          </w:p>
        </w:tc>
        <w:tc>
          <w:tcPr>
            <w:tcW w:w="0" w:type="dxa"/>
            <w:vAlign w:val="bottom"/>
          </w:tcPr>
          <w:p>
            <w:pPr>
              <w:spacing w:after="0"/>
              <w:rPr>
                <w:sz w:val="1"/>
                <w:szCs w:val="1"/>
                <w:color w:val="auto"/>
              </w:rPr>
            </w:pPr>
          </w:p>
        </w:tc>
      </w:tr>
      <w:tr>
        <w:trPr>
          <w:trHeight w:val="365"/>
        </w:trPr>
        <w:tc>
          <w:tcPr>
            <w:tcW w:w="900" w:type="dxa"/>
            <w:vAlign w:val="bottom"/>
          </w:tcPr>
          <w:p>
            <w:pPr>
              <w:spacing w:after="0"/>
              <w:rPr>
                <w:sz w:val="20"/>
                <w:szCs w:val="20"/>
                <w:color w:val="auto"/>
              </w:rPr>
            </w:pPr>
            <w:r>
              <w:rPr>
                <w:rFonts w:ascii="Calibri" w:cs="Calibri" w:eastAsia="Calibri" w:hAnsi="Calibri"/>
                <w:sz w:val="19"/>
                <w:szCs w:val="19"/>
                <w:color w:val="auto"/>
              </w:rPr>
              <w:t>10.3(a)#</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Form of Stock Option Grant Notice and Stock Option Agreement under the</w:t>
            </w:r>
          </w:p>
        </w:tc>
        <w:tc>
          <w:tcPr>
            <w:tcW w:w="620" w:type="dxa"/>
            <w:vAlign w:val="bottom"/>
            <w:gridSpan w:val="2"/>
          </w:tcPr>
          <w:p>
            <w:pPr>
              <w:jc w:val="center"/>
              <w:ind w:right="140"/>
              <w:spacing w:after="0"/>
              <w:rPr>
                <w:sz w:val="20"/>
                <w:szCs w:val="20"/>
                <w:color w:val="auto"/>
              </w:rPr>
            </w:pPr>
            <w:r>
              <w:rPr>
                <w:rFonts w:ascii="Calibri" w:cs="Calibri" w:eastAsia="Calibri" w:hAnsi="Calibri"/>
                <w:sz w:val="19"/>
                <w:szCs w:val="19"/>
                <w:color w:val="auto"/>
                <w:w w:val="86"/>
              </w:rPr>
              <w:t>S - 1/A</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11/4/2014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Calibri" w:cs="Calibri" w:eastAsia="Calibri" w:hAnsi="Calibri"/>
                <w:sz w:val="19"/>
                <w:szCs w:val="19"/>
                <w:color w:val="auto"/>
              </w:rPr>
              <w:t>10.11(b)</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2014 Equity Incentive Award Plan.</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900" w:type="dxa"/>
            <w:vAlign w:val="bottom"/>
          </w:tcPr>
          <w:p>
            <w:pPr>
              <w:spacing w:after="0"/>
              <w:rPr>
                <w:sz w:val="20"/>
                <w:szCs w:val="20"/>
                <w:color w:val="auto"/>
              </w:rPr>
            </w:pPr>
            <w:r>
              <w:rPr>
                <w:rFonts w:ascii="Calibri" w:cs="Calibri" w:eastAsia="Calibri" w:hAnsi="Calibri"/>
                <w:sz w:val="19"/>
                <w:szCs w:val="19"/>
                <w:color w:val="auto"/>
              </w:rPr>
              <w:t>10.3(b)#</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Form of Restricted Stock Award Grant Notice and Restricted Stock Award</w:t>
            </w:r>
          </w:p>
        </w:tc>
        <w:tc>
          <w:tcPr>
            <w:tcW w:w="620" w:type="dxa"/>
            <w:vAlign w:val="bottom"/>
            <w:gridSpan w:val="2"/>
          </w:tcPr>
          <w:p>
            <w:pPr>
              <w:jc w:val="center"/>
              <w:ind w:right="140"/>
              <w:spacing w:after="0"/>
              <w:rPr>
                <w:sz w:val="20"/>
                <w:szCs w:val="20"/>
                <w:color w:val="auto"/>
              </w:rPr>
            </w:pPr>
            <w:r>
              <w:rPr>
                <w:rFonts w:ascii="Calibri" w:cs="Calibri" w:eastAsia="Calibri" w:hAnsi="Calibri"/>
                <w:sz w:val="19"/>
                <w:szCs w:val="19"/>
                <w:color w:val="auto"/>
                <w:w w:val="86"/>
              </w:rPr>
              <w:t>S - 1/A</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11/4/2014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Calibri" w:cs="Calibri" w:eastAsia="Calibri" w:hAnsi="Calibri"/>
                <w:sz w:val="19"/>
                <w:szCs w:val="19"/>
                <w:color w:val="auto"/>
                <w:w w:val="98"/>
              </w:rPr>
              <w:t>10.11(c)</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Agreement under the 2014 Equity Incentive Award Plan.</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900" w:type="dxa"/>
            <w:vAlign w:val="bottom"/>
          </w:tcPr>
          <w:p>
            <w:pPr>
              <w:spacing w:after="0"/>
              <w:rPr>
                <w:sz w:val="20"/>
                <w:szCs w:val="20"/>
                <w:color w:val="auto"/>
              </w:rPr>
            </w:pPr>
            <w:r>
              <w:rPr>
                <w:rFonts w:ascii="Calibri" w:cs="Calibri" w:eastAsia="Calibri" w:hAnsi="Calibri"/>
                <w:sz w:val="19"/>
                <w:szCs w:val="19"/>
                <w:color w:val="auto"/>
              </w:rPr>
              <w:t>10.3(c)#</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Form of Restricted Stock Unit Award Grant Notice and Restricted Stock Unit</w:t>
            </w:r>
          </w:p>
        </w:tc>
        <w:tc>
          <w:tcPr>
            <w:tcW w:w="620" w:type="dxa"/>
            <w:vAlign w:val="bottom"/>
            <w:gridSpan w:val="2"/>
          </w:tcPr>
          <w:p>
            <w:pPr>
              <w:jc w:val="center"/>
              <w:ind w:right="140"/>
              <w:spacing w:after="0"/>
              <w:rPr>
                <w:sz w:val="20"/>
                <w:szCs w:val="20"/>
                <w:color w:val="auto"/>
              </w:rPr>
            </w:pPr>
            <w:r>
              <w:rPr>
                <w:rFonts w:ascii="Calibri" w:cs="Calibri" w:eastAsia="Calibri" w:hAnsi="Calibri"/>
                <w:sz w:val="19"/>
                <w:szCs w:val="19"/>
                <w:color w:val="auto"/>
                <w:w w:val="86"/>
              </w:rPr>
              <w:t>S - 1/A</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11/4/2014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Calibri" w:cs="Calibri" w:eastAsia="Calibri" w:hAnsi="Calibri"/>
                <w:sz w:val="19"/>
                <w:szCs w:val="19"/>
                <w:color w:val="auto"/>
              </w:rPr>
              <w:t>10.11(d)</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Award Agreement under the 2014 Equity Incentive Award Plan.</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6"/>
        </w:trPr>
        <w:tc>
          <w:tcPr>
            <w:tcW w:w="900" w:type="dxa"/>
            <w:vAlign w:val="bottom"/>
          </w:tcPr>
          <w:p>
            <w:pPr>
              <w:spacing w:after="0"/>
              <w:rPr>
                <w:sz w:val="20"/>
                <w:szCs w:val="20"/>
                <w:color w:val="auto"/>
              </w:rPr>
            </w:pPr>
            <w:r>
              <w:rPr>
                <w:rFonts w:ascii="Calibri" w:cs="Calibri" w:eastAsia="Calibri" w:hAnsi="Calibri"/>
                <w:sz w:val="19"/>
                <w:szCs w:val="19"/>
                <w:color w:val="auto"/>
              </w:rPr>
              <w:t>10.4#</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Coherus Oncology, Inc. 2014 Employee Stock Purchase Plan.</w:t>
            </w:r>
          </w:p>
        </w:tc>
        <w:tc>
          <w:tcPr>
            <w:tcW w:w="620" w:type="dxa"/>
            <w:vAlign w:val="bottom"/>
            <w:gridSpan w:val="2"/>
          </w:tcPr>
          <w:p>
            <w:pPr>
              <w:jc w:val="center"/>
              <w:ind w:right="140"/>
              <w:spacing w:after="0"/>
              <w:rPr>
                <w:sz w:val="20"/>
                <w:szCs w:val="20"/>
                <w:color w:val="auto"/>
              </w:rPr>
            </w:pPr>
            <w:r>
              <w:rPr>
                <w:rFonts w:ascii="Calibri" w:cs="Calibri" w:eastAsia="Calibri" w:hAnsi="Calibri"/>
                <w:sz w:val="19"/>
                <w:szCs w:val="19"/>
                <w:color w:val="auto"/>
                <w:w w:val="86"/>
              </w:rPr>
              <w:t>S - 1/A</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8/7/2025</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10.3</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900" w:type="dxa"/>
            <w:vAlign w:val="bottom"/>
          </w:tcPr>
          <w:p>
            <w:pPr>
              <w:spacing w:after="0"/>
              <w:rPr>
                <w:sz w:val="20"/>
                <w:szCs w:val="20"/>
                <w:color w:val="auto"/>
              </w:rPr>
            </w:pPr>
            <w:r>
              <w:rPr>
                <w:rFonts w:ascii="Calibri" w:cs="Calibri" w:eastAsia="Calibri" w:hAnsi="Calibri"/>
                <w:sz w:val="19"/>
                <w:szCs w:val="19"/>
                <w:color w:val="auto"/>
              </w:rPr>
              <w:t>10.5#</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Form of Indemnification Agreement between Coherus BioSciences, Inc. and</w:t>
            </w:r>
          </w:p>
        </w:tc>
        <w:tc>
          <w:tcPr>
            <w:tcW w:w="620" w:type="dxa"/>
            <w:vAlign w:val="bottom"/>
            <w:gridSpan w:val="2"/>
          </w:tcPr>
          <w:p>
            <w:pPr>
              <w:jc w:val="center"/>
              <w:ind w:right="140"/>
              <w:spacing w:after="0"/>
              <w:rPr>
                <w:sz w:val="20"/>
                <w:szCs w:val="20"/>
                <w:color w:val="auto"/>
              </w:rPr>
            </w:pPr>
            <w:r>
              <w:rPr>
                <w:rFonts w:ascii="Calibri" w:cs="Calibri" w:eastAsia="Calibri" w:hAnsi="Calibri"/>
                <w:sz w:val="19"/>
                <w:szCs w:val="19"/>
                <w:color w:val="auto"/>
                <w:w w:val="86"/>
              </w:rPr>
              <w:t>S - 1/A</w:t>
            </w:r>
          </w:p>
        </w:tc>
        <w:tc>
          <w:tcPr>
            <w:tcW w:w="1160" w:type="dxa"/>
            <w:vAlign w:val="bottom"/>
          </w:tcPr>
          <w:p>
            <w:pPr>
              <w:jc w:val="center"/>
              <w:spacing w:after="0"/>
              <w:rPr>
                <w:sz w:val="20"/>
                <w:szCs w:val="20"/>
                <w:color w:val="auto"/>
              </w:rPr>
            </w:pPr>
            <w:r>
              <w:rPr>
                <w:rFonts w:ascii="Calibri" w:cs="Calibri" w:eastAsia="Calibri" w:hAnsi="Calibri"/>
                <w:sz w:val="19"/>
                <w:szCs w:val="19"/>
                <w:color w:val="auto"/>
              </w:rPr>
              <w:t>10/24/2014</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w w:val="96"/>
              </w:rPr>
              <w:t>10.13</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each of its directors, officers and certain employees.</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900" w:type="dxa"/>
            <w:vAlign w:val="bottom"/>
          </w:tcPr>
          <w:p>
            <w:pPr>
              <w:spacing w:after="0"/>
              <w:rPr>
                <w:sz w:val="20"/>
                <w:szCs w:val="20"/>
                <w:color w:val="auto"/>
              </w:rPr>
            </w:pPr>
            <w:r>
              <w:rPr>
                <w:rFonts w:ascii="Calibri" w:cs="Calibri" w:eastAsia="Calibri" w:hAnsi="Calibri"/>
                <w:sz w:val="19"/>
                <w:szCs w:val="19"/>
                <w:color w:val="auto"/>
              </w:rPr>
              <w:t>10.6</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New Office Lease, effective July 6, 2015, by and between Hudson 333 Twin</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w w:val="81"/>
              </w:rPr>
              <w:t>10 - 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8/10/2015</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10.3</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Dolphin Plaza, LLC and Coherus BioSciences, Inc.</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900" w:type="dxa"/>
            <w:vAlign w:val="bottom"/>
          </w:tcPr>
          <w:p>
            <w:pPr>
              <w:spacing w:after="0"/>
              <w:rPr>
                <w:sz w:val="20"/>
                <w:szCs w:val="20"/>
                <w:color w:val="auto"/>
              </w:rPr>
            </w:pPr>
            <w:r>
              <w:rPr>
                <w:rFonts w:ascii="Calibri" w:cs="Calibri" w:eastAsia="Calibri" w:hAnsi="Calibri"/>
                <w:sz w:val="19"/>
                <w:szCs w:val="19"/>
                <w:color w:val="auto"/>
              </w:rPr>
              <w:t>10.7</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First Amendment, effective August 10, 2015, by and between Hudson 333</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w w:val="81"/>
              </w:rPr>
              <w:t>10 - 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8/10/2015</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10.4</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Twin Dolphin Plaza, LLC and Coherus BioSciences, Inc.</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6"/>
        </w:trPr>
        <w:tc>
          <w:tcPr>
            <w:tcW w:w="900" w:type="dxa"/>
            <w:vAlign w:val="bottom"/>
          </w:tcPr>
          <w:p>
            <w:pPr>
              <w:spacing w:after="0"/>
              <w:rPr>
                <w:sz w:val="20"/>
                <w:szCs w:val="20"/>
                <w:color w:val="auto"/>
              </w:rPr>
            </w:pPr>
            <w:r>
              <w:rPr>
                <w:rFonts w:ascii="Calibri" w:cs="Calibri" w:eastAsia="Calibri" w:hAnsi="Calibri"/>
                <w:sz w:val="19"/>
                <w:szCs w:val="19"/>
                <w:color w:val="auto"/>
              </w:rPr>
              <w:t>10.8(a)#</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Coherus Oncology, Inc. 2016 Employment Commencement Incentive Plan.</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w w:val="81"/>
              </w:rPr>
              <w:t>10 - 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8/7/2025</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900" w:type="dxa"/>
            <w:vAlign w:val="bottom"/>
          </w:tcPr>
          <w:p>
            <w:pPr>
              <w:spacing w:after="0"/>
              <w:rPr>
                <w:sz w:val="20"/>
                <w:szCs w:val="20"/>
                <w:color w:val="auto"/>
              </w:rPr>
            </w:pPr>
            <w:r>
              <w:rPr>
                <w:rFonts w:ascii="Calibri" w:cs="Calibri" w:eastAsia="Calibri" w:hAnsi="Calibri"/>
                <w:sz w:val="19"/>
                <w:szCs w:val="19"/>
                <w:color w:val="auto"/>
              </w:rPr>
              <w:t>10.8(b)#</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Form of Stock Option Grant Notice and Stock Option Agreement under the</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w w:val="81"/>
              </w:rPr>
              <w:t>10 - 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8/9/2016</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Calibri" w:cs="Calibri" w:eastAsia="Calibri" w:hAnsi="Calibri"/>
                <w:sz w:val="19"/>
                <w:szCs w:val="19"/>
                <w:color w:val="auto"/>
                <w:w w:val="97"/>
              </w:rPr>
              <w:t>10.1(b)</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Coherus BioSciences, Inc. 2016 Employment Commencement Incentive Plan.</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900" w:type="dxa"/>
            <w:vAlign w:val="bottom"/>
          </w:tcPr>
          <w:p>
            <w:pPr>
              <w:spacing w:after="0"/>
              <w:rPr>
                <w:sz w:val="20"/>
                <w:szCs w:val="20"/>
                <w:color w:val="auto"/>
              </w:rPr>
            </w:pPr>
            <w:r>
              <w:rPr>
                <w:rFonts w:ascii="Calibri" w:cs="Calibri" w:eastAsia="Calibri" w:hAnsi="Calibri"/>
                <w:sz w:val="19"/>
                <w:szCs w:val="19"/>
                <w:color w:val="auto"/>
              </w:rPr>
              <w:t>10.8(c)#</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Form of Restricted Stock Unit Award Grant Notice and Restricted Stock Unit</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w w:val="81"/>
              </w:rPr>
              <w:t>10 - 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8/9/2016</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Calibri" w:cs="Calibri" w:eastAsia="Calibri" w:hAnsi="Calibri"/>
                <w:sz w:val="19"/>
                <w:szCs w:val="19"/>
                <w:color w:val="auto"/>
              </w:rPr>
              <w:t>10.1(c)</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Award Agreement under the Coherus BioSciences, Inc. 2016 Employment</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Commencement Incentive Plan.</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900" w:type="dxa"/>
            <w:vAlign w:val="bottom"/>
          </w:tcPr>
          <w:p>
            <w:pPr>
              <w:spacing w:after="0"/>
              <w:rPr>
                <w:sz w:val="20"/>
                <w:szCs w:val="20"/>
                <w:color w:val="auto"/>
              </w:rPr>
            </w:pPr>
            <w:r>
              <w:rPr>
                <w:rFonts w:ascii="Calibri" w:cs="Calibri" w:eastAsia="Calibri" w:hAnsi="Calibri"/>
                <w:sz w:val="19"/>
                <w:szCs w:val="19"/>
                <w:color w:val="auto"/>
              </w:rPr>
              <w:t>10.8(d)#</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Form of Restricted Stock Award Grant Notice and Restricted Stock Award</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w w:val="81"/>
              </w:rPr>
              <w:t>10 - 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8/9/2016</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Calibri" w:cs="Calibri" w:eastAsia="Calibri" w:hAnsi="Calibri"/>
                <w:sz w:val="19"/>
                <w:szCs w:val="19"/>
                <w:color w:val="auto"/>
                <w:w w:val="97"/>
              </w:rPr>
              <w:t>10.1(d)</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Agreement under the Coherus BioSciences, Inc. 2016 Employment</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Commencement Incentive Plan.</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900" w:type="dxa"/>
            <w:vAlign w:val="bottom"/>
          </w:tcPr>
          <w:p>
            <w:pPr>
              <w:spacing w:after="0"/>
              <w:rPr>
                <w:sz w:val="20"/>
                <w:szCs w:val="20"/>
                <w:color w:val="auto"/>
              </w:rPr>
            </w:pPr>
            <w:r>
              <w:rPr>
                <w:rFonts w:ascii="Calibri" w:cs="Calibri" w:eastAsia="Calibri" w:hAnsi="Calibri"/>
                <w:sz w:val="19"/>
                <w:szCs w:val="19"/>
                <w:color w:val="auto"/>
              </w:rPr>
              <w:t>10.9</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Second Amendment, dated September 21, 2016, by and between Hudson 333</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w w:val="76"/>
              </w:rPr>
              <w:t>8 - K</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9/26/2016</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Twin Dolphin Plaza, LLC and Coherus BioSciences, Inc.</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900" w:type="dxa"/>
            <w:vAlign w:val="bottom"/>
          </w:tcPr>
          <w:p>
            <w:pPr>
              <w:spacing w:after="0"/>
              <w:rPr>
                <w:sz w:val="20"/>
                <w:szCs w:val="20"/>
                <w:color w:val="auto"/>
              </w:rPr>
            </w:pPr>
            <w:r>
              <w:rPr>
                <w:rFonts w:ascii="Calibri" w:cs="Calibri" w:eastAsia="Calibri" w:hAnsi="Calibri"/>
                <w:sz w:val="19"/>
                <w:szCs w:val="19"/>
                <w:color w:val="auto"/>
              </w:rPr>
              <w:t>10.10</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Letter Agreement to Master Service Agreement, dated as of September 6,</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rPr>
              <w:t>10-Q</w:t>
            </w:r>
          </w:p>
        </w:tc>
        <w:tc>
          <w:tcPr>
            <w:tcW w:w="1160" w:type="dxa"/>
            <w:vAlign w:val="bottom"/>
          </w:tcPr>
          <w:p>
            <w:pPr>
              <w:jc w:val="center"/>
              <w:spacing w:after="0"/>
              <w:rPr>
                <w:sz w:val="20"/>
                <w:szCs w:val="20"/>
                <w:color w:val="auto"/>
              </w:rPr>
            </w:pPr>
            <w:r>
              <w:rPr>
                <w:rFonts w:ascii="Calibri" w:cs="Calibri" w:eastAsia="Calibri" w:hAnsi="Calibri"/>
                <w:sz w:val="19"/>
                <w:szCs w:val="19"/>
                <w:color w:val="auto"/>
              </w:rPr>
              <w:t>11/06/2017</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2017, by and between Medpace, Inc. and Coherus BioSciences, Inc.</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900" w:type="dxa"/>
            <w:vAlign w:val="bottom"/>
          </w:tcPr>
          <w:p>
            <w:pPr>
              <w:spacing w:after="0"/>
              <w:rPr>
                <w:sz w:val="20"/>
                <w:szCs w:val="20"/>
                <w:color w:val="auto"/>
              </w:rPr>
            </w:pPr>
            <w:r>
              <w:rPr>
                <w:rFonts w:ascii="Calibri" w:cs="Calibri" w:eastAsia="Calibri" w:hAnsi="Calibri"/>
                <w:sz w:val="19"/>
                <w:szCs w:val="19"/>
                <w:color w:val="auto"/>
              </w:rPr>
              <w:t>10.11†</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Confidential Litigation Settlement Agreement and Release, dated as of April 30,</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w w:val="81"/>
              </w:rPr>
              <w:t>10 - 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8/5/2019</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2019 between Amgen Inc. and Amgen USA Inc. (collectively “Amgen”), and</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Coherus BioSciences Inc.</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900" w:type="dxa"/>
            <w:vAlign w:val="bottom"/>
          </w:tcPr>
          <w:p>
            <w:pPr>
              <w:spacing w:after="0"/>
              <w:rPr>
                <w:sz w:val="20"/>
                <w:szCs w:val="20"/>
                <w:color w:val="auto"/>
              </w:rPr>
            </w:pPr>
            <w:r>
              <w:rPr>
                <w:rFonts w:ascii="Calibri" w:cs="Calibri" w:eastAsia="Calibri" w:hAnsi="Calibri"/>
                <w:sz w:val="19"/>
                <w:szCs w:val="19"/>
                <w:color w:val="auto"/>
              </w:rPr>
              <w:t>10.12</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Third Amendment, effective May 24, 2019, by and between Hudson 333 Twin</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w w:val="81"/>
              </w:rPr>
              <w:t>10 - 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11/8/2019</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Dolphin Plaza, LLC and Coherus BioSciences, Inc.</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900" w:type="dxa"/>
            <w:vAlign w:val="bottom"/>
          </w:tcPr>
          <w:p>
            <w:pPr>
              <w:spacing w:after="0"/>
              <w:rPr>
                <w:sz w:val="20"/>
                <w:szCs w:val="20"/>
                <w:color w:val="auto"/>
              </w:rPr>
            </w:pPr>
            <w:r>
              <w:rPr>
                <w:rFonts w:ascii="Calibri" w:cs="Calibri" w:eastAsia="Calibri" w:hAnsi="Calibri"/>
                <w:sz w:val="19"/>
                <w:szCs w:val="19"/>
                <w:color w:val="auto"/>
              </w:rPr>
              <w:t>10.13</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Fourth Amendment, effective September 4, 2019, by and between Hudson 333</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w w:val="81"/>
              </w:rPr>
              <w:t>10 - 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11/8/2019</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Twin Dolphin Plaza, LLC and Coherus BioSciences, Inc.</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7"/>
        </w:trPr>
        <w:tc>
          <w:tcPr>
            <w:tcW w:w="900" w:type="dxa"/>
            <w:vAlign w:val="bottom"/>
          </w:tcPr>
          <w:p>
            <w:pPr>
              <w:spacing w:after="0"/>
              <w:rPr>
                <w:sz w:val="20"/>
                <w:szCs w:val="20"/>
                <w:color w:val="auto"/>
              </w:rPr>
            </w:pPr>
            <w:r>
              <w:rPr>
                <w:rFonts w:ascii="Calibri" w:cs="Calibri" w:eastAsia="Calibri" w:hAnsi="Calibri"/>
                <w:sz w:val="19"/>
                <w:szCs w:val="19"/>
                <w:color w:val="auto"/>
              </w:rPr>
              <w:t>10.14††</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Form of Confirmation for Base Capped Call Transactions under the Indenture.</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rPr>
              <w:t>8-K</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4/17/2020</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900" w:type="dxa"/>
            <w:vAlign w:val="bottom"/>
          </w:tcPr>
          <w:p>
            <w:pPr>
              <w:spacing w:after="0"/>
              <w:rPr>
                <w:sz w:val="20"/>
                <w:szCs w:val="20"/>
                <w:color w:val="auto"/>
              </w:rPr>
            </w:pPr>
            <w:r>
              <w:rPr>
                <w:rFonts w:ascii="Calibri" w:cs="Calibri" w:eastAsia="Calibri" w:hAnsi="Calibri"/>
                <w:sz w:val="19"/>
                <w:szCs w:val="19"/>
                <w:color w:val="auto"/>
              </w:rPr>
              <w:t>10.15</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Exclusive License and Commercialization Agreement, dated February 1, 2021,</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rPr>
              <w:t>10-Q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5/6/2021</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by and between Coherus Biosciences, Inc. and Shanghai Junshi Biosciences,</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Co. Ltd.</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118</w:t>
      </w:r>
    </w:p>
    <w:p>
      <w:pPr>
        <w:sectPr>
          <w:pgSz w:w="12240" w:h="15840" w:orient="portrait"/>
          <w:cols w:equalWidth="0" w:num="1">
            <w:col w:w="11160"/>
          </w:cols>
          <w:pgMar w:left="540" w:top="554" w:right="540" w:bottom="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95"/>
        </w:trPr>
        <w:tc>
          <w:tcPr>
            <w:tcW w:w="900" w:type="dxa"/>
            <w:vAlign w:val="bottom"/>
            <w:vMerge w:val="restart"/>
          </w:tcPr>
          <w:p>
            <w:pPr>
              <w:spacing w:after="0"/>
              <w:rPr>
                <w:sz w:val="20"/>
                <w:szCs w:val="20"/>
                <w:color w:val="auto"/>
              </w:rPr>
            </w:pPr>
            <w:r>
              <w:rPr>
                <w:rFonts w:ascii="Calibri" w:cs="Calibri" w:eastAsia="Calibri" w:hAnsi="Calibri"/>
                <w:sz w:val="15"/>
                <w:szCs w:val="15"/>
                <w:b w:val="1"/>
                <w:bCs w:val="1"/>
                <w:color w:val="auto"/>
              </w:rPr>
              <w:t>Exhibit</w:t>
            </w:r>
          </w:p>
        </w:tc>
        <w:tc>
          <w:tcPr>
            <w:tcW w:w="28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Borders>
              <w:bottom w:val="single" w:sz="8" w:color="auto"/>
            </w:tcBorders>
            <w:gridSpan w:val="5"/>
          </w:tcPr>
          <w:p>
            <w:pPr>
              <w:ind w:left="620"/>
              <w:spacing w:after="0"/>
              <w:rPr>
                <w:sz w:val="20"/>
                <w:szCs w:val="20"/>
                <w:color w:val="auto"/>
              </w:rPr>
            </w:pPr>
            <w:r>
              <w:rPr>
                <w:rFonts w:ascii="Calibri" w:cs="Calibri" w:eastAsia="Calibri" w:hAnsi="Calibri"/>
                <w:sz w:val="15"/>
                <w:szCs w:val="15"/>
                <w:b w:val="1"/>
                <w:bCs w:val="1"/>
                <w:color w:val="auto"/>
              </w:rPr>
              <w:t>Incorporated by Reference</w:t>
            </w:r>
          </w:p>
        </w:tc>
        <w:tc>
          <w:tcPr>
            <w:tcW w:w="0" w:type="dxa"/>
            <w:vAlign w:val="bottom"/>
          </w:tcPr>
          <w:p>
            <w:pPr>
              <w:spacing w:after="0"/>
              <w:rPr>
                <w:sz w:val="1"/>
                <w:szCs w:val="1"/>
                <w:color w:val="auto"/>
              </w:rPr>
            </w:pPr>
          </w:p>
        </w:tc>
      </w:tr>
      <w:tr>
        <w:trPr>
          <w:trHeight w:val="162"/>
        </w:trPr>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line="161" w:lineRule="exact"/>
              <w:rPr>
                <w:sz w:val="20"/>
                <w:szCs w:val="20"/>
                <w:color w:val="auto"/>
              </w:rPr>
            </w:pPr>
            <w:r>
              <w:rPr>
                <w:rFonts w:ascii="Calibri" w:cs="Calibri" w:eastAsia="Calibri" w:hAnsi="Calibri"/>
                <w:sz w:val="15"/>
                <w:szCs w:val="15"/>
                <w:b w:val="1"/>
                <w:bCs w:val="1"/>
                <w:color w:val="auto"/>
              </w:rPr>
              <w:t>Filed</w:t>
            </w:r>
          </w:p>
        </w:tc>
        <w:tc>
          <w:tcPr>
            <w:tcW w:w="0" w:type="dxa"/>
            <w:vAlign w:val="bottom"/>
          </w:tcPr>
          <w:p>
            <w:pPr>
              <w:spacing w:after="0"/>
              <w:rPr>
                <w:sz w:val="1"/>
                <w:szCs w:val="1"/>
                <w:color w:val="auto"/>
              </w:rPr>
            </w:pPr>
          </w:p>
        </w:tc>
      </w:tr>
      <w:tr>
        <w:trPr>
          <w:trHeight w:val="195"/>
        </w:trPr>
        <w:tc>
          <w:tcPr>
            <w:tcW w:w="900" w:type="dxa"/>
            <w:vAlign w:val="bottom"/>
            <w:tcBorders>
              <w:bottom w:val="single" w:sz="8" w:color="auto"/>
            </w:tcBorders>
          </w:tcPr>
          <w:p>
            <w:pPr>
              <w:spacing w:after="0"/>
              <w:rPr>
                <w:sz w:val="20"/>
                <w:szCs w:val="20"/>
                <w:color w:val="auto"/>
              </w:rPr>
            </w:pPr>
            <w:r>
              <w:rPr>
                <w:rFonts w:ascii="Calibri" w:cs="Calibri" w:eastAsia="Calibri" w:hAnsi="Calibri"/>
                <w:sz w:val="15"/>
                <w:szCs w:val="15"/>
                <w:b w:val="1"/>
                <w:bCs w:val="1"/>
                <w:color w:val="auto"/>
              </w:rPr>
              <w:t>Number</w:t>
            </w:r>
          </w:p>
        </w:tc>
        <w:tc>
          <w:tcPr>
            <w:tcW w:w="280" w:type="dxa"/>
            <w:vAlign w:val="bottom"/>
          </w:tcPr>
          <w:p>
            <w:pPr>
              <w:spacing w:after="0"/>
              <w:rPr>
                <w:sz w:val="16"/>
                <w:szCs w:val="16"/>
                <w:color w:val="auto"/>
              </w:rPr>
            </w:pPr>
          </w:p>
        </w:tc>
        <w:tc>
          <w:tcPr>
            <w:tcW w:w="6340" w:type="dxa"/>
            <w:vAlign w:val="bottom"/>
            <w:tcBorders>
              <w:bottom w:val="single" w:sz="8" w:color="auto"/>
            </w:tcBorders>
          </w:tcPr>
          <w:p>
            <w:pPr>
              <w:ind w:left="2640"/>
              <w:spacing w:after="0"/>
              <w:rPr>
                <w:sz w:val="20"/>
                <w:szCs w:val="20"/>
                <w:color w:val="auto"/>
              </w:rPr>
            </w:pPr>
            <w:r>
              <w:rPr>
                <w:rFonts w:ascii="Calibri" w:cs="Calibri" w:eastAsia="Calibri" w:hAnsi="Calibri"/>
                <w:sz w:val="15"/>
                <w:szCs w:val="15"/>
                <w:b w:val="1"/>
                <w:bCs w:val="1"/>
                <w:color w:val="auto"/>
              </w:rPr>
              <w:t>Exhibit Description</w:t>
            </w:r>
          </w:p>
        </w:tc>
        <w:tc>
          <w:tcPr>
            <w:tcW w:w="14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8"/>
              </w:rPr>
              <w:t>Form</w:t>
            </w:r>
          </w:p>
        </w:tc>
        <w:tc>
          <w:tcPr>
            <w:tcW w:w="120" w:type="dxa"/>
            <w:vAlign w:val="bottom"/>
          </w:tcPr>
          <w:p>
            <w:pPr>
              <w:spacing w:after="0"/>
              <w:rPr>
                <w:sz w:val="16"/>
                <w:szCs w:val="16"/>
                <w:color w:val="auto"/>
              </w:rPr>
            </w:pPr>
          </w:p>
        </w:tc>
        <w:tc>
          <w:tcPr>
            <w:tcW w:w="1160" w:type="dxa"/>
            <w:vAlign w:val="bottom"/>
            <w:tcBorders>
              <w:bottom w:val="single" w:sz="8" w:color="auto"/>
            </w:tcBorders>
          </w:tcPr>
          <w:p>
            <w:pPr>
              <w:ind w:left="440"/>
              <w:spacing w:after="0"/>
              <w:rPr>
                <w:sz w:val="20"/>
                <w:szCs w:val="20"/>
                <w:color w:val="auto"/>
              </w:rPr>
            </w:pPr>
            <w:r>
              <w:rPr>
                <w:rFonts w:ascii="Calibri" w:cs="Calibri" w:eastAsia="Calibri" w:hAnsi="Calibri"/>
                <w:sz w:val="15"/>
                <w:szCs w:val="15"/>
                <w:b w:val="1"/>
                <w:bCs w:val="1"/>
                <w:color w:val="auto"/>
              </w:rPr>
              <w:t>Date</w:t>
            </w:r>
          </w:p>
        </w:tc>
        <w:tc>
          <w:tcPr>
            <w:tcW w:w="120" w:type="dxa"/>
            <w:vAlign w:val="bottom"/>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Calibri" w:cs="Calibri" w:eastAsia="Calibri" w:hAnsi="Calibri"/>
                <w:sz w:val="15"/>
                <w:szCs w:val="15"/>
                <w:b w:val="1"/>
                <w:bCs w:val="1"/>
                <w:color w:val="auto"/>
              </w:rPr>
              <w:t>Number</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9"/>
              </w:rPr>
              <w:t>Herewith</w:t>
            </w:r>
          </w:p>
        </w:tc>
        <w:tc>
          <w:tcPr>
            <w:tcW w:w="0" w:type="dxa"/>
            <w:vAlign w:val="bottom"/>
          </w:tcPr>
          <w:p>
            <w:pPr>
              <w:spacing w:after="0"/>
              <w:rPr>
                <w:sz w:val="1"/>
                <w:szCs w:val="1"/>
                <w:color w:val="auto"/>
              </w:rPr>
            </w:pPr>
          </w:p>
        </w:tc>
      </w:tr>
      <w:tr>
        <w:trPr>
          <w:trHeight w:val="365"/>
        </w:trPr>
        <w:tc>
          <w:tcPr>
            <w:tcW w:w="900" w:type="dxa"/>
            <w:vAlign w:val="bottom"/>
          </w:tcPr>
          <w:p>
            <w:pPr>
              <w:spacing w:after="0"/>
              <w:rPr>
                <w:sz w:val="20"/>
                <w:szCs w:val="20"/>
                <w:color w:val="auto"/>
              </w:rPr>
            </w:pPr>
            <w:r>
              <w:rPr>
                <w:rFonts w:ascii="Calibri" w:cs="Calibri" w:eastAsia="Calibri" w:hAnsi="Calibri"/>
                <w:sz w:val="19"/>
                <w:szCs w:val="19"/>
                <w:color w:val="auto"/>
              </w:rPr>
              <w:t>10.16††</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Letter Agreement, dated February 9, 2022, between Coherus BioSciences, Inc.</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rPr>
              <w:t>10-Q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5/5/2022</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and Shanghai Junshi Biosciences, Co., Ltd.</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6"/>
        </w:trPr>
        <w:tc>
          <w:tcPr>
            <w:tcW w:w="900" w:type="dxa"/>
            <w:vAlign w:val="bottom"/>
          </w:tcPr>
          <w:p>
            <w:pPr>
              <w:spacing w:after="0"/>
              <w:rPr>
                <w:sz w:val="20"/>
                <w:szCs w:val="20"/>
                <w:color w:val="auto"/>
              </w:rPr>
            </w:pPr>
            <w:r>
              <w:rPr>
                <w:rFonts w:ascii="Calibri" w:cs="Calibri" w:eastAsia="Calibri" w:hAnsi="Calibri"/>
                <w:sz w:val="19"/>
                <w:szCs w:val="19"/>
                <w:color w:val="auto"/>
              </w:rPr>
              <w:t>10.17#</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Executive Change in Control and Severance Plan, effective January 1, 2023.</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rPr>
              <w:t>10-Q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8/7/2025</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10.6</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900" w:type="dxa"/>
            <w:vAlign w:val="bottom"/>
          </w:tcPr>
          <w:p>
            <w:pPr>
              <w:spacing w:after="0"/>
              <w:rPr>
                <w:sz w:val="20"/>
                <w:szCs w:val="20"/>
                <w:color w:val="auto"/>
              </w:rPr>
            </w:pPr>
            <w:r>
              <w:rPr>
                <w:rFonts w:ascii="Calibri" w:cs="Calibri" w:eastAsia="Calibri" w:hAnsi="Calibri"/>
                <w:sz w:val="19"/>
                <w:szCs w:val="19"/>
                <w:color w:val="auto"/>
              </w:rPr>
              <w:t>10.18</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w w:val="99"/>
              </w:rPr>
              <w:t>Sales Agreement, dated as of November 8, 2022, by and between the registrant</w:t>
            </w:r>
          </w:p>
        </w:tc>
        <w:tc>
          <w:tcPr>
            <w:tcW w:w="620" w:type="dxa"/>
            <w:vAlign w:val="bottom"/>
            <w:gridSpan w:val="2"/>
          </w:tcPr>
          <w:p>
            <w:pPr>
              <w:jc w:val="center"/>
              <w:ind w:right="140"/>
              <w:spacing w:after="0"/>
              <w:rPr>
                <w:sz w:val="20"/>
                <w:szCs w:val="20"/>
                <w:color w:val="auto"/>
              </w:rPr>
            </w:pPr>
            <w:r>
              <w:rPr>
                <w:rFonts w:ascii="Calibri" w:cs="Calibri" w:eastAsia="Calibri" w:hAnsi="Calibri"/>
                <w:sz w:val="19"/>
                <w:szCs w:val="19"/>
                <w:color w:val="auto"/>
                <w:w w:val="99"/>
              </w:rPr>
              <w:t>S-3</w:t>
            </w:r>
          </w:p>
        </w:tc>
        <w:tc>
          <w:tcPr>
            <w:tcW w:w="1160" w:type="dxa"/>
            <w:vAlign w:val="bottom"/>
          </w:tcPr>
          <w:p>
            <w:pPr>
              <w:jc w:val="center"/>
              <w:spacing w:after="0"/>
              <w:rPr>
                <w:sz w:val="20"/>
                <w:szCs w:val="20"/>
                <w:color w:val="auto"/>
              </w:rPr>
            </w:pPr>
            <w:r>
              <w:rPr>
                <w:rFonts w:ascii="Calibri" w:cs="Calibri" w:eastAsia="Calibri" w:hAnsi="Calibri"/>
                <w:sz w:val="19"/>
                <w:szCs w:val="19"/>
                <w:color w:val="auto"/>
              </w:rPr>
              <w:t>11/18/2022</w:t>
            </w:r>
          </w:p>
        </w:tc>
        <w:tc>
          <w:tcPr>
            <w:tcW w:w="900" w:type="dxa"/>
            <w:vAlign w:val="bottom"/>
            <w:gridSpan w:val="2"/>
          </w:tcPr>
          <w:p>
            <w:pPr>
              <w:jc w:val="center"/>
              <w:ind w:left="45"/>
              <w:spacing w:after="0"/>
              <w:rPr>
                <w:sz w:val="20"/>
                <w:szCs w:val="20"/>
                <w:color w:val="auto"/>
              </w:rPr>
            </w:pPr>
            <w:r>
              <w:rPr>
                <w:rFonts w:ascii="Calibri" w:cs="Calibri" w:eastAsia="Calibri" w:hAnsi="Calibri"/>
                <w:sz w:val="19"/>
                <w:szCs w:val="19"/>
                <w:color w:val="auto"/>
                <w:w w:val="99"/>
              </w:rPr>
              <w:t>1.2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and Cowen and Company, LLC.</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7"/>
        </w:trPr>
        <w:tc>
          <w:tcPr>
            <w:tcW w:w="900" w:type="dxa"/>
            <w:vAlign w:val="bottom"/>
          </w:tcPr>
          <w:p>
            <w:pPr>
              <w:spacing w:after="0"/>
              <w:rPr>
                <w:sz w:val="20"/>
                <w:szCs w:val="20"/>
                <w:color w:val="auto"/>
              </w:rPr>
            </w:pPr>
            <w:r>
              <w:rPr>
                <w:rFonts w:ascii="Calibri" w:cs="Calibri" w:eastAsia="Calibri" w:hAnsi="Calibri"/>
                <w:sz w:val="19"/>
                <w:szCs w:val="19"/>
                <w:color w:val="auto"/>
              </w:rPr>
              <w:t>10.19</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Amendment No. 1 to Sales Agreement between Coherus BioSciences, Inc. and</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rPr>
              <w:t>10-Q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8/2/2023</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Cowen and Company, LLC, dated May 15, 2023.</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900" w:type="dxa"/>
            <w:vAlign w:val="bottom"/>
          </w:tcPr>
          <w:p>
            <w:pPr>
              <w:spacing w:after="0"/>
              <w:rPr>
                <w:sz w:val="20"/>
                <w:szCs w:val="20"/>
                <w:color w:val="auto"/>
              </w:rPr>
            </w:pPr>
            <w:r>
              <w:rPr>
                <w:rFonts w:ascii="Calibri" w:cs="Calibri" w:eastAsia="Calibri" w:hAnsi="Calibri"/>
                <w:sz w:val="19"/>
                <w:szCs w:val="19"/>
                <w:color w:val="auto"/>
              </w:rPr>
              <w:t>10.20</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Amendment No. 2 to Sales Agreement between Coherus BioSciences, Inc. and</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rPr>
              <w:t>10-Q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11/6/2023</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Cowen and Company, LLC dated September 11, 2023.</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900" w:type="dxa"/>
            <w:vAlign w:val="bottom"/>
          </w:tcPr>
          <w:p>
            <w:pPr>
              <w:spacing w:after="0"/>
              <w:rPr>
                <w:sz w:val="20"/>
                <w:szCs w:val="20"/>
                <w:color w:val="auto"/>
              </w:rPr>
            </w:pPr>
            <w:r>
              <w:rPr>
                <w:rFonts w:ascii="Calibri" w:cs="Calibri" w:eastAsia="Calibri" w:hAnsi="Calibri"/>
                <w:sz w:val="19"/>
                <w:szCs w:val="19"/>
                <w:color w:val="auto"/>
              </w:rPr>
              <w:t>10.21††</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First Amended and Restated Development and Option Agreement between</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w w:val="97"/>
              </w:rPr>
              <w:t>10-K</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3/15/2024</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w w:val="96"/>
              </w:rPr>
              <w:t>10.31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Adimab, LLC and Surface Oncology, Inc., dated October 3, 2018.</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10.22††</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License Agreement, dated as of December 16, 2020, by and between Surface</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w w:val="97"/>
              </w:rPr>
              <w:t>10-K</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3/15/2024</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w w:val="96"/>
              </w:rPr>
              <w:t>10.34</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Oncology,  Inc. and  GLAXOSMITHKLINE  INTELLECTUAL  PROPERTY  (No. 4)</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LIMITED.</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10.23††</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Amendment No. 1, dated as of August 11, 2021, to License Agreement, dated</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w w:val="97"/>
              </w:rPr>
              <w:t>10-K</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3/15/2024</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w w:val="96"/>
              </w:rPr>
              <w:t>10.35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as of December 16, 2020, by and between Surface Oncology, Inc. and</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GLAXOSMITHKLINE INTELLECTUAL PROPERTY (No. 4) LIMITED.</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10.24††</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Sixth Amendment, effective October 24, 2023, by and between Hudson 333</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w w:val="97"/>
              </w:rPr>
              <w:t>10-K</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3/15/2024</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w w:val="96"/>
              </w:rPr>
              <w:t>10.36</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Twin Dolphin Plaza, LLC and Coherus BioSciences, Inc.</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900" w:type="dxa"/>
            <w:vAlign w:val="bottom"/>
          </w:tcPr>
          <w:p>
            <w:pPr>
              <w:spacing w:after="0"/>
              <w:rPr>
                <w:sz w:val="20"/>
                <w:szCs w:val="20"/>
                <w:color w:val="auto"/>
              </w:rPr>
            </w:pPr>
            <w:r>
              <w:rPr>
                <w:rFonts w:ascii="Calibri" w:cs="Calibri" w:eastAsia="Calibri" w:hAnsi="Calibri"/>
                <w:sz w:val="19"/>
                <w:szCs w:val="19"/>
                <w:color w:val="auto"/>
              </w:rPr>
              <w:t>10.25††</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Amendment to and Waiver, dated October 25, 2023, under the Exclusive</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w w:val="97"/>
              </w:rPr>
              <w:t>10-K</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3/15/2024</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w w:val="96"/>
              </w:rPr>
              <w:t>10.37</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License and Commercialization Agreement, dated February 1, 2021, by and</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between Coherus Biosciences, Inc. and Shanghai Junshi Biosciences, Co. Ltd.</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10.26††</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Exclusive Product License Agreement, dated March 23, 2021, by and between</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w w:val="97"/>
              </w:rPr>
              <w:t>10-K</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3/15/2024</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w w:val="96"/>
              </w:rPr>
              <w:t>10.40</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Vaccinex, Inc. and Surface Oncology, Inc.</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10.27††</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Amendment No. 2 to the Exclusive License and Commercialization Agreement,</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rPr>
              <w:t>10-Q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5/9/2024</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as amended, as of March 13, 2024, by and between Coherus BioSciences, Inc.</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and Shanghai Junshi Biosciences Co., Ltd.</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10.28††</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Loan Agreement dated as of May 8, 2024 among Coherus BioSciences, Inc., the</w:t>
            </w:r>
          </w:p>
        </w:tc>
        <w:tc>
          <w:tcPr>
            <w:tcW w:w="620" w:type="dxa"/>
            <w:vAlign w:val="bottom"/>
            <w:gridSpan w:val="2"/>
          </w:tcPr>
          <w:p>
            <w:pPr>
              <w:jc w:val="center"/>
              <w:ind w:right="140"/>
              <w:spacing w:after="0"/>
              <w:rPr>
                <w:sz w:val="20"/>
                <w:szCs w:val="20"/>
                <w:color w:val="auto"/>
              </w:rPr>
            </w:pPr>
            <w:r>
              <w:rPr>
                <w:rFonts w:ascii="Calibri" w:cs="Calibri" w:eastAsia="Calibri" w:hAnsi="Calibri"/>
                <w:sz w:val="19"/>
                <w:szCs w:val="19"/>
                <w:color w:val="auto"/>
              </w:rPr>
              <w:t>8-K/A</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5/21/2024</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Guarantors, the Collateral Agent and the Lenders party thereto.</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7"/>
        </w:trPr>
        <w:tc>
          <w:tcPr>
            <w:tcW w:w="900" w:type="dxa"/>
            <w:vAlign w:val="bottom"/>
          </w:tcPr>
          <w:p>
            <w:pPr>
              <w:spacing w:after="0"/>
              <w:rPr>
                <w:sz w:val="20"/>
                <w:szCs w:val="20"/>
                <w:color w:val="auto"/>
              </w:rPr>
            </w:pPr>
            <w:r>
              <w:rPr>
                <w:rFonts w:ascii="Calibri" w:cs="Calibri" w:eastAsia="Calibri" w:hAnsi="Calibri"/>
                <w:sz w:val="19"/>
                <w:szCs w:val="19"/>
                <w:color w:val="auto"/>
              </w:rPr>
              <w:t>10.29††</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Revenue Participation Right Purchase and Sale Agreement dated as of May 8,</w:t>
            </w:r>
          </w:p>
        </w:tc>
        <w:tc>
          <w:tcPr>
            <w:tcW w:w="620" w:type="dxa"/>
            <w:vAlign w:val="bottom"/>
            <w:gridSpan w:val="2"/>
          </w:tcPr>
          <w:p>
            <w:pPr>
              <w:jc w:val="center"/>
              <w:ind w:right="140"/>
              <w:spacing w:after="0"/>
              <w:rPr>
                <w:sz w:val="20"/>
                <w:szCs w:val="20"/>
                <w:color w:val="auto"/>
              </w:rPr>
            </w:pPr>
            <w:r>
              <w:rPr>
                <w:rFonts w:ascii="Calibri" w:cs="Calibri" w:eastAsia="Calibri" w:hAnsi="Calibri"/>
                <w:sz w:val="19"/>
                <w:szCs w:val="19"/>
                <w:color w:val="auto"/>
              </w:rPr>
              <w:t>8-K/A</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5/21/2024</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2024 between Coherus BioSciences, Inc. and Coduet Royalty Holdings, LLC.</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10.30#</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Coherus Oncology, Inc. Amended and Restated 2014 Equity Incentive Award</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rPr>
              <w:t>10-Q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8/7/2025</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Plan.</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10.31††</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Omnibus Amendment to Transaction Documents dated as of June 25, 2024</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rPr>
              <w:t>10-Q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8/8/2024</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10.4</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among Coherus BioSciences, Inc., Coduet Royalty Holdings, LLC and Ankura</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Trust Company, LLC.</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10.32††</w:t>
            </w:r>
          </w:p>
        </w:tc>
        <w:tc>
          <w:tcPr>
            <w:tcW w:w="280" w:type="dxa"/>
            <w:vAlign w:val="bottom"/>
          </w:tcPr>
          <w:p>
            <w:pPr>
              <w:spacing w:after="0"/>
              <w:rPr>
                <w:sz w:val="24"/>
                <w:szCs w:val="24"/>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Exclusive License and Distribution Agreement dated as of June 27, 2024</w:t>
            </w:r>
          </w:p>
        </w:tc>
        <w:tc>
          <w:tcPr>
            <w:tcW w:w="620" w:type="dxa"/>
            <w:vAlign w:val="bottom"/>
            <w:gridSpan w:val="2"/>
          </w:tcPr>
          <w:p>
            <w:pPr>
              <w:jc w:val="center"/>
              <w:ind w:right="120"/>
              <w:spacing w:after="0"/>
              <w:rPr>
                <w:sz w:val="20"/>
                <w:szCs w:val="20"/>
                <w:color w:val="auto"/>
              </w:rPr>
            </w:pPr>
            <w:r>
              <w:rPr>
                <w:rFonts w:ascii="Calibri" w:cs="Calibri" w:eastAsia="Calibri" w:hAnsi="Calibri"/>
                <w:sz w:val="19"/>
                <w:szCs w:val="19"/>
                <w:color w:val="auto"/>
              </w:rPr>
              <w:t>10-Q</w:t>
            </w:r>
          </w:p>
        </w:tc>
        <w:tc>
          <w:tcPr>
            <w:tcW w:w="1160" w:type="dxa"/>
            <w:vAlign w:val="bottom"/>
          </w:tcPr>
          <w:p>
            <w:pPr>
              <w:jc w:val="center"/>
              <w:spacing w:after="0"/>
              <w:rPr>
                <w:sz w:val="20"/>
                <w:szCs w:val="20"/>
                <w:color w:val="auto"/>
              </w:rPr>
            </w:pPr>
            <w:r>
              <w:rPr>
                <w:rFonts w:ascii="Calibri" w:cs="Calibri" w:eastAsia="Calibri" w:hAnsi="Calibri"/>
                <w:sz w:val="19"/>
                <w:szCs w:val="19"/>
                <w:color w:val="auto"/>
                <w:w w:val="99"/>
              </w:rPr>
              <w:t>8/8/2024</w:t>
            </w:r>
          </w:p>
        </w:tc>
        <w:tc>
          <w:tcPr>
            <w:tcW w:w="900" w:type="dxa"/>
            <w:vAlign w:val="bottom"/>
            <w:gridSpan w:val="2"/>
          </w:tcPr>
          <w:p>
            <w:pPr>
              <w:jc w:val="center"/>
              <w:ind w:left="25"/>
              <w:spacing w:after="0"/>
              <w:rPr>
                <w:sz w:val="20"/>
                <w:szCs w:val="20"/>
                <w:color w:val="auto"/>
              </w:rPr>
            </w:pPr>
            <w:r>
              <w:rPr>
                <w:rFonts w:ascii="Calibri" w:cs="Calibri" w:eastAsia="Calibri" w:hAnsi="Calibri"/>
                <w:sz w:val="19"/>
                <w:szCs w:val="19"/>
                <w:color w:val="auto"/>
              </w:rPr>
              <w:t>10.5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80" w:type="dxa"/>
            <w:vAlign w:val="bottom"/>
            <w:gridSpan w:val="2"/>
          </w:tcPr>
          <w:p>
            <w:pPr>
              <w:spacing w:after="0"/>
              <w:rPr>
                <w:sz w:val="20"/>
                <w:szCs w:val="20"/>
                <w:color w:val="auto"/>
              </w:rPr>
            </w:pPr>
            <w:r>
              <w:rPr>
                <w:rFonts w:ascii="Calibri" w:cs="Calibri" w:eastAsia="Calibri" w:hAnsi="Calibri"/>
                <w:sz w:val="20"/>
                <w:szCs w:val="20"/>
                <w:color w:val="auto"/>
              </w:rPr>
              <w:t>between Coherus BioSciences, Inc. and Apotex, Inc.</w:t>
            </w: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8"/>
        </w:trPr>
        <w:tc>
          <w:tcPr>
            <w:tcW w:w="900" w:type="dxa"/>
            <w:vAlign w:val="bottom"/>
          </w:tcPr>
          <w:p>
            <w:pPr>
              <w:spacing w:after="0"/>
              <w:rPr>
                <w:sz w:val="24"/>
                <w:szCs w:val="24"/>
                <w:color w:val="auto"/>
              </w:rPr>
            </w:pPr>
          </w:p>
        </w:tc>
        <w:tc>
          <w:tcPr>
            <w:tcW w:w="6620" w:type="dxa"/>
            <w:vAlign w:val="bottom"/>
            <w:gridSpan w:val="2"/>
          </w:tcPr>
          <w:p>
            <w:pPr>
              <w:jc w:val="right"/>
              <w:ind w:right="1680"/>
              <w:spacing w:after="0"/>
              <w:rPr>
                <w:sz w:val="20"/>
                <w:szCs w:val="20"/>
                <w:color w:val="auto"/>
              </w:rPr>
            </w:pPr>
            <w:r>
              <w:rPr>
                <w:rFonts w:ascii="Calibri" w:cs="Calibri" w:eastAsia="Calibri" w:hAnsi="Calibri"/>
                <w:sz w:val="20"/>
                <w:szCs w:val="20"/>
                <w:color w:val="auto"/>
              </w:rPr>
              <w:t>119</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1160"/>
          </w:cols>
          <w:pgMar w:left="540" w:top="554" w:right="540" w:bottom="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0" w:type="dxa"/>
            <w:vAlign w:val="bottom"/>
            <w:vMerge w:val="restart"/>
          </w:tcPr>
          <w:p>
            <w:pPr>
              <w:spacing w:after="0"/>
              <w:rPr>
                <w:sz w:val="20"/>
                <w:szCs w:val="20"/>
                <w:color w:val="auto"/>
              </w:rPr>
            </w:pPr>
            <w:r>
              <w:rPr>
                <w:rFonts w:ascii="Calibri" w:cs="Calibri" w:eastAsia="Calibri" w:hAnsi="Calibri"/>
                <w:sz w:val="15"/>
                <w:szCs w:val="15"/>
                <w:b w:val="1"/>
                <w:bCs w:val="1"/>
                <w:color w:val="auto"/>
              </w:rPr>
              <w:t>Exhibit</w:t>
            </w:r>
          </w:p>
        </w:tc>
        <w:tc>
          <w:tcPr>
            <w:tcW w:w="28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Borders>
              <w:bottom w:val="single" w:sz="8" w:color="auto"/>
            </w:tcBorders>
            <w:gridSpan w:val="5"/>
          </w:tcPr>
          <w:p>
            <w:pPr>
              <w:ind w:left="620"/>
              <w:spacing w:after="0"/>
              <w:rPr>
                <w:sz w:val="20"/>
                <w:szCs w:val="20"/>
                <w:color w:val="auto"/>
              </w:rPr>
            </w:pPr>
            <w:r>
              <w:rPr>
                <w:rFonts w:ascii="Calibri" w:cs="Calibri" w:eastAsia="Calibri" w:hAnsi="Calibri"/>
                <w:sz w:val="15"/>
                <w:szCs w:val="15"/>
                <w:b w:val="1"/>
                <w:bCs w:val="1"/>
                <w:color w:val="auto"/>
              </w:rPr>
              <w:t>Incorporated by Reference</w:t>
            </w:r>
          </w:p>
        </w:tc>
        <w:tc>
          <w:tcPr>
            <w:tcW w:w="0" w:type="dxa"/>
            <w:vAlign w:val="bottom"/>
          </w:tcPr>
          <w:p>
            <w:pPr>
              <w:spacing w:after="0"/>
              <w:rPr>
                <w:sz w:val="1"/>
                <w:szCs w:val="1"/>
                <w:color w:val="auto"/>
              </w:rPr>
            </w:pPr>
          </w:p>
        </w:tc>
      </w:tr>
      <w:tr>
        <w:trPr>
          <w:trHeight w:val="162"/>
        </w:trPr>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line="161" w:lineRule="exact"/>
              <w:rPr>
                <w:sz w:val="20"/>
                <w:szCs w:val="20"/>
                <w:color w:val="auto"/>
              </w:rPr>
            </w:pPr>
            <w:r>
              <w:rPr>
                <w:rFonts w:ascii="Calibri" w:cs="Calibri" w:eastAsia="Calibri" w:hAnsi="Calibri"/>
                <w:sz w:val="15"/>
                <w:szCs w:val="15"/>
                <w:b w:val="1"/>
                <w:bCs w:val="1"/>
                <w:color w:val="auto"/>
              </w:rPr>
              <w:t>Filed</w:t>
            </w:r>
          </w:p>
        </w:tc>
        <w:tc>
          <w:tcPr>
            <w:tcW w:w="0" w:type="dxa"/>
            <w:vAlign w:val="bottom"/>
          </w:tcPr>
          <w:p>
            <w:pPr>
              <w:spacing w:after="0"/>
              <w:rPr>
                <w:sz w:val="1"/>
                <w:szCs w:val="1"/>
                <w:color w:val="auto"/>
              </w:rPr>
            </w:pPr>
          </w:p>
        </w:tc>
      </w:tr>
      <w:tr>
        <w:trPr>
          <w:trHeight w:val="195"/>
        </w:trPr>
        <w:tc>
          <w:tcPr>
            <w:tcW w:w="900" w:type="dxa"/>
            <w:vAlign w:val="bottom"/>
            <w:tcBorders>
              <w:bottom w:val="single" w:sz="8" w:color="auto"/>
            </w:tcBorders>
          </w:tcPr>
          <w:p>
            <w:pPr>
              <w:spacing w:after="0"/>
              <w:rPr>
                <w:sz w:val="20"/>
                <w:szCs w:val="20"/>
                <w:color w:val="auto"/>
              </w:rPr>
            </w:pPr>
            <w:r>
              <w:rPr>
                <w:rFonts w:ascii="Calibri" w:cs="Calibri" w:eastAsia="Calibri" w:hAnsi="Calibri"/>
                <w:sz w:val="15"/>
                <w:szCs w:val="15"/>
                <w:b w:val="1"/>
                <w:bCs w:val="1"/>
                <w:color w:val="auto"/>
              </w:rPr>
              <w:t>Number</w:t>
            </w:r>
          </w:p>
        </w:tc>
        <w:tc>
          <w:tcPr>
            <w:tcW w:w="280" w:type="dxa"/>
            <w:vAlign w:val="bottom"/>
          </w:tcPr>
          <w:p>
            <w:pPr>
              <w:spacing w:after="0"/>
              <w:rPr>
                <w:sz w:val="16"/>
                <w:szCs w:val="16"/>
                <w:color w:val="auto"/>
              </w:rPr>
            </w:pPr>
          </w:p>
        </w:tc>
        <w:tc>
          <w:tcPr>
            <w:tcW w:w="6340" w:type="dxa"/>
            <w:vAlign w:val="bottom"/>
            <w:tcBorders>
              <w:bottom w:val="single" w:sz="8" w:color="auto"/>
            </w:tcBorders>
          </w:tcPr>
          <w:p>
            <w:pPr>
              <w:ind w:left="2640"/>
              <w:spacing w:after="0"/>
              <w:rPr>
                <w:sz w:val="20"/>
                <w:szCs w:val="20"/>
                <w:color w:val="auto"/>
              </w:rPr>
            </w:pPr>
            <w:r>
              <w:rPr>
                <w:rFonts w:ascii="Calibri" w:cs="Calibri" w:eastAsia="Calibri" w:hAnsi="Calibri"/>
                <w:sz w:val="15"/>
                <w:szCs w:val="15"/>
                <w:b w:val="1"/>
                <w:bCs w:val="1"/>
                <w:color w:val="auto"/>
              </w:rPr>
              <w:t>Exhibit Description</w:t>
            </w:r>
          </w:p>
        </w:tc>
        <w:tc>
          <w:tcPr>
            <w:tcW w:w="140" w:type="dxa"/>
            <w:vAlign w:val="bottom"/>
          </w:tcPr>
          <w:p>
            <w:pPr>
              <w:spacing w:after="0"/>
              <w:rPr>
                <w:sz w:val="16"/>
                <w:szCs w:val="16"/>
                <w:color w:val="auto"/>
              </w:rPr>
            </w:pPr>
          </w:p>
        </w:tc>
        <w:tc>
          <w:tcPr>
            <w:tcW w:w="500" w:type="dxa"/>
            <w:vAlign w:val="bottom"/>
            <w:tcBorders>
              <w:bottom w:val="single" w:sz="8" w:color="auto"/>
            </w:tcBorders>
          </w:tcPr>
          <w:p>
            <w:pPr>
              <w:ind w:left="80"/>
              <w:spacing w:after="0"/>
              <w:rPr>
                <w:sz w:val="20"/>
                <w:szCs w:val="20"/>
                <w:color w:val="auto"/>
              </w:rPr>
            </w:pPr>
            <w:r>
              <w:rPr>
                <w:rFonts w:ascii="Calibri" w:cs="Calibri" w:eastAsia="Calibri" w:hAnsi="Calibri"/>
                <w:sz w:val="15"/>
                <w:szCs w:val="15"/>
                <w:b w:val="1"/>
                <w:bCs w:val="1"/>
                <w:color w:val="auto"/>
              </w:rPr>
              <w:t>Form</w:t>
            </w:r>
          </w:p>
        </w:tc>
        <w:tc>
          <w:tcPr>
            <w:tcW w:w="120" w:type="dxa"/>
            <w:vAlign w:val="bottom"/>
          </w:tcPr>
          <w:p>
            <w:pPr>
              <w:spacing w:after="0"/>
              <w:rPr>
                <w:sz w:val="16"/>
                <w:szCs w:val="16"/>
                <w:color w:val="auto"/>
              </w:rPr>
            </w:pPr>
          </w:p>
        </w:tc>
        <w:tc>
          <w:tcPr>
            <w:tcW w:w="1160" w:type="dxa"/>
            <w:vAlign w:val="bottom"/>
            <w:tcBorders>
              <w:bottom w:val="single" w:sz="8" w:color="auto"/>
            </w:tcBorders>
          </w:tcPr>
          <w:p>
            <w:pPr>
              <w:ind w:left="440"/>
              <w:spacing w:after="0"/>
              <w:rPr>
                <w:sz w:val="20"/>
                <w:szCs w:val="20"/>
                <w:color w:val="auto"/>
              </w:rPr>
            </w:pPr>
            <w:r>
              <w:rPr>
                <w:rFonts w:ascii="Calibri" w:cs="Calibri" w:eastAsia="Calibri" w:hAnsi="Calibri"/>
                <w:sz w:val="15"/>
                <w:szCs w:val="15"/>
                <w:b w:val="1"/>
                <w:bCs w:val="1"/>
                <w:color w:val="auto"/>
              </w:rPr>
              <w:t>Date</w:t>
            </w:r>
          </w:p>
        </w:tc>
        <w:tc>
          <w:tcPr>
            <w:tcW w:w="120" w:type="dxa"/>
            <w:vAlign w:val="bottom"/>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Calibri" w:cs="Calibri" w:eastAsia="Calibri" w:hAnsi="Calibri"/>
                <w:sz w:val="15"/>
                <w:szCs w:val="15"/>
                <w:b w:val="1"/>
                <w:bCs w:val="1"/>
                <w:color w:val="auto"/>
              </w:rPr>
              <w:t>Number</w:t>
            </w:r>
          </w:p>
        </w:tc>
        <w:tc>
          <w:tcPr>
            <w:tcW w:w="12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b w:val="1"/>
                <w:bCs w:val="1"/>
                <w:color w:val="auto"/>
                <w:w w:val="99"/>
              </w:rPr>
              <w:t>Herewith</w:t>
            </w:r>
          </w:p>
        </w:tc>
        <w:tc>
          <w:tcPr>
            <w:tcW w:w="0" w:type="dxa"/>
            <w:vAlign w:val="bottom"/>
          </w:tcPr>
          <w:p>
            <w:pPr>
              <w:spacing w:after="0"/>
              <w:rPr>
                <w:sz w:val="1"/>
                <w:szCs w:val="1"/>
                <w:color w:val="auto"/>
              </w:rPr>
            </w:pPr>
          </w:p>
        </w:tc>
      </w:tr>
    </w:tbl>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00" w:type="dxa"/>
            <w:vAlign w:val="bottom"/>
          </w:tcPr>
          <w:p>
            <w:pPr>
              <w:spacing w:after="0"/>
              <w:rPr>
                <w:sz w:val="20"/>
                <w:szCs w:val="20"/>
                <w:color w:val="auto"/>
              </w:rPr>
            </w:pPr>
            <w:r>
              <w:rPr>
                <w:rFonts w:ascii="Calibri" w:cs="Calibri" w:eastAsia="Calibri" w:hAnsi="Calibri"/>
                <w:sz w:val="19"/>
                <w:szCs w:val="19"/>
                <w:color w:val="auto"/>
              </w:rPr>
              <w:t>10.33††</w:t>
            </w:r>
          </w:p>
        </w:tc>
        <w:tc>
          <w:tcPr>
            <w:tcW w:w="6720" w:type="dxa"/>
            <w:vAlign w:val="bottom"/>
          </w:tcPr>
          <w:p>
            <w:pPr>
              <w:ind w:left="280"/>
              <w:spacing w:after="0"/>
              <w:rPr>
                <w:sz w:val="20"/>
                <w:szCs w:val="20"/>
                <w:color w:val="auto"/>
              </w:rPr>
            </w:pPr>
            <w:r>
              <w:rPr>
                <w:rFonts w:ascii="Calibri" w:cs="Calibri" w:eastAsia="Calibri" w:hAnsi="Calibri"/>
                <w:sz w:val="20"/>
                <w:szCs w:val="20"/>
                <w:color w:val="auto"/>
              </w:rPr>
              <w:t>Letter Agreement between Coherus BioSciences, Inc. and Paul Reider, dated as</w:t>
            </w:r>
          </w:p>
        </w:tc>
        <w:tc>
          <w:tcPr>
            <w:tcW w:w="660" w:type="dxa"/>
            <w:vAlign w:val="bottom"/>
          </w:tcPr>
          <w:p>
            <w:pPr>
              <w:jc w:val="center"/>
              <w:spacing w:after="0"/>
              <w:rPr>
                <w:sz w:val="20"/>
                <w:szCs w:val="20"/>
                <w:color w:val="auto"/>
              </w:rPr>
            </w:pPr>
            <w:r>
              <w:rPr>
                <w:rFonts w:ascii="Calibri" w:cs="Calibri" w:eastAsia="Calibri" w:hAnsi="Calibri"/>
                <w:sz w:val="19"/>
                <w:szCs w:val="19"/>
                <w:color w:val="auto"/>
              </w:rPr>
              <w:t>10-Q</w:t>
            </w:r>
          </w:p>
        </w:tc>
        <w:tc>
          <w:tcPr>
            <w:tcW w:w="1220" w:type="dxa"/>
            <w:vAlign w:val="bottom"/>
          </w:tcPr>
          <w:p>
            <w:pPr>
              <w:jc w:val="center"/>
              <w:spacing w:after="0"/>
              <w:rPr>
                <w:sz w:val="20"/>
                <w:szCs w:val="20"/>
                <w:color w:val="auto"/>
              </w:rPr>
            </w:pPr>
            <w:r>
              <w:rPr>
                <w:rFonts w:ascii="Calibri" w:cs="Calibri" w:eastAsia="Calibri" w:hAnsi="Calibri"/>
                <w:sz w:val="19"/>
                <w:szCs w:val="19"/>
                <w:color w:val="auto"/>
                <w:w w:val="99"/>
              </w:rPr>
              <w:t>8/7/2025</w:t>
            </w:r>
          </w:p>
        </w:tc>
        <w:tc>
          <w:tcPr>
            <w:tcW w:w="1360" w:type="dxa"/>
            <w:vAlign w:val="bottom"/>
          </w:tcPr>
          <w:p>
            <w:pPr>
              <w:jc w:val="center"/>
              <w:ind w:right="365"/>
              <w:spacing w:after="0"/>
              <w:rPr>
                <w:sz w:val="20"/>
                <w:szCs w:val="20"/>
                <w:color w:val="auto"/>
              </w:rPr>
            </w:pPr>
            <w:r>
              <w:rPr>
                <w:rFonts w:ascii="Calibri" w:cs="Calibri" w:eastAsia="Calibri" w:hAnsi="Calibri"/>
                <w:sz w:val="19"/>
                <w:szCs w:val="19"/>
                <w:color w:val="auto"/>
              </w:rPr>
              <w:t>10.1</w:t>
            </w:r>
          </w:p>
        </w:tc>
      </w:tr>
      <w:tr>
        <w:trPr>
          <w:trHeight w:val="266"/>
        </w:trPr>
        <w:tc>
          <w:tcPr>
            <w:tcW w:w="900" w:type="dxa"/>
            <w:vAlign w:val="bottom"/>
          </w:tcPr>
          <w:p>
            <w:pPr>
              <w:spacing w:after="0"/>
              <w:rPr>
                <w:sz w:val="23"/>
                <w:szCs w:val="23"/>
                <w:color w:val="auto"/>
              </w:rPr>
            </w:pPr>
          </w:p>
        </w:tc>
        <w:tc>
          <w:tcPr>
            <w:tcW w:w="6720" w:type="dxa"/>
            <w:vAlign w:val="bottom"/>
          </w:tcPr>
          <w:p>
            <w:pPr>
              <w:ind w:left="280"/>
              <w:spacing w:after="0"/>
              <w:rPr>
                <w:sz w:val="20"/>
                <w:szCs w:val="20"/>
                <w:color w:val="auto"/>
              </w:rPr>
            </w:pPr>
            <w:r>
              <w:rPr>
                <w:rFonts w:ascii="Calibri" w:cs="Calibri" w:eastAsia="Calibri" w:hAnsi="Calibri"/>
                <w:sz w:val="20"/>
                <w:szCs w:val="20"/>
                <w:color w:val="auto"/>
              </w:rPr>
              <w:t>of May 8, 2025.</w:t>
            </w:r>
          </w:p>
        </w:tc>
        <w:tc>
          <w:tcPr>
            <w:tcW w:w="6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454"/>
        </w:trPr>
        <w:tc>
          <w:tcPr>
            <w:tcW w:w="900" w:type="dxa"/>
            <w:vAlign w:val="bottom"/>
          </w:tcPr>
          <w:p>
            <w:pPr>
              <w:spacing w:after="0"/>
              <w:rPr>
                <w:sz w:val="20"/>
                <w:szCs w:val="20"/>
                <w:color w:val="auto"/>
              </w:rPr>
            </w:pPr>
            <w:r>
              <w:rPr>
                <w:rFonts w:ascii="Calibri" w:cs="Calibri" w:eastAsia="Calibri" w:hAnsi="Calibri"/>
                <w:sz w:val="19"/>
                <w:szCs w:val="19"/>
                <w:color w:val="auto"/>
              </w:rPr>
              <w:t>10.34††</w:t>
            </w:r>
          </w:p>
        </w:tc>
        <w:tc>
          <w:tcPr>
            <w:tcW w:w="6720" w:type="dxa"/>
            <w:vAlign w:val="bottom"/>
          </w:tcPr>
          <w:p>
            <w:pPr>
              <w:ind w:left="280"/>
              <w:spacing w:after="0"/>
              <w:rPr>
                <w:sz w:val="20"/>
                <w:szCs w:val="20"/>
                <w:color w:val="auto"/>
              </w:rPr>
            </w:pPr>
            <w:r>
              <w:rPr>
                <w:rFonts w:ascii="Calibri" w:cs="Calibri" w:eastAsia="Calibri" w:hAnsi="Calibri"/>
                <w:sz w:val="20"/>
                <w:szCs w:val="20"/>
                <w:color w:val="auto"/>
              </w:rPr>
              <w:t>Amendment No. 1 to Coherus Oncology, Inc. 2014 Employee Stock Purchase</w:t>
            </w:r>
          </w:p>
        </w:tc>
        <w:tc>
          <w:tcPr>
            <w:tcW w:w="660" w:type="dxa"/>
            <w:vAlign w:val="bottom"/>
          </w:tcPr>
          <w:p>
            <w:pPr>
              <w:jc w:val="center"/>
              <w:spacing w:after="0"/>
              <w:rPr>
                <w:sz w:val="20"/>
                <w:szCs w:val="20"/>
                <w:color w:val="auto"/>
              </w:rPr>
            </w:pPr>
            <w:r>
              <w:rPr>
                <w:rFonts w:ascii="Calibri" w:cs="Calibri" w:eastAsia="Calibri" w:hAnsi="Calibri"/>
                <w:sz w:val="19"/>
                <w:szCs w:val="19"/>
                <w:color w:val="auto"/>
              </w:rPr>
              <w:t>10-Q</w:t>
            </w:r>
          </w:p>
        </w:tc>
        <w:tc>
          <w:tcPr>
            <w:tcW w:w="1220" w:type="dxa"/>
            <w:vAlign w:val="bottom"/>
          </w:tcPr>
          <w:p>
            <w:pPr>
              <w:jc w:val="center"/>
              <w:spacing w:after="0"/>
              <w:rPr>
                <w:sz w:val="20"/>
                <w:szCs w:val="20"/>
                <w:color w:val="auto"/>
              </w:rPr>
            </w:pPr>
            <w:r>
              <w:rPr>
                <w:rFonts w:ascii="Calibri" w:cs="Calibri" w:eastAsia="Calibri" w:hAnsi="Calibri"/>
                <w:sz w:val="19"/>
                <w:szCs w:val="19"/>
                <w:color w:val="auto"/>
                <w:w w:val="99"/>
              </w:rPr>
              <w:t>8/7/2025</w:t>
            </w:r>
          </w:p>
        </w:tc>
        <w:tc>
          <w:tcPr>
            <w:tcW w:w="1360" w:type="dxa"/>
            <w:vAlign w:val="bottom"/>
          </w:tcPr>
          <w:p>
            <w:pPr>
              <w:jc w:val="center"/>
              <w:ind w:right="365"/>
              <w:spacing w:after="0"/>
              <w:rPr>
                <w:sz w:val="20"/>
                <w:szCs w:val="20"/>
                <w:color w:val="auto"/>
              </w:rPr>
            </w:pPr>
            <w:r>
              <w:rPr>
                <w:rFonts w:ascii="Calibri" w:cs="Calibri" w:eastAsia="Calibri" w:hAnsi="Calibri"/>
                <w:sz w:val="19"/>
                <w:szCs w:val="19"/>
                <w:color w:val="auto"/>
              </w:rPr>
              <w:t>10.4</w:t>
            </w:r>
          </w:p>
        </w:tc>
      </w:tr>
      <w:tr>
        <w:trPr>
          <w:trHeight w:val="266"/>
        </w:trPr>
        <w:tc>
          <w:tcPr>
            <w:tcW w:w="900" w:type="dxa"/>
            <w:vAlign w:val="bottom"/>
          </w:tcPr>
          <w:p>
            <w:pPr>
              <w:spacing w:after="0"/>
              <w:rPr>
                <w:sz w:val="23"/>
                <w:szCs w:val="23"/>
                <w:color w:val="auto"/>
              </w:rPr>
            </w:pPr>
          </w:p>
        </w:tc>
        <w:tc>
          <w:tcPr>
            <w:tcW w:w="6720" w:type="dxa"/>
            <w:vAlign w:val="bottom"/>
          </w:tcPr>
          <w:p>
            <w:pPr>
              <w:ind w:left="280"/>
              <w:spacing w:after="0"/>
              <w:rPr>
                <w:sz w:val="20"/>
                <w:szCs w:val="20"/>
                <w:color w:val="auto"/>
              </w:rPr>
            </w:pPr>
            <w:r>
              <w:rPr>
                <w:rFonts w:ascii="Calibri" w:cs="Calibri" w:eastAsia="Calibri" w:hAnsi="Calibri"/>
                <w:sz w:val="20"/>
                <w:szCs w:val="20"/>
                <w:color w:val="auto"/>
              </w:rPr>
              <w:t>Plan.</w:t>
            </w:r>
          </w:p>
        </w:tc>
        <w:tc>
          <w:tcPr>
            <w:tcW w:w="6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454"/>
        </w:trPr>
        <w:tc>
          <w:tcPr>
            <w:tcW w:w="900" w:type="dxa"/>
            <w:vAlign w:val="bottom"/>
          </w:tcPr>
          <w:p>
            <w:pPr>
              <w:spacing w:after="0"/>
              <w:rPr>
                <w:sz w:val="20"/>
                <w:szCs w:val="20"/>
                <w:color w:val="auto"/>
              </w:rPr>
            </w:pPr>
            <w:r>
              <w:rPr>
                <w:rFonts w:ascii="Calibri" w:cs="Calibri" w:eastAsia="Calibri" w:hAnsi="Calibri"/>
                <w:sz w:val="19"/>
                <w:szCs w:val="19"/>
                <w:color w:val="auto"/>
              </w:rPr>
              <w:t>19.1</w:t>
            </w:r>
          </w:p>
        </w:tc>
        <w:tc>
          <w:tcPr>
            <w:tcW w:w="6720" w:type="dxa"/>
            <w:vAlign w:val="bottom"/>
          </w:tcPr>
          <w:p>
            <w:pPr>
              <w:ind w:left="280"/>
              <w:spacing w:after="0"/>
              <w:rPr>
                <w:sz w:val="20"/>
                <w:szCs w:val="20"/>
                <w:color w:val="auto"/>
              </w:rPr>
            </w:pPr>
            <w:r>
              <w:rPr>
                <w:rFonts w:ascii="Calibri" w:cs="Calibri" w:eastAsia="Calibri" w:hAnsi="Calibri"/>
                <w:sz w:val="20"/>
                <w:szCs w:val="20"/>
                <w:color w:val="auto"/>
              </w:rPr>
              <w:t>Coherus BioSciences, Inc. Insider Trading Compliance Policy and Procedures,</w:t>
            </w:r>
          </w:p>
        </w:tc>
        <w:tc>
          <w:tcPr>
            <w:tcW w:w="660" w:type="dxa"/>
            <w:vAlign w:val="bottom"/>
          </w:tcPr>
          <w:p>
            <w:pPr>
              <w:jc w:val="center"/>
              <w:spacing w:after="0"/>
              <w:rPr>
                <w:sz w:val="20"/>
                <w:szCs w:val="20"/>
                <w:color w:val="auto"/>
              </w:rPr>
            </w:pPr>
            <w:r>
              <w:rPr>
                <w:rFonts w:ascii="Calibri" w:cs="Calibri" w:eastAsia="Calibri" w:hAnsi="Calibri"/>
                <w:sz w:val="19"/>
                <w:szCs w:val="19"/>
                <w:color w:val="auto"/>
                <w:w w:val="97"/>
              </w:rPr>
              <w:t>10-K</w:t>
            </w:r>
          </w:p>
        </w:tc>
        <w:tc>
          <w:tcPr>
            <w:tcW w:w="1220" w:type="dxa"/>
            <w:vAlign w:val="bottom"/>
          </w:tcPr>
          <w:p>
            <w:pPr>
              <w:jc w:val="center"/>
              <w:spacing w:after="0"/>
              <w:rPr>
                <w:sz w:val="20"/>
                <w:szCs w:val="20"/>
                <w:color w:val="auto"/>
              </w:rPr>
            </w:pPr>
            <w:r>
              <w:rPr>
                <w:rFonts w:ascii="Calibri" w:cs="Calibri" w:eastAsia="Calibri" w:hAnsi="Calibri"/>
                <w:sz w:val="19"/>
                <w:szCs w:val="19"/>
                <w:color w:val="auto"/>
                <w:w w:val="99"/>
              </w:rPr>
              <w:t>3/15/2024</w:t>
            </w:r>
          </w:p>
        </w:tc>
        <w:tc>
          <w:tcPr>
            <w:tcW w:w="1360" w:type="dxa"/>
            <w:vAlign w:val="bottom"/>
          </w:tcPr>
          <w:p>
            <w:pPr>
              <w:jc w:val="center"/>
              <w:ind w:right="365"/>
              <w:spacing w:after="0"/>
              <w:rPr>
                <w:sz w:val="20"/>
                <w:szCs w:val="20"/>
                <w:color w:val="auto"/>
              </w:rPr>
            </w:pPr>
            <w:r>
              <w:rPr>
                <w:rFonts w:ascii="Calibri" w:cs="Calibri" w:eastAsia="Calibri" w:hAnsi="Calibri"/>
                <w:sz w:val="19"/>
                <w:szCs w:val="19"/>
                <w:color w:val="auto"/>
                <w:w w:val="96"/>
              </w:rPr>
              <w:t>10.38</w:t>
            </w:r>
          </w:p>
        </w:tc>
      </w:tr>
      <w:tr>
        <w:trPr>
          <w:trHeight w:val="266"/>
        </w:trPr>
        <w:tc>
          <w:tcPr>
            <w:tcW w:w="900" w:type="dxa"/>
            <w:vAlign w:val="bottom"/>
          </w:tcPr>
          <w:p>
            <w:pPr>
              <w:spacing w:after="0"/>
              <w:rPr>
                <w:sz w:val="23"/>
                <w:szCs w:val="23"/>
                <w:color w:val="auto"/>
              </w:rPr>
            </w:pPr>
          </w:p>
        </w:tc>
        <w:tc>
          <w:tcPr>
            <w:tcW w:w="6720" w:type="dxa"/>
            <w:vAlign w:val="bottom"/>
          </w:tcPr>
          <w:p>
            <w:pPr>
              <w:ind w:left="280"/>
              <w:spacing w:after="0"/>
              <w:rPr>
                <w:sz w:val="20"/>
                <w:szCs w:val="20"/>
                <w:color w:val="auto"/>
              </w:rPr>
            </w:pPr>
            <w:r>
              <w:rPr>
                <w:rFonts w:ascii="Calibri" w:cs="Calibri" w:eastAsia="Calibri" w:hAnsi="Calibri"/>
                <w:sz w:val="20"/>
                <w:szCs w:val="20"/>
                <w:color w:val="auto"/>
              </w:rPr>
              <w:t>effective February 27, 2023.</w:t>
            </w:r>
          </w:p>
        </w:tc>
        <w:tc>
          <w:tcPr>
            <w:tcW w:w="6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488"/>
        </w:trPr>
        <w:tc>
          <w:tcPr>
            <w:tcW w:w="900" w:type="dxa"/>
            <w:vAlign w:val="bottom"/>
          </w:tcPr>
          <w:p>
            <w:pPr>
              <w:spacing w:after="0"/>
              <w:rPr>
                <w:sz w:val="20"/>
                <w:szCs w:val="20"/>
                <w:color w:val="auto"/>
              </w:rPr>
            </w:pPr>
            <w:r>
              <w:rPr>
                <w:rFonts w:ascii="Calibri" w:cs="Calibri" w:eastAsia="Calibri" w:hAnsi="Calibri"/>
                <w:sz w:val="19"/>
                <w:szCs w:val="19"/>
                <w:color w:val="auto"/>
              </w:rPr>
              <w:t>21.1</w:t>
            </w:r>
          </w:p>
        </w:tc>
        <w:tc>
          <w:tcPr>
            <w:tcW w:w="6720" w:type="dxa"/>
            <w:vAlign w:val="bottom"/>
          </w:tcPr>
          <w:p>
            <w:pPr>
              <w:ind w:left="280"/>
              <w:spacing w:after="0"/>
              <w:rPr>
                <w:sz w:val="20"/>
                <w:szCs w:val="20"/>
                <w:color w:val="auto"/>
              </w:rPr>
            </w:pPr>
            <w:r>
              <w:rPr>
                <w:rFonts w:ascii="Calibri" w:cs="Calibri" w:eastAsia="Calibri" w:hAnsi="Calibri"/>
                <w:sz w:val="20"/>
                <w:szCs w:val="20"/>
                <w:color w:val="auto"/>
              </w:rPr>
              <w:t>Subsidiaries of Coherus Oncology, Inc.</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ind w:left="1260"/>
              <w:spacing w:after="0"/>
              <w:rPr>
                <w:sz w:val="20"/>
                <w:szCs w:val="20"/>
                <w:color w:val="auto"/>
              </w:rPr>
            </w:pPr>
            <w:r>
              <w:rPr>
                <w:rFonts w:ascii="Calibri" w:cs="Calibri" w:eastAsia="Calibri" w:hAnsi="Calibri"/>
                <w:sz w:val="19"/>
                <w:szCs w:val="19"/>
                <w:color w:val="auto"/>
                <w:w w:val="80"/>
              </w:rPr>
              <w:t>X</w:t>
            </w:r>
          </w:p>
        </w:tc>
      </w:tr>
      <w:tr>
        <w:trPr>
          <w:trHeight w:val="476"/>
        </w:trPr>
        <w:tc>
          <w:tcPr>
            <w:tcW w:w="900" w:type="dxa"/>
            <w:vAlign w:val="bottom"/>
          </w:tcPr>
          <w:p>
            <w:pPr>
              <w:spacing w:after="0"/>
              <w:rPr>
                <w:sz w:val="20"/>
                <w:szCs w:val="20"/>
                <w:color w:val="auto"/>
              </w:rPr>
            </w:pPr>
            <w:r>
              <w:rPr>
                <w:rFonts w:ascii="Calibri" w:cs="Calibri" w:eastAsia="Calibri" w:hAnsi="Calibri"/>
                <w:sz w:val="19"/>
                <w:szCs w:val="19"/>
                <w:color w:val="auto"/>
              </w:rPr>
              <w:t>23.1</w:t>
            </w:r>
          </w:p>
        </w:tc>
        <w:tc>
          <w:tcPr>
            <w:tcW w:w="6720" w:type="dxa"/>
            <w:vAlign w:val="bottom"/>
          </w:tcPr>
          <w:p>
            <w:pPr>
              <w:ind w:left="280"/>
              <w:spacing w:after="0"/>
              <w:rPr>
                <w:sz w:val="20"/>
                <w:szCs w:val="20"/>
                <w:color w:val="auto"/>
              </w:rPr>
            </w:pPr>
            <w:r>
              <w:rPr>
                <w:rFonts w:ascii="Calibri" w:cs="Calibri" w:eastAsia="Calibri" w:hAnsi="Calibri"/>
                <w:sz w:val="20"/>
                <w:szCs w:val="20"/>
                <w:color w:val="auto"/>
              </w:rPr>
              <w:t>Consent of Independent Registered Public Accounting Firm.</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ind w:left="1260"/>
              <w:spacing w:after="0"/>
              <w:rPr>
                <w:sz w:val="20"/>
                <w:szCs w:val="20"/>
                <w:color w:val="auto"/>
              </w:rPr>
            </w:pPr>
            <w:r>
              <w:rPr>
                <w:rFonts w:ascii="Calibri" w:cs="Calibri" w:eastAsia="Calibri" w:hAnsi="Calibri"/>
                <w:sz w:val="19"/>
                <w:szCs w:val="19"/>
                <w:color w:val="auto"/>
                <w:w w:val="80"/>
              </w:rPr>
              <w:t>X</w:t>
            </w:r>
          </w:p>
        </w:tc>
      </w:tr>
      <w:tr>
        <w:trPr>
          <w:trHeight w:val="475"/>
        </w:trPr>
        <w:tc>
          <w:tcPr>
            <w:tcW w:w="900" w:type="dxa"/>
            <w:vAlign w:val="bottom"/>
          </w:tcPr>
          <w:p>
            <w:pPr>
              <w:spacing w:after="0"/>
              <w:rPr>
                <w:sz w:val="20"/>
                <w:szCs w:val="20"/>
                <w:color w:val="auto"/>
              </w:rPr>
            </w:pPr>
            <w:r>
              <w:rPr>
                <w:rFonts w:ascii="Calibri" w:cs="Calibri" w:eastAsia="Calibri" w:hAnsi="Calibri"/>
                <w:sz w:val="19"/>
                <w:szCs w:val="19"/>
                <w:color w:val="auto"/>
              </w:rPr>
              <w:t>24.1</w:t>
            </w:r>
          </w:p>
        </w:tc>
        <w:tc>
          <w:tcPr>
            <w:tcW w:w="6720" w:type="dxa"/>
            <w:vAlign w:val="bottom"/>
          </w:tcPr>
          <w:p>
            <w:pPr>
              <w:ind w:left="280"/>
              <w:spacing w:after="0"/>
              <w:rPr>
                <w:sz w:val="20"/>
                <w:szCs w:val="20"/>
                <w:color w:val="auto"/>
              </w:rPr>
            </w:pPr>
            <w:r>
              <w:rPr>
                <w:rFonts w:ascii="Calibri" w:cs="Calibri" w:eastAsia="Calibri" w:hAnsi="Calibri"/>
                <w:sz w:val="20"/>
                <w:szCs w:val="20"/>
                <w:color w:val="auto"/>
              </w:rPr>
              <w:t>Power of Attorney (included in the signature page to this Form 10 - K).</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ind w:left="1260"/>
              <w:spacing w:after="0"/>
              <w:rPr>
                <w:sz w:val="20"/>
                <w:szCs w:val="20"/>
                <w:color w:val="auto"/>
              </w:rPr>
            </w:pPr>
            <w:r>
              <w:rPr>
                <w:rFonts w:ascii="Calibri" w:cs="Calibri" w:eastAsia="Calibri" w:hAnsi="Calibri"/>
                <w:sz w:val="19"/>
                <w:szCs w:val="19"/>
                <w:color w:val="auto"/>
                <w:w w:val="80"/>
              </w:rPr>
              <w:t>X</w:t>
            </w:r>
          </w:p>
        </w:tc>
      </w:tr>
      <w:tr>
        <w:trPr>
          <w:trHeight w:val="455"/>
        </w:trPr>
        <w:tc>
          <w:tcPr>
            <w:tcW w:w="900" w:type="dxa"/>
            <w:vAlign w:val="bottom"/>
          </w:tcPr>
          <w:p>
            <w:pPr>
              <w:spacing w:after="0"/>
              <w:rPr>
                <w:sz w:val="20"/>
                <w:szCs w:val="20"/>
                <w:color w:val="auto"/>
              </w:rPr>
            </w:pPr>
            <w:r>
              <w:rPr>
                <w:rFonts w:ascii="Calibri" w:cs="Calibri" w:eastAsia="Calibri" w:hAnsi="Calibri"/>
                <w:sz w:val="19"/>
                <w:szCs w:val="19"/>
                <w:color w:val="auto"/>
              </w:rPr>
              <w:t>31.1</w:t>
            </w:r>
          </w:p>
        </w:tc>
        <w:tc>
          <w:tcPr>
            <w:tcW w:w="6720" w:type="dxa"/>
            <w:vAlign w:val="bottom"/>
          </w:tcPr>
          <w:p>
            <w:pPr>
              <w:ind w:left="280"/>
              <w:spacing w:after="0"/>
              <w:rPr>
                <w:sz w:val="20"/>
                <w:szCs w:val="20"/>
                <w:color w:val="auto"/>
              </w:rPr>
            </w:pPr>
            <w:r>
              <w:rPr>
                <w:rFonts w:ascii="Calibri" w:cs="Calibri" w:eastAsia="Calibri" w:hAnsi="Calibri"/>
                <w:sz w:val="20"/>
                <w:szCs w:val="20"/>
                <w:color w:val="auto"/>
              </w:rPr>
              <w:t>Certification of Principal Executive Officer Required Under Rule 13a - 14(a) and</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ind w:left="1260"/>
              <w:spacing w:after="0"/>
              <w:rPr>
                <w:sz w:val="20"/>
                <w:szCs w:val="20"/>
                <w:color w:val="auto"/>
              </w:rPr>
            </w:pPr>
            <w:r>
              <w:rPr>
                <w:rFonts w:ascii="Calibri" w:cs="Calibri" w:eastAsia="Calibri" w:hAnsi="Calibri"/>
                <w:sz w:val="19"/>
                <w:szCs w:val="19"/>
                <w:color w:val="auto"/>
                <w:w w:val="80"/>
              </w:rPr>
              <w:t>X</w:t>
            </w:r>
          </w:p>
        </w:tc>
      </w:tr>
      <w:tr>
        <w:trPr>
          <w:trHeight w:val="266"/>
        </w:trPr>
        <w:tc>
          <w:tcPr>
            <w:tcW w:w="900" w:type="dxa"/>
            <w:vAlign w:val="bottom"/>
          </w:tcPr>
          <w:p>
            <w:pPr>
              <w:spacing w:after="0"/>
              <w:rPr>
                <w:sz w:val="23"/>
                <w:szCs w:val="23"/>
                <w:color w:val="auto"/>
              </w:rPr>
            </w:pPr>
          </w:p>
        </w:tc>
        <w:tc>
          <w:tcPr>
            <w:tcW w:w="6720" w:type="dxa"/>
            <w:vAlign w:val="bottom"/>
          </w:tcPr>
          <w:p>
            <w:pPr>
              <w:ind w:left="280"/>
              <w:spacing w:after="0"/>
              <w:rPr>
                <w:sz w:val="20"/>
                <w:szCs w:val="20"/>
                <w:color w:val="auto"/>
              </w:rPr>
            </w:pPr>
            <w:r>
              <w:rPr>
                <w:rFonts w:ascii="Calibri" w:cs="Calibri" w:eastAsia="Calibri" w:hAnsi="Calibri"/>
                <w:sz w:val="20"/>
                <w:szCs w:val="20"/>
                <w:color w:val="auto"/>
              </w:rPr>
              <w:t>15d - 14(a) of the Securities Exchange Act of 1934, as amended.</w:t>
            </w:r>
          </w:p>
        </w:tc>
        <w:tc>
          <w:tcPr>
            <w:tcW w:w="6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31.2</w:t>
            </w:r>
          </w:p>
        </w:tc>
        <w:tc>
          <w:tcPr>
            <w:tcW w:w="6720" w:type="dxa"/>
            <w:vAlign w:val="bottom"/>
          </w:tcPr>
          <w:p>
            <w:pPr>
              <w:ind w:left="280"/>
              <w:spacing w:after="0"/>
              <w:rPr>
                <w:sz w:val="20"/>
                <w:szCs w:val="20"/>
                <w:color w:val="auto"/>
              </w:rPr>
            </w:pPr>
            <w:r>
              <w:rPr>
                <w:rFonts w:ascii="Calibri" w:cs="Calibri" w:eastAsia="Calibri" w:hAnsi="Calibri"/>
                <w:sz w:val="20"/>
                <w:szCs w:val="20"/>
                <w:color w:val="auto"/>
              </w:rPr>
              <w:t>Certification of Principal Financial Officer Required Under Rule 13a - 14(a) and</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ind w:left="1260"/>
              <w:spacing w:after="0"/>
              <w:rPr>
                <w:sz w:val="20"/>
                <w:szCs w:val="20"/>
                <w:color w:val="auto"/>
              </w:rPr>
            </w:pPr>
            <w:r>
              <w:rPr>
                <w:rFonts w:ascii="Calibri" w:cs="Calibri" w:eastAsia="Calibri" w:hAnsi="Calibri"/>
                <w:sz w:val="19"/>
                <w:szCs w:val="19"/>
                <w:color w:val="auto"/>
                <w:w w:val="80"/>
              </w:rPr>
              <w:t>X</w:t>
            </w:r>
          </w:p>
        </w:tc>
      </w:tr>
      <w:tr>
        <w:trPr>
          <w:trHeight w:val="266"/>
        </w:trPr>
        <w:tc>
          <w:tcPr>
            <w:tcW w:w="900" w:type="dxa"/>
            <w:vAlign w:val="bottom"/>
          </w:tcPr>
          <w:p>
            <w:pPr>
              <w:spacing w:after="0"/>
              <w:rPr>
                <w:sz w:val="23"/>
                <w:szCs w:val="23"/>
                <w:color w:val="auto"/>
              </w:rPr>
            </w:pPr>
          </w:p>
        </w:tc>
        <w:tc>
          <w:tcPr>
            <w:tcW w:w="6720" w:type="dxa"/>
            <w:vAlign w:val="bottom"/>
          </w:tcPr>
          <w:p>
            <w:pPr>
              <w:ind w:left="280"/>
              <w:spacing w:after="0"/>
              <w:rPr>
                <w:sz w:val="20"/>
                <w:szCs w:val="20"/>
                <w:color w:val="auto"/>
              </w:rPr>
            </w:pPr>
            <w:r>
              <w:rPr>
                <w:rFonts w:ascii="Calibri" w:cs="Calibri" w:eastAsia="Calibri" w:hAnsi="Calibri"/>
                <w:sz w:val="20"/>
                <w:szCs w:val="20"/>
                <w:color w:val="auto"/>
              </w:rPr>
              <w:t>15d - 14(a) of the Securities Exchange Act of 1934, as amended.</w:t>
            </w:r>
          </w:p>
        </w:tc>
        <w:tc>
          <w:tcPr>
            <w:tcW w:w="6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32.1</w:t>
            </w:r>
          </w:p>
        </w:tc>
        <w:tc>
          <w:tcPr>
            <w:tcW w:w="6720" w:type="dxa"/>
            <w:vAlign w:val="bottom"/>
          </w:tcPr>
          <w:p>
            <w:pPr>
              <w:ind w:left="280"/>
              <w:spacing w:after="0"/>
              <w:rPr>
                <w:sz w:val="20"/>
                <w:szCs w:val="20"/>
                <w:color w:val="auto"/>
              </w:rPr>
            </w:pPr>
            <w:r>
              <w:rPr>
                <w:rFonts w:ascii="Calibri" w:cs="Calibri" w:eastAsia="Calibri" w:hAnsi="Calibri"/>
                <w:sz w:val="20"/>
                <w:szCs w:val="20"/>
                <w:color w:val="auto"/>
              </w:rPr>
              <w:t>Certification of Principal Executive Officer and Principal Financial Officer</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ind w:left="1260"/>
              <w:spacing w:after="0"/>
              <w:rPr>
                <w:sz w:val="20"/>
                <w:szCs w:val="20"/>
                <w:color w:val="auto"/>
              </w:rPr>
            </w:pPr>
            <w:r>
              <w:rPr>
                <w:rFonts w:ascii="Calibri" w:cs="Calibri" w:eastAsia="Calibri" w:hAnsi="Calibri"/>
                <w:sz w:val="19"/>
                <w:szCs w:val="19"/>
                <w:color w:val="auto"/>
                <w:w w:val="80"/>
              </w:rPr>
              <w:t>X</w:t>
            </w:r>
          </w:p>
        </w:tc>
      </w:tr>
      <w:tr>
        <w:trPr>
          <w:trHeight w:val="245"/>
        </w:trPr>
        <w:tc>
          <w:tcPr>
            <w:tcW w:w="900" w:type="dxa"/>
            <w:vAlign w:val="bottom"/>
          </w:tcPr>
          <w:p>
            <w:pPr>
              <w:spacing w:after="0"/>
              <w:rPr>
                <w:sz w:val="21"/>
                <w:szCs w:val="21"/>
                <w:color w:val="auto"/>
              </w:rPr>
            </w:pPr>
          </w:p>
        </w:tc>
        <w:tc>
          <w:tcPr>
            <w:tcW w:w="6720" w:type="dxa"/>
            <w:vAlign w:val="bottom"/>
          </w:tcPr>
          <w:p>
            <w:pPr>
              <w:ind w:left="280"/>
              <w:spacing w:after="0"/>
              <w:rPr>
                <w:sz w:val="20"/>
                <w:szCs w:val="20"/>
                <w:color w:val="auto"/>
              </w:rPr>
            </w:pPr>
            <w:r>
              <w:rPr>
                <w:rFonts w:ascii="Calibri" w:cs="Calibri" w:eastAsia="Calibri" w:hAnsi="Calibri"/>
                <w:sz w:val="20"/>
                <w:szCs w:val="20"/>
                <w:color w:val="auto"/>
              </w:rPr>
              <w:t>Required Under Rule 13a - 14(b) of the Securities Exchange Act of 1934, as</w:t>
            </w:r>
          </w:p>
        </w:tc>
        <w:tc>
          <w:tcPr>
            <w:tcW w:w="6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6"/>
        </w:trPr>
        <w:tc>
          <w:tcPr>
            <w:tcW w:w="900" w:type="dxa"/>
            <w:vAlign w:val="bottom"/>
          </w:tcPr>
          <w:p>
            <w:pPr>
              <w:spacing w:after="0"/>
              <w:rPr>
                <w:sz w:val="23"/>
                <w:szCs w:val="23"/>
                <w:color w:val="auto"/>
              </w:rPr>
            </w:pPr>
          </w:p>
        </w:tc>
        <w:tc>
          <w:tcPr>
            <w:tcW w:w="6720" w:type="dxa"/>
            <w:vAlign w:val="bottom"/>
          </w:tcPr>
          <w:p>
            <w:pPr>
              <w:ind w:left="280"/>
              <w:spacing w:after="0"/>
              <w:rPr>
                <w:sz w:val="20"/>
                <w:szCs w:val="20"/>
                <w:color w:val="auto"/>
              </w:rPr>
            </w:pPr>
            <w:r>
              <w:rPr>
                <w:rFonts w:ascii="Calibri" w:cs="Calibri" w:eastAsia="Calibri" w:hAnsi="Calibri"/>
                <w:sz w:val="20"/>
                <w:szCs w:val="20"/>
                <w:color w:val="auto"/>
              </w:rPr>
              <w:t>amended, and 18 U.S.C. §1350.</w:t>
            </w:r>
          </w:p>
        </w:tc>
        <w:tc>
          <w:tcPr>
            <w:tcW w:w="6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560"/>
        </w:trPr>
        <w:tc>
          <w:tcPr>
            <w:tcW w:w="900" w:type="dxa"/>
            <w:vAlign w:val="bottom"/>
          </w:tcPr>
          <w:p>
            <w:pPr>
              <w:spacing w:after="0"/>
              <w:rPr>
                <w:sz w:val="20"/>
                <w:szCs w:val="20"/>
                <w:color w:val="auto"/>
              </w:rPr>
            </w:pPr>
            <w:r>
              <w:rPr>
                <w:rFonts w:ascii="Calibri" w:cs="Calibri" w:eastAsia="Calibri" w:hAnsi="Calibri"/>
                <w:sz w:val="19"/>
                <w:szCs w:val="19"/>
                <w:color w:val="auto"/>
              </w:rPr>
              <w:t>97.1</w:t>
            </w:r>
          </w:p>
        </w:tc>
        <w:tc>
          <w:tcPr>
            <w:tcW w:w="6720" w:type="dxa"/>
            <w:vAlign w:val="bottom"/>
          </w:tcPr>
          <w:p>
            <w:pPr>
              <w:ind w:left="280"/>
              <w:spacing w:after="0"/>
              <w:rPr>
                <w:sz w:val="20"/>
                <w:szCs w:val="20"/>
                <w:color w:val="auto"/>
              </w:rPr>
            </w:pPr>
            <w:r>
              <w:rPr>
                <w:rFonts w:ascii="Calibri" w:cs="Calibri" w:eastAsia="Calibri" w:hAnsi="Calibri"/>
                <w:sz w:val="20"/>
                <w:szCs w:val="20"/>
                <w:color w:val="auto"/>
              </w:rPr>
              <w:t>Coherus BioSciences, Inc. Clawback Policy, effective December 1, 2023.</w:t>
            </w:r>
          </w:p>
        </w:tc>
        <w:tc>
          <w:tcPr>
            <w:tcW w:w="660" w:type="dxa"/>
            <w:vAlign w:val="bottom"/>
          </w:tcPr>
          <w:p>
            <w:pPr>
              <w:jc w:val="center"/>
              <w:spacing w:after="0"/>
              <w:rPr>
                <w:sz w:val="20"/>
                <w:szCs w:val="20"/>
                <w:color w:val="auto"/>
              </w:rPr>
            </w:pPr>
            <w:r>
              <w:rPr>
                <w:rFonts w:ascii="Calibri" w:cs="Calibri" w:eastAsia="Calibri" w:hAnsi="Calibri"/>
                <w:sz w:val="19"/>
                <w:szCs w:val="19"/>
                <w:color w:val="auto"/>
                <w:w w:val="97"/>
              </w:rPr>
              <w:t>10-K</w:t>
            </w:r>
          </w:p>
        </w:tc>
        <w:tc>
          <w:tcPr>
            <w:tcW w:w="1220" w:type="dxa"/>
            <w:vAlign w:val="bottom"/>
          </w:tcPr>
          <w:p>
            <w:pPr>
              <w:jc w:val="center"/>
              <w:spacing w:after="0"/>
              <w:rPr>
                <w:sz w:val="20"/>
                <w:szCs w:val="20"/>
                <w:color w:val="auto"/>
              </w:rPr>
            </w:pPr>
            <w:r>
              <w:rPr>
                <w:rFonts w:ascii="Calibri" w:cs="Calibri" w:eastAsia="Calibri" w:hAnsi="Calibri"/>
                <w:sz w:val="19"/>
                <w:szCs w:val="19"/>
                <w:color w:val="auto"/>
                <w:w w:val="99"/>
              </w:rPr>
              <w:t>3/15/2024</w:t>
            </w:r>
          </w:p>
        </w:tc>
        <w:tc>
          <w:tcPr>
            <w:tcW w:w="1360" w:type="dxa"/>
            <w:vAlign w:val="bottom"/>
          </w:tcPr>
          <w:p>
            <w:pPr>
              <w:jc w:val="center"/>
              <w:ind w:right="365"/>
              <w:spacing w:after="0"/>
              <w:rPr>
                <w:sz w:val="20"/>
                <w:szCs w:val="20"/>
                <w:color w:val="auto"/>
              </w:rPr>
            </w:pPr>
            <w:r>
              <w:rPr>
                <w:rFonts w:ascii="Calibri" w:cs="Calibri" w:eastAsia="Calibri" w:hAnsi="Calibri"/>
                <w:sz w:val="19"/>
                <w:szCs w:val="19"/>
                <w:color w:val="auto"/>
              </w:rPr>
              <w:t>97.1</w:t>
            </w:r>
          </w:p>
        </w:tc>
      </w:tr>
      <w:tr>
        <w:trPr>
          <w:trHeight w:val="467"/>
        </w:trPr>
        <w:tc>
          <w:tcPr>
            <w:tcW w:w="900" w:type="dxa"/>
            <w:vAlign w:val="bottom"/>
          </w:tcPr>
          <w:p>
            <w:pPr>
              <w:spacing w:after="0"/>
              <w:rPr>
                <w:sz w:val="20"/>
                <w:szCs w:val="20"/>
                <w:color w:val="auto"/>
              </w:rPr>
            </w:pPr>
            <w:r>
              <w:rPr>
                <w:rFonts w:ascii="Calibri" w:cs="Calibri" w:eastAsia="Calibri" w:hAnsi="Calibri"/>
                <w:sz w:val="19"/>
                <w:szCs w:val="19"/>
                <w:color w:val="auto"/>
              </w:rPr>
              <w:t>101.INS</w:t>
            </w:r>
          </w:p>
        </w:tc>
        <w:tc>
          <w:tcPr>
            <w:tcW w:w="6720" w:type="dxa"/>
            <w:vAlign w:val="bottom"/>
          </w:tcPr>
          <w:p>
            <w:pPr>
              <w:ind w:left="280"/>
              <w:spacing w:after="0"/>
              <w:rPr>
                <w:sz w:val="20"/>
                <w:szCs w:val="20"/>
                <w:color w:val="auto"/>
              </w:rPr>
            </w:pPr>
            <w:r>
              <w:rPr>
                <w:rFonts w:ascii="Calibri" w:cs="Calibri" w:eastAsia="Calibri" w:hAnsi="Calibri"/>
                <w:sz w:val="20"/>
                <w:szCs w:val="20"/>
                <w:color w:val="auto"/>
              </w:rPr>
              <w:t>Inline XBRL Instance Document – the instance document does not appear in</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ind w:left="1260"/>
              <w:spacing w:after="0"/>
              <w:rPr>
                <w:sz w:val="20"/>
                <w:szCs w:val="20"/>
                <w:color w:val="auto"/>
              </w:rPr>
            </w:pPr>
            <w:r>
              <w:rPr>
                <w:rFonts w:ascii="Calibri" w:cs="Calibri" w:eastAsia="Calibri" w:hAnsi="Calibri"/>
                <w:sz w:val="19"/>
                <w:szCs w:val="19"/>
                <w:color w:val="auto"/>
                <w:w w:val="80"/>
              </w:rPr>
              <w:t>X</w:t>
            </w:r>
          </w:p>
        </w:tc>
      </w:tr>
      <w:tr>
        <w:trPr>
          <w:trHeight w:val="244"/>
        </w:trPr>
        <w:tc>
          <w:tcPr>
            <w:tcW w:w="900" w:type="dxa"/>
            <w:vAlign w:val="bottom"/>
          </w:tcPr>
          <w:p>
            <w:pPr>
              <w:spacing w:after="0"/>
              <w:rPr>
                <w:sz w:val="21"/>
                <w:szCs w:val="21"/>
                <w:color w:val="auto"/>
              </w:rPr>
            </w:pPr>
          </w:p>
        </w:tc>
        <w:tc>
          <w:tcPr>
            <w:tcW w:w="6720" w:type="dxa"/>
            <w:vAlign w:val="bottom"/>
          </w:tcPr>
          <w:p>
            <w:pPr>
              <w:ind w:left="280"/>
              <w:spacing w:after="0"/>
              <w:rPr>
                <w:sz w:val="20"/>
                <w:szCs w:val="20"/>
                <w:color w:val="auto"/>
              </w:rPr>
            </w:pPr>
            <w:r>
              <w:rPr>
                <w:rFonts w:ascii="Calibri" w:cs="Calibri" w:eastAsia="Calibri" w:hAnsi="Calibri"/>
                <w:sz w:val="20"/>
                <w:szCs w:val="20"/>
                <w:color w:val="auto"/>
              </w:rPr>
              <w:t>the Interactive Data File because its XBRL tags are embedded within the Inline</w:t>
            </w:r>
          </w:p>
        </w:tc>
        <w:tc>
          <w:tcPr>
            <w:tcW w:w="6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6"/>
        </w:trPr>
        <w:tc>
          <w:tcPr>
            <w:tcW w:w="900" w:type="dxa"/>
            <w:vAlign w:val="bottom"/>
          </w:tcPr>
          <w:p>
            <w:pPr>
              <w:spacing w:after="0"/>
              <w:rPr>
                <w:sz w:val="23"/>
                <w:szCs w:val="23"/>
                <w:color w:val="auto"/>
              </w:rPr>
            </w:pPr>
          </w:p>
        </w:tc>
        <w:tc>
          <w:tcPr>
            <w:tcW w:w="6720" w:type="dxa"/>
            <w:vAlign w:val="bottom"/>
          </w:tcPr>
          <w:p>
            <w:pPr>
              <w:ind w:left="280"/>
              <w:spacing w:after="0"/>
              <w:rPr>
                <w:sz w:val="20"/>
                <w:szCs w:val="20"/>
                <w:color w:val="auto"/>
              </w:rPr>
            </w:pPr>
            <w:r>
              <w:rPr>
                <w:rFonts w:ascii="Calibri" w:cs="Calibri" w:eastAsia="Calibri" w:hAnsi="Calibri"/>
                <w:sz w:val="20"/>
                <w:szCs w:val="20"/>
                <w:color w:val="auto"/>
              </w:rPr>
              <w:t>XBRL document.</w:t>
            </w:r>
          </w:p>
        </w:tc>
        <w:tc>
          <w:tcPr>
            <w:tcW w:w="6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488"/>
        </w:trPr>
        <w:tc>
          <w:tcPr>
            <w:tcW w:w="900" w:type="dxa"/>
            <w:vAlign w:val="bottom"/>
          </w:tcPr>
          <w:p>
            <w:pPr>
              <w:spacing w:after="0"/>
              <w:rPr>
                <w:sz w:val="20"/>
                <w:szCs w:val="20"/>
                <w:color w:val="auto"/>
              </w:rPr>
            </w:pPr>
            <w:r>
              <w:rPr>
                <w:rFonts w:ascii="Calibri" w:cs="Calibri" w:eastAsia="Calibri" w:hAnsi="Calibri"/>
                <w:sz w:val="19"/>
                <w:szCs w:val="19"/>
                <w:color w:val="auto"/>
              </w:rPr>
              <w:t>101.SCH</w:t>
            </w:r>
          </w:p>
        </w:tc>
        <w:tc>
          <w:tcPr>
            <w:tcW w:w="6720" w:type="dxa"/>
            <w:vAlign w:val="bottom"/>
          </w:tcPr>
          <w:p>
            <w:pPr>
              <w:ind w:left="280"/>
              <w:spacing w:after="0"/>
              <w:rPr>
                <w:sz w:val="20"/>
                <w:szCs w:val="20"/>
                <w:color w:val="auto"/>
              </w:rPr>
            </w:pPr>
            <w:r>
              <w:rPr>
                <w:rFonts w:ascii="Calibri" w:cs="Calibri" w:eastAsia="Calibri" w:hAnsi="Calibri"/>
                <w:sz w:val="20"/>
                <w:szCs w:val="20"/>
                <w:color w:val="auto"/>
              </w:rPr>
              <w:t>Inline XBRL Taxonomy Extension Schema Document</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ind w:left="1260"/>
              <w:spacing w:after="0"/>
              <w:rPr>
                <w:sz w:val="20"/>
                <w:szCs w:val="20"/>
                <w:color w:val="auto"/>
              </w:rPr>
            </w:pPr>
            <w:r>
              <w:rPr>
                <w:rFonts w:ascii="Calibri" w:cs="Calibri" w:eastAsia="Calibri" w:hAnsi="Calibri"/>
                <w:sz w:val="19"/>
                <w:szCs w:val="19"/>
                <w:color w:val="auto"/>
                <w:w w:val="80"/>
              </w:rPr>
              <w:t>X</w:t>
            </w:r>
          </w:p>
        </w:tc>
      </w:tr>
      <w:tr>
        <w:trPr>
          <w:trHeight w:val="488"/>
        </w:trPr>
        <w:tc>
          <w:tcPr>
            <w:tcW w:w="900" w:type="dxa"/>
            <w:vAlign w:val="bottom"/>
          </w:tcPr>
          <w:p>
            <w:pPr>
              <w:spacing w:after="0"/>
              <w:rPr>
                <w:sz w:val="20"/>
                <w:szCs w:val="20"/>
                <w:color w:val="auto"/>
              </w:rPr>
            </w:pPr>
            <w:r>
              <w:rPr>
                <w:rFonts w:ascii="Calibri" w:cs="Calibri" w:eastAsia="Calibri" w:hAnsi="Calibri"/>
                <w:sz w:val="19"/>
                <w:szCs w:val="19"/>
                <w:color w:val="auto"/>
              </w:rPr>
              <w:t>101.CAL</w:t>
            </w:r>
          </w:p>
        </w:tc>
        <w:tc>
          <w:tcPr>
            <w:tcW w:w="6720" w:type="dxa"/>
            <w:vAlign w:val="bottom"/>
          </w:tcPr>
          <w:p>
            <w:pPr>
              <w:ind w:left="280"/>
              <w:spacing w:after="0"/>
              <w:rPr>
                <w:sz w:val="20"/>
                <w:szCs w:val="20"/>
                <w:color w:val="auto"/>
              </w:rPr>
            </w:pPr>
            <w:r>
              <w:rPr>
                <w:rFonts w:ascii="Calibri" w:cs="Calibri" w:eastAsia="Calibri" w:hAnsi="Calibri"/>
                <w:sz w:val="20"/>
                <w:szCs w:val="20"/>
                <w:color w:val="auto"/>
              </w:rPr>
              <w:t>Inline XBRL Taxonomy Extension Calculation Linkbase Document</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ind w:left="1260"/>
              <w:spacing w:after="0"/>
              <w:rPr>
                <w:sz w:val="20"/>
                <w:szCs w:val="20"/>
                <w:color w:val="auto"/>
              </w:rPr>
            </w:pPr>
            <w:r>
              <w:rPr>
                <w:rFonts w:ascii="Calibri" w:cs="Calibri" w:eastAsia="Calibri" w:hAnsi="Calibri"/>
                <w:sz w:val="19"/>
                <w:szCs w:val="19"/>
                <w:color w:val="auto"/>
                <w:w w:val="80"/>
              </w:rPr>
              <w:t>X</w:t>
            </w:r>
          </w:p>
        </w:tc>
      </w:tr>
      <w:tr>
        <w:trPr>
          <w:trHeight w:val="488"/>
        </w:trPr>
        <w:tc>
          <w:tcPr>
            <w:tcW w:w="900" w:type="dxa"/>
            <w:vAlign w:val="bottom"/>
          </w:tcPr>
          <w:p>
            <w:pPr>
              <w:spacing w:after="0"/>
              <w:rPr>
                <w:sz w:val="20"/>
                <w:szCs w:val="20"/>
                <w:color w:val="auto"/>
              </w:rPr>
            </w:pPr>
            <w:r>
              <w:rPr>
                <w:rFonts w:ascii="Calibri" w:cs="Calibri" w:eastAsia="Calibri" w:hAnsi="Calibri"/>
                <w:sz w:val="19"/>
                <w:szCs w:val="19"/>
                <w:color w:val="auto"/>
              </w:rPr>
              <w:t>101.DEF</w:t>
            </w:r>
          </w:p>
        </w:tc>
        <w:tc>
          <w:tcPr>
            <w:tcW w:w="6720" w:type="dxa"/>
            <w:vAlign w:val="bottom"/>
          </w:tcPr>
          <w:p>
            <w:pPr>
              <w:ind w:left="280"/>
              <w:spacing w:after="0"/>
              <w:rPr>
                <w:sz w:val="20"/>
                <w:szCs w:val="20"/>
                <w:color w:val="auto"/>
              </w:rPr>
            </w:pPr>
            <w:r>
              <w:rPr>
                <w:rFonts w:ascii="Calibri" w:cs="Calibri" w:eastAsia="Calibri" w:hAnsi="Calibri"/>
                <w:sz w:val="20"/>
                <w:szCs w:val="20"/>
                <w:color w:val="auto"/>
              </w:rPr>
              <w:t>Inline XBRL Taxonomy Extension Definition Linkbase Document</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ind w:left="1260"/>
              <w:spacing w:after="0"/>
              <w:rPr>
                <w:sz w:val="20"/>
                <w:szCs w:val="20"/>
                <w:color w:val="auto"/>
              </w:rPr>
            </w:pPr>
            <w:r>
              <w:rPr>
                <w:rFonts w:ascii="Calibri" w:cs="Calibri" w:eastAsia="Calibri" w:hAnsi="Calibri"/>
                <w:sz w:val="19"/>
                <w:szCs w:val="19"/>
                <w:color w:val="auto"/>
                <w:w w:val="80"/>
              </w:rPr>
              <w:t>X</w:t>
            </w:r>
          </w:p>
        </w:tc>
      </w:tr>
      <w:tr>
        <w:trPr>
          <w:trHeight w:val="488"/>
        </w:trPr>
        <w:tc>
          <w:tcPr>
            <w:tcW w:w="900" w:type="dxa"/>
            <w:vAlign w:val="bottom"/>
          </w:tcPr>
          <w:p>
            <w:pPr>
              <w:spacing w:after="0"/>
              <w:rPr>
                <w:sz w:val="20"/>
                <w:szCs w:val="20"/>
                <w:color w:val="auto"/>
              </w:rPr>
            </w:pPr>
            <w:r>
              <w:rPr>
                <w:rFonts w:ascii="Calibri" w:cs="Calibri" w:eastAsia="Calibri" w:hAnsi="Calibri"/>
                <w:sz w:val="19"/>
                <w:szCs w:val="19"/>
                <w:color w:val="auto"/>
              </w:rPr>
              <w:t>101.LAB</w:t>
            </w:r>
          </w:p>
        </w:tc>
        <w:tc>
          <w:tcPr>
            <w:tcW w:w="6720" w:type="dxa"/>
            <w:vAlign w:val="bottom"/>
          </w:tcPr>
          <w:p>
            <w:pPr>
              <w:ind w:left="280"/>
              <w:spacing w:after="0"/>
              <w:rPr>
                <w:sz w:val="20"/>
                <w:szCs w:val="20"/>
                <w:color w:val="auto"/>
              </w:rPr>
            </w:pPr>
            <w:r>
              <w:rPr>
                <w:rFonts w:ascii="Calibri" w:cs="Calibri" w:eastAsia="Calibri" w:hAnsi="Calibri"/>
                <w:sz w:val="20"/>
                <w:szCs w:val="20"/>
                <w:color w:val="auto"/>
              </w:rPr>
              <w:t>Inline XBRL Taxonomy Extension Label Linkbase Document</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ind w:left="1260"/>
              <w:spacing w:after="0"/>
              <w:rPr>
                <w:sz w:val="20"/>
                <w:szCs w:val="20"/>
                <w:color w:val="auto"/>
              </w:rPr>
            </w:pPr>
            <w:r>
              <w:rPr>
                <w:rFonts w:ascii="Calibri" w:cs="Calibri" w:eastAsia="Calibri" w:hAnsi="Calibri"/>
                <w:sz w:val="19"/>
                <w:szCs w:val="19"/>
                <w:color w:val="auto"/>
                <w:w w:val="80"/>
              </w:rPr>
              <w:t>X</w:t>
            </w:r>
          </w:p>
        </w:tc>
      </w:tr>
      <w:tr>
        <w:trPr>
          <w:trHeight w:val="488"/>
        </w:trPr>
        <w:tc>
          <w:tcPr>
            <w:tcW w:w="900" w:type="dxa"/>
            <w:vAlign w:val="bottom"/>
          </w:tcPr>
          <w:p>
            <w:pPr>
              <w:spacing w:after="0"/>
              <w:rPr>
                <w:sz w:val="20"/>
                <w:szCs w:val="20"/>
                <w:color w:val="auto"/>
              </w:rPr>
            </w:pPr>
            <w:r>
              <w:rPr>
                <w:rFonts w:ascii="Calibri" w:cs="Calibri" w:eastAsia="Calibri" w:hAnsi="Calibri"/>
                <w:sz w:val="19"/>
                <w:szCs w:val="19"/>
                <w:color w:val="auto"/>
              </w:rPr>
              <w:t>101.PRE</w:t>
            </w:r>
          </w:p>
        </w:tc>
        <w:tc>
          <w:tcPr>
            <w:tcW w:w="6720" w:type="dxa"/>
            <w:vAlign w:val="bottom"/>
          </w:tcPr>
          <w:p>
            <w:pPr>
              <w:ind w:left="280"/>
              <w:spacing w:after="0"/>
              <w:rPr>
                <w:sz w:val="20"/>
                <w:szCs w:val="20"/>
                <w:color w:val="auto"/>
              </w:rPr>
            </w:pPr>
            <w:r>
              <w:rPr>
                <w:rFonts w:ascii="Calibri" w:cs="Calibri" w:eastAsia="Calibri" w:hAnsi="Calibri"/>
                <w:sz w:val="20"/>
                <w:szCs w:val="20"/>
                <w:color w:val="auto"/>
              </w:rPr>
              <w:t>Inline XBRL Taxonomy Extension Presentation Linkbase Document</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ind w:left="1260"/>
              <w:spacing w:after="0"/>
              <w:rPr>
                <w:sz w:val="20"/>
                <w:szCs w:val="20"/>
                <w:color w:val="auto"/>
              </w:rPr>
            </w:pPr>
            <w:r>
              <w:rPr>
                <w:rFonts w:ascii="Calibri" w:cs="Calibri" w:eastAsia="Calibri" w:hAnsi="Calibri"/>
                <w:sz w:val="19"/>
                <w:szCs w:val="19"/>
                <w:color w:val="auto"/>
                <w:w w:val="80"/>
              </w:rPr>
              <w:t>X</w:t>
            </w:r>
          </w:p>
        </w:tc>
      </w:tr>
      <w:tr>
        <w:trPr>
          <w:trHeight w:val="466"/>
        </w:trPr>
        <w:tc>
          <w:tcPr>
            <w:tcW w:w="900" w:type="dxa"/>
            <w:vAlign w:val="bottom"/>
          </w:tcPr>
          <w:p>
            <w:pPr>
              <w:spacing w:after="0"/>
              <w:rPr>
                <w:sz w:val="20"/>
                <w:szCs w:val="20"/>
                <w:color w:val="auto"/>
              </w:rPr>
            </w:pPr>
            <w:r>
              <w:rPr>
                <w:rFonts w:ascii="Calibri" w:cs="Calibri" w:eastAsia="Calibri" w:hAnsi="Calibri"/>
                <w:sz w:val="19"/>
                <w:szCs w:val="19"/>
                <w:color w:val="auto"/>
              </w:rPr>
              <w:t>104</w:t>
            </w:r>
          </w:p>
        </w:tc>
        <w:tc>
          <w:tcPr>
            <w:tcW w:w="6720" w:type="dxa"/>
            <w:vAlign w:val="bottom"/>
          </w:tcPr>
          <w:p>
            <w:pPr>
              <w:ind w:left="280"/>
              <w:spacing w:after="0"/>
              <w:rPr>
                <w:sz w:val="20"/>
                <w:szCs w:val="20"/>
                <w:color w:val="auto"/>
              </w:rPr>
            </w:pPr>
            <w:r>
              <w:rPr>
                <w:rFonts w:ascii="Calibri" w:cs="Calibri" w:eastAsia="Calibri" w:hAnsi="Calibri"/>
                <w:sz w:val="20"/>
                <w:szCs w:val="20"/>
                <w:color w:val="auto"/>
              </w:rPr>
              <w:t>Cover page Interactive Data File (formatted in Inline XBRL and contained in</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ind w:left="1260"/>
              <w:spacing w:after="0"/>
              <w:rPr>
                <w:sz w:val="20"/>
                <w:szCs w:val="20"/>
                <w:color w:val="auto"/>
              </w:rPr>
            </w:pPr>
            <w:r>
              <w:rPr>
                <w:rFonts w:ascii="Calibri" w:cs="Calibri" w:eastAsia="Calibri" w:hAnsi="Calibri"/>
                <w:sz w:val="19"/>
                <w:szCs w:val="19"/>
                <w:color w:val="auto"/>
                <w:w w:val="80"/>
              </w:rPr>
              <w:t>X</w:t>
            </w:r>
          </w:p>
        </w:tc>
      </w:tr>
      <w:tr>
        <w:trPr>
          <w:trHeight w:val="266"/>
        </w:trPr>
        <w:tc>
          <w:tcPr>
            <w:tcW w:w="900" w:type="dxa"/>
            <w:vAlign w:val="bottom"/>
          </w:tcPr>
          <w:p>
            <w:pPr>
              <w:spacing w:after="0"/>
              <w:rPr>
                <w:sz w:val="23"/>
                <w:szCs w:val="23"/>
                <w:color w:val="auto"/>
              </w:rPr>
            </w:pPr>
          </w:p>
        </w:tc>
        <w:tc>
          <w:tcPr>
            <w:tcW w:w="6720" w:type="dxa"/>
            <w:vAlign w:val="bottom"/>
          </w:tcPr>
          <w:p>
            <w:pPr>
              <w:ind w:left="280"/>
              <w:spacing w:after="0"/>
              <w:rPr>
                <w:sz w:val="20"/>
                <w:szCs w:val="20"/>
                <w:color w:val="auto"/>
              </w:rPr>
            </w:pPr>
            <w:r>
              <w:rPr>
                <w:rFonts w:ascii="Calibri" w:cs="Calibri" w:eastAsia="Calibri" w:hAnsi="Calibri"/>
                <w:sz w:val="20"/>
                <w:szCs w:val="20"/>
                <w:color w:val="auto"/>
              </w:rPr>
              <w:t>Exhibit 101)</w:t>
            </w:r>
          </w:p>
        </w:tc>
        <w:tc>
          <w:tcPr>
            <w:tcW w:w="6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60" w:type="dxa"/>
            <w:vAlign w:val="bottom"/>
          </w:tcPr>
          <w:p>
            <w:pPr>
              <w:spacing w:after="0"/>
              <w:rPr>
                <w:sz w:val="23"/>
                <w:szCs w:val="23"/>
                <w:color w:val="auto"/>
              </w:rPr>
            </w:pPr>
          </w:p>
        </w:tc>
      </w:tr>
    </w:tbl>
    <w:p>
      <w:pPr>
        <w:spacing w:after="0" w:line="143" w:lineRule="exact"/>
        <w:rPr>
          <w:sz w:val="20"/>
          <w:szCs w:val="20"/>
          <w:color w:val="auto"/>
        </w:rPr>
      </w:pPr>
    </w:p>
    <w:p>
      <w:pPr>
        <w:ind w:left="360" w:hanging="353"/>
        <w:spacing w:after="0" w:line="262" w:lineRule="auto"/>
        <w:tabs>
          <w:tab w:leader="none" w:pos="360" w:val="left"/>
        </w:tabs>
        <w:numPr>
          <w:ilvl w:val="0"/>
          <w:numId w:val="78"/>
        </w:numPr>
        <w:rPr>
          <w:rFonts w:ascii="Calibri" w:cs="Calibri" w:eastAsia="Calibri" w:hAnsi="Calibri"/>
          <w:sz w:val="20"/>
          <w:szCs w:val="20"/>
          <w:color w:val="auto"/>
        </w:rPr>
      </w:pPr>
      <w:r>
        <w:rPr>
          <w:rFonts w:ascii="Calibri" w:cs="Calibri" w:eastAsia="Calibri" w:hAnsi="Calibri"/>
          <w:sz w:val="20"/>
          <w:szCs w:val="20"/>
          <w:color w:val="auto"/>
        </w:rPr>
        <w:t>Portions of this exhibit (indicated by asterisks) have been omitted pursuant to a request for confidential treatment and this exhibit has been filed separately with the SEC.</w:t>
      </w:r>
    </w:p>
    <w:p>
      <w:pPr>
        <w:spacing w:after="0" w:line="74" w:lineRule="exact"/>
        <w:rPr>
          <w:sz w:val="20"/>
          <w:szCs w:val="20"/>
          <w:color w:val="auto"/>
        </w:rPr>
      </w:pPr>
    </w:p>
    <w:p>
      <w:pPr>
        <w:jc w:val="both"/>
        <w:ind w:left="360" w:hanging="353"/>
        <w:spacing w:after="0" w:line="251" w:lineRule="auto"/>
        <w:tabs>
          <w:tab w:leader="none" w:pos="360" w:val="left"/>
        </w:tabs>
        <w:numPr>
          <w:ilvl w:val="0"/>
          <w:numId w:val="79"/>
        </w:numPr>
        <w:rPr>
          <w:rFonts w:ascii="Calibri" w:cs="Calibri" w:eastAsia="Calibri" w:hAnsi="Calibri"/>
          <w:sz w:val="20"/>
          <w:szCs w:val="20"/>
          <w:color w:val="auto"/>
        </w:rPr>
      </w:pPr>
      <w:r>
        <w:rPr>
          <w:rFonts w:ascii="Calibri" w:cs="Calibri" w:eastAsia="Calibri" w:hAnsi="Calibri"/>
          <w:sz w:val="20"/>
          <w:szCs w:val="20"/>
          <w:color w:val="auto"/>
        </w:rPr>
        <w:t>Portions of this exhibit (indicated by asterisks) have been omitted pursuant to Regulation S-K, Item 601(b)(10), or schedules and attachments to this exhibit have been omitted pursuant to Regulation S-K, Item 601(a)(5). Information omitted pursuant to Regulation S-K, Item 601(b)(10) is not material and would likely cause competitive harm to the registrant if publicly disclosed.</w:t>
      </w:r>
    </w:p>
    <w:p>
      <w:pPr>
        <w:spacing w:after="0" w:line="88" w:lineRule="exact"/>
        <w:rPr>
          <w:sz w:val="20"/>
          <w:szCs w:val="20"/>
          <w:color w:val="auto"/>
        </w:rPr>
      </w:pPr>
    </w:p>
    <w:p>
      <w:pPr>
        <w:ind w:left="360" w:hanging="353"/>
        <w:spacing w:after="0"/>
        <w:tabs>
          <w:tab w:leader="none" w:pos="360" w:val="left"/>
        </w:tabs>
        <w:numPr>
          <w:ilvl w:val="0"/>
          <w:numId w:val="80"/>
        </w:numPr>
        <w:rPr>
          <w:rFonts w:ascii="Calibri" w:cs="Calibri" w:eastAsia="Calibri" w:hAnsi="Calibri"/>
          <w:sz w:val="20"/>
          <w:szCs w:val="20"/>
          <w:color w:val="auto"/>
        </w:rPr>
      </w:pPr>
      <w:r>
        <w:rPr>
          <w:rFonts w:ascii="Calibri" w:cs="Calibri" w:eastAsia="Calibri" w:hAnsi="Calibri"/>
          <w:sz w:val="20"/>
          <w:szCs w:val="20"/>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120</w:t>
      </w:r>
    </w:p>
    <w:p>
      <w:pPr>
        <w:sectPr>
          <w:pgSz w:w="12240" w:h="15840" w:orient="portrait"/>
          <w:cols w:equalWidth="0" w:num="1">
            <w:col w:w="11160"/>
          </w:cols>
          <w:pgMar w:left="540" w:top="554" w:right="540" w:bottom="0" w:gutter="0" w:footer="0" w:header="0"/>
        </w:sectPr>
      </w:pPr>
    </w:p>
    <w:bookmarkStart w:id="122" w:name="page123"/>
    <w:bookmarkEnd w:id="122"/>
    <w:p>
      <w:pPr>
        <w:jc w:val="center"/>
        <w:spacing w:after="0"/>
        <w:rPr>
          <w:sz w:val="20"/>
          <w:szCs w:val="20"/>
          <w:color w:val="auto"/>
        </w:rPr>
      </w:pPr>
      <w:r>
        <w:rPr>
          <w:rFonts w:ascii="Calibri" w:cs="Calibri" w:eastAsia="Calibri" w:hAnsi="Calibri"/>
          <w:sz w:val="20"/>
          <w:szCs w:val="20"/>
          <w:b w:val="1"/>
          <w:bCs w:val="1"/>
          <w:color w:val="auto"/>
        </w:rPr>
        <w:t>SIGNATURES</w:t>
      </w:r>
    </w:p>
    <w:p>
      <w:pPr>
        <w:spacing w:after="0" w:line="240" w:lineRule="exact"/>
        <w:rPr>
          <w:sz w:val="20"/>
          <w:szCs w:val="20"/>
          <w:color w:val="auto"/>
        </w:rPr>
      </w:pPr>
    </w:p>
    <w:p>
      <w:pPr>
        <w:ind w:firstLine="720"/>
        <w:spacing w:after="0" w:line="263" w:lineRule="auto"/>
        <w:rPr>
          <w:sz w:val="20"/>
          <w:szCs w:val="20"/>
          <w:color w:val="auto"/>
        </w:rPr>
      </w:pPr>
      <w:r>
        <w:rPr>
          <w:rFonts w:ascii="Calibri" w:cs="Calibri" w:eastAsia="Calibri" w:hAnsi="Calibri"/>
          <w:sz w:val="20"/>
          <w:szCs w:val="20"/>
          <w:color w:val="auto"/>
        </w:rPr>
        <w:t>Pursuant to the requirements of Section 13 or 15(d) the Securities Exchange Act of 1934, the registrant has duly caused this report to be signed on its behalf by the undersigned, thereunto duly authorized.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180" w:type="dxa"/>
            <w:vAlign w:val="bottom"/>
          </w:tcPr>
          <w:p>
            <w:pPr>
              <w:spacing w:after="0"/>
              <w:rPr>
                <w:sz w:val="21"/>
                <w:szCs w:val="21"/>
                <w:color w:val="auto"/>
              </w:rPr>
            </w:pPr>
          </w:p>
        </w:tc>
        <w:tc>
          <w:tcPr>
            <w:tcW w:w="6980" w:type="dxa"/>
            <w:vAlign w:val="bottom"/>
            <w:gridSpan w:val="2"/>
          </w:tcPr>
          <w:p>
            <w:pPr>
              <w:ind w:left="2540"/>
              <w:spacing w:after="0"/>
              <w:rPr>
                <w:sz w:val="20"/>
                <w:szCs w:val="20"/>
                <w:color w:val="auto"/>
              </w:rPr>
            </w:pPr>
            <w:r>
              <w:rPr>
                <w:rFonts w:ascii="Calibri" w:cs="Calibri" w:eastAsia="Calibri" w:hAnsi="Calibri"/>
                <w:sz w:val="19"/>
                <w:szCs w:val="19"/>
                <w:color w:val="auto"/>
              </w:rPr>
              <w:t>COHERUS ONCOLOGY, INC.</w:t>
            </w:r>
          </w:p>
        </w:tc>
      </w:tr>
      <w:tr>
        <w:trPr>
          <w:trHeight w:val="518"/>
        </w:trPr>
        <w:tc>
          <w:tcPr>
            <w:tcW w:w="4180" w:type="dxa"/>
            <w:vAlign w:val="bottom"/>
          </w:tcPr>
          <w:p>
            <w:pPr>
              <w:spacing w:after="0"/>
              <w:rPr>
                <w:sz w:val="20"/>
                <w:szCs w:val="20"/>
                <w:color w:val="auto"/>
              </w:rPr>
            </w:pPr>
            <w:r>
              <w:rPr>
                <w:rFonts w:ascii="Calibri" w:cs="Calibri" w:eastAsia="Calibri" w:hAnsi="Calibri"/>
                <w:sz w:val="19"/>
                <w:szCs w:val="19"/>
                <w:color w:val="auto"/>
              </w:rPr>
              <w:t xml:space="preserve">Date: </w:t>
            </w:r>
            <w:r>
              <w:rPr>
                <w:rFonts w:ascii="Calibri" w:cs="Calibri" w:eastAsia="Calibri" w:hAnsi="Calibri"/>
                <w:sz w:val="20"/>
                <w:szCs w:val="20"/>
                <w:color w:val="auto"/>
              </w:rPr>
              <w:t>March 9, 2026</w:t>
            </w:r>
          </w:p>
        </w:tc>
        <w:tc>
          <w:tcPr>
            <w:tcW w:w="3120" w:type="dxa"/>
            <w:vAlign w:val="bottom"/>
          </w:tcPr>
          <w:p>
            <w:pPr>
              <w:ind w:left="2540"/>
              <w:spacing w:after="0"/>
              <w:rPr>
                <w:sz w:val="20"/>
                <w:szCs w:val="20"/>
                <w:color w:val="auto"/>
              </w:rPr>
            </w:pPr>
            <w:r>
              <w:rPr>
                <w:rFonts w:ascii="Calibri" w:cs="Calibri" w:eastAsia="Calibri" w:hAnsi="Calibri"/>
                <w:sz w:val="19"/>
                <w:szCs w:val="19"/>
                <w:color w:val="auto"/>
              </w:rPr>
              <w:t>By:</w:t>
            </w:r>
          </w:p>
        </w:tc>
        <w:tc>
          <w:tcPr>
            <w:tcW w:w="3860" w:type="dxa"/>
            <w:vAlign w:val="bottom"/>
            <w:tcBorders>
              <w:bottom w:val="single" w:sz="8" w:color="auto"/>
            </w:tcBorders>
          </w:tcPr>
          <w:p>
            <w:pPr>
              <w:spacing w:after="0"/>
              <w:rPr>
                <w:sz w:val="20"/>
                <w:szCs w:val="20"/>
                <w:color w:val="auto"/>
              </w:rPr>
            </w:pPr>
            <w:r>
              <w:rPr>
                <w:rFonts w:ascii="Calibri" w:cs="Calibri" w:eastAsia="Calibri" w:hAnsi="Calibri"/>
                <w:sz w:val="19"/>
                <w:szCs w:val="19"/>
                <w:color w:val="auto"/>
              </w:rPr>
              <w:t>/s/ Dennis M. Lanfear</w:t>
            </w:r>
          </w:p>
        </w:tc>
      </w:tr>
      <w:tr>
        <w:trPr>
          <w:trHeight w:val="208"/>
        </w:trPr>
        <w:tc>
          <w:tcPr>
            <w:tcW w:w="4180" w:type="dxa"/>
            <w:vAlign w:val="bottom"/>
          </w:tcPr>
          <w:p>
            <w:pPr>
              <w:spacing w:after="0"/>
              <w:rPr>
                <w:sz w:val="18"/>
                <w:szCs w:val="18"/>
                <w:color w:val="auto"/>
              </w:rPr>
            </w:pPr>
          </w:p>
        </w:tc>
        <w:tc>
          <w:tcPr>
            <w:tcW w:w="3120" w:type="dxa"/>
            <w:vAlign w:val="bottom"/>
          </w:tcPr>
          <w:p>
            <w:pPr>
              <w:ind w:left="2540"/>
              <w:spacing w:after="0" w:line="208" w:lineRule="exact"/>
              <w:rPr>
                <w:sz w:val="20"/>
                <w:szCs w:val="20"/>
                <w:color w:val="auto"/>
              </w:rPr>
            </w:pPr>
            <w:r>
              <w:rPr>
                <w:rFonts w:ascii="Calibri" w:cs="Calibri" w:eastAsia="Calibri" w:hAnsi="Calibri"/>
                <w:sz w:val="19"/>
                <w:szCs w:val="19"/>
                <w:color w:val="auto"/>
              </w:rPr>
              <w:t>Name:</w:t>
            </w:r>
          </w:p>
        </w:tc>
        <w:tc>
          <w:tcPr>
            <w:tcW w:w="3860" w:type="dxa"/>
            <w:vAlign w:val="bottom"/>
          </w:tcPr>
          <w:p>
            <w:pPr>
              <w:spacing w:after="0" w:line="208" w:lineRule="exact"/>
              <w:rPr>
                <w:sz w:val="20"/>
                <w:szCs w:val="20"/>
                <w:color w:val="auto"/>
              </w:rPr>
            </w:pPr>
            <w:r>
              <w:rPr>
                <w:rFonts w:ascii="Calibri" w:cs="Calibri" w:eastAsia="Calibri" w:hAnsi="Calibri"/>
                <w:sz w:val="19"/>
                <w:szCs w:val="19"/>
                <w:color w:val="auto"/>
              </w:rPr>
              <w:t>Dennis M. Lanfear</w:t>
            </w:r>
          </w:p>
        </w:tc>
      </w:tr>
      <w:tr>
        <w:trPr>
          <w:trHeight w:val="232"/>
        </w:trPr>
        <w:tc>
          <w:tcPr>
            <w:tcW w:w="4180" w:type="dxa"/>
            <w:vAlign w:val="bottom"/>
          </w:tcPr>
          <w:p>
            <w:pPr>
              <w:spacing w:after="0"/>
              <w:rPr>
                <w:sz w:val="20"/>
                <w:szCs w:val="20"/>
                <w:color w:val="auto"/>
              </w:rPr>
            </w:pPr>
          </w:p>
        </w:tc>
        <w:tc>
          <w:tcPr>
            <w:tcW w:w="3120" w:type="dxa"/>
            <w:vAlign w:val="bottom"/>
          </w:tcPr>
          <w:p>
            <w:pPr>
              <w:ind w:left="2540"/>
              <w:spacing w:after="0"/>
              <w:rPr>
                <w:sz w:val="20"/>
                <w:szCs w:val="20"/>
                <w:color w:val="auto"/>
              </w:rPr>
            </w:pPr>
            <w:r>
              <w:rPr>
                <w:rFonts w:ascii="Calibri" w:cs="Calibri" w:eastAsia="Calibri" w:hAnsi="Calibri"/>
                <w:sz w:val="19"/>
                <w:szCs w:val="19"/>
                <w:color w:val="auto"/>
              </w:rPr>
              <w:t>Title:</w:t>
            </w:r>
          </w:p>
        </w:tc>
        <w:tc>
          <w:tcPr>
            <w:tcW w:w="3860" w:type="dxa"/>
            <w:vAlign w:val="bottom"/>
          </w:tcPr>
          <w:p>
            <w:pPr>
              <w:spacing w:after="0"/>
              <w:rPr>
                <w:sz w:val="20"/>
                <w:szCs w:val="20"/>
                <w:color w:val="auto"/>
              </w:rPr>
            </w:pPr>
            <w:r>
              <w:rPr>
                <w:rFonts w:ascii="Calibri" w:cs="Calibri" w:eastAsia="Calibri" w:hAnsi="Calibri"/>
                <w:sz w:val="19"/>
                <w:szCs w:val="19"/>
                <w:color w:val="auto"/>
              </w:rPr>
              <w:t>President and Chief Executive Officer</w:t>
            </w:r>
          </w:p>
        </w:tc>
      </w:tr>
      <w:tr>
        <w:trPr>
          <w:trHeight w:val="252"/>
        </w:trPr>
        <w:tc>
          <w:tcPr>
            <w:tcW w:w="41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3860" w:type="dxa"/>
            <w:vAlign w:val="bottom"/>
          </w:tcPr>
          <w:p>
            <w:pPr>
              <w:spacing w:after="0"/>
              <w:rPr>
                <w:sz w:val="20"/>
                <w:szCs w:val="20"/>
                <w:color w:val="auto"/>
              </w:rPr>
            </w:pPr>
            <w:r>
              <w:rPr>
                <w:rFonts w:ascii="Calibri" w:cs="Calibri" w:eastAsia="Calibri" w:hAnsi="Calibri"/>
                <w:sz w:val="19"/>
                <w:szCs w:val="19"/>
                <w:color w:val="auto"/>
              </w:rPr>
              <w:t>(Principal Executive Officer)</w:t>
            </w:r>
          </w:p>
        </w:tc>
      </w:tr>
    </w:tbl>
    <w:p>
      <w:pPr>
        <w:spacing w:after="0" w:line="200" w:lineRule="exact"/>
        <w:rPr>
          <w:sz w:val="20"/>
          <w:szCs w:val="20"/>
          <w:color w:val="auto"/>
        </w:rPr>
      </w:pPr>
    </w:p>
    <w:p>
      <w:pPr>
        <w:sectPr>
          <w:pgSz w:w="12240" w:h="15840" w:orient="portrait"/>
          <w:cols w:equalWidth="0" w:num="1">
            <w:col w:w="11160"/>
          </w:cols>
          <w:pgMar w:left="540" w:top="53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121</w:t>
      </w:r>
    </w:p>
    <w:p>
      <w:pPr>
        <w:sectPr>
          <w:pgSz w:w="12240" w:h="15840" w:orient="portrait"/>
          <w:cols w:equalWidth="0" w:num="1">
            <w:col w:w="11160"/>
          </w:cols>
          <w:pgMar w:left="540" w:top="531" w:right="540" w:bottom="0" w:gutter="0" w:footer="0" w:header="0"/>
          <w:type w:val="continuous"/>
        </w:sectPr>
      </w:pPr>
    </w:p>
    <w:bookmarkStart w:id="123" w:name="page124"/>
    <w:bookmarkEnd w:id="123"/>
    <w:p>
      <w:pPr>
        <w:jc w:val="center"/>
        <w:spacing w:after="0"/>
        <w:rPr>
          <w:sz w:val="20"/>
          <w:szCs w:val="20"/>
          <w:color w:val="auto"/>
        </w:rPr>
      </w:pPr>
      <w:r>
        <w:rPr>
          <w:rFonts w:ascii="Calibri" w:cs="Calibri" w:eastAsia="Calibri" w:hAnsi="Calibri"/>
          <w:sz w:val="20"/>
          <w:szCs w:val="20"/>
          <w:b w:val="1"/>
          <w:bCs w:val="1"/>
          <w:color w:val="auto"/>
        </w:rPr>
        <w:t>POWER OF ATTORNEY</w:t>
      </w:r>
    </w:p>
    <w:p>
      <w:pPr>
        <w:spacing w:after="0" w:line="240" w:lineRule="exact"/>
        <w:rPr>
          <w:sz w:val="20"/>
          <w:szCs w:val="20"/>
          <w:color w:val="auto"/>
        </w:rPr>
      </w:pPr>
    </w:p>
    <w:p>
      <w:pPr>
        <w:jc w:val="both"/>
        <w:ind w:firstLine="720"/>
        <w:spacing w:after="0" w:line="245" w:lineRule="auto"/>
        <w:rPr>
          <w:sz w:val="20"/>
          <w:szCs w:val="20"/>
          <w:color w:val="auto"/>
        </w:rPr>
      </w:pPr>
      <w:r>
        <w:rPr>
          <w:rFonts w:ascii="Calibri" w:cs="Calibri" w:eastAsia="Calibri" w:hAnsi="Calibri"/>
          <w:sz w:val="20"/>
          <w:szCs w:val="20"/>
          <w:color w:val="auto"/>
        </w:rPr>
        <w:t>KNOW ALL PERSONS BY THESE PRESENTS, that each person whose signature appears below constitutes and appoints Dennis M. Lanfear and Bryan McMichael, his or her attorneys-in-fact, for him or her in any and all capacities, to sign any amendments to this Annual Report on Form 10 - K, and to file the same, with exhibits thereto and other documents in connection therewith, with the U.S. Securities and Exchange Commission, hereby ratifying and confirming all that said attorneys-in-fact, or their substitute, may do or cause to be done by virtue thereof.</w:t>
      </w:r>
    </w:p>
    <w:p>
      <w:pPr>
        <w:spacing w:after="0" w:line="215" w:lineRule="exact"/>
        <w:rPr>
          <w:sz w:val="20"/>
          <w:szCs w:val="20"/>
          <w:color w:val="auto"/>
        </w:rPr>
      </w:pPr>
    </w:p>
    <w:p>
      <w:pPr>
        <w:jc w:val="both"/>
        <w:ind w:firstLine="720"/>
        <w:spacing w:after="0" w:line="262" w:lineRule="auto"/>
        <w:rPr>
          <w:sz w:val="20"/>
          <w:szCs w:val="20"/>
          <w:color w:val="auto"/>
        </w:rPr>
      </w:pPr>
      <w:r>
        <w:rPr>
          <w:rFonts w:ascii="Calibri" w:cs="Calibri" w:eastAsia="Calibri" w:hAnsi="Calibri"/>
          <w:sz w:val="20"/>
          <w:szCs w:val="20"/>
          <w:color w:val="auto"/>
        </w:rPr>
        <w:t>Pursuant to the requirements of the Securities Exchange Act of 1934, as amended, this report has been signed below by the following persons on behalf of the registrant and in the capacities and on the dates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86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color w:val="auto"/>
              </w:rPr>
              <w:t>/s/ Dennis M. Lanfear</w:t>
            </w:r>
          </w:p>
        </w:tc>
        <w:tc>
          <w:tcPr>
            <w:tcW w:w="20" w:type="dxa"/>
            <w:vAlign w:val="bottom"/>
          </w:tcPr>
          <w:p>
            <w:pPr>
              <w:spacing w:after="0"/>
              <w:rPr>
                <w:sz w:val="22"/>
                <w:szCs w:val="22"/>
                <w:color w:val="auto"/>
              </w:rPr>
            </w:pPr>
          </w:p>
        </w:tc>
        <w:tc>
          <w:tcPr>
            <w:tcW w:w="4380" w:type="dxa"/>
            <w:vAlign w:val="bottom"/>
          </w:tcPr>
          <w:p>
            <w:pPr>
              <w:jc w:val="center"/>
              <w:ind w:right="60"/>
              <w:spacing w:after="0"/>
              <w:rPr>
                <w:sz w:val="20"/>
                <w:szCs w:val="20"/>
                <w:color w:val="auto"/>
              </w:rPr>
            </w:pPr>
            <w:r>
              <w:rPr>
                <w:rFonts w:ascii="Calibri" w:cs="Calibri" w:eastAsia="Calibri" w:hAnsi="Calibri"/>
                <w:sz w:val="20"/>
                <w:szCs w:val="20"/>
                <w:color w:val="auto"/>
              </w:rPr>
              <w:t>Chairman, President and Chief Executive Officer</w:t>
            </w:r>
          </w:p>
        </w:tc>
        <w:tc>
          <w:tcPr>
            <w:tcW w:w="1500" w:type="dxa"/>
            <w:vAlign w:val="bottom"/>
          </w:tcPr>
          <w:p>
            <w:pPr>
              <w:ind w:left="320"/>
              <w:spacing w:after="0"/>
              <w:rPr>
                <w:sz w:val="20"/>
                <w:szCs w:val="20"/>
                <w:color w:val="auto"/>
              </w:rPr>
            </w:pPr>
            <w:r>
              <w:rPr>
                <w:rFonts w:ascii="Calibri" w:cs="Calibri" w:eastAsia="Calibri" w:hAnsi="Calibri"/>
                <w:sz w:val="20"/>
                <w:szCs w:val="20"/>
                <w:color w:val="auto"/>
                <w:w w:val="98"/>
              </w:rPr>
              <w:t>March 9, 2026</w:t>
            </w:r>
          </w:p>
        </w:tc>
      </w:tr>
      <w:tr>
        <w:trPr>
          <w:trHeight w:val="261"/>
        </w:trPr>
        <w:tc>
          <w:tcPr>
            <w:tcW w:w="4860" w:type="dxa"/>
            <w:vAlign w:val="bottom"/>
          </w:tcPr>
          <w:p>
            <w:pPr>
              <w:jc w:val="center"/>
              <w:spacing w:after="0"/>
              <w:rPr>
                <w:sz w:val="20"/>
                <w:szCs w:val="20"/>
                <w:color w:val="auto"/>
              </w:rPr>
            </w:pPr>
            <w:r>
              <w:rPr>
                <w:rFonts w:ascii="Calibri" w:cs="Calibri" w:eastAsia="Calibri" w:hAnsi="Calibri"/>
                <w:sz w:val="20"/>
                <w:szCs w:val="20"/>
                <w:color w:val="auto"/>
              </w:rPr>
              <w:t>Dennis M. Lanfear</w:t>
            </w:r>
          </w:p>
        </w:tc>
        <w:tc>
          <w:tcPr>
            <w:tcW w:w="20" w:type="dxa"/>
            <w:vAlign w:val="bottom"/>
          </w:tcPr>
          <w:p>
            <w:pPr>
              <w:spacing w:after="0"/>
              <w:rPr>
                <w:sz w:val="22"/>
                <w:szCs w:val="22"/>
                <w:color w:val="auto"/>
              </w:rPr>
            </w:pPr>
          </w:p>
        </w:tc>
        <w:tc>
          <w:tcPr>
            <w:tcW w:w="4380" w:type="dxa"/>
            <w:vAlign w:val="bottom"/>
          </w:tcPr>
          <w:p>
            <w:pPr>
              <w:jc w:val="center"/>
              <w:ind w:right="60"/>
              <w:spacing w:after="0" w:line="239" w:lineRule="exact"/>
              <w:rPr>
                <w:sz w:val="20"/>
                <w:szCs w:val="20"/>
                <w:color w:val="auto"/>
              </w:rPr>
            </w:pPr>
            <w:r>
              <w:rPr>
                <w:rFonts w:ascii="Calibri" w:cs="Calibri" w:eastAsia="Calibri" w:hAnsi="Calibri"/>
                <w:sz w:val="20"/>
                <w:szCs w:val="20"/>
                <w:i w:val="1"/>
                <w:iCs w:val="1"/>
                <w:color w:val="auto"/>
                <w:w w:val="99"/>
              </w:rPr>
              <w:t>(Principal Executive Officer)</w:t>
            </w:r>
          </w:p>
        </w:tc>
        <w:tc>
          <w:tcPr>
            <w:tcW w:w="1500" w:type="dxa"/>
            <w:vAlign w:val="bottom"/>
          </w:tcPr>
          <w:p>
            <w:pPr>
              <w:spacing w:after="0"/>
              <w:rPr>
                <w:sz w:val="22"/>
                <w:szCs w:val="22"/>
                <w:color w:val="auto"/>
              </w:rPr>
            </w:pPr>
          </w:p>
        </w:tc>
      </w:tr>
      <w:tr>
        <w:trPr>
          <w:trHeight w:val="467"/>
        </w:trPr>
        <w:tc>
          <w:tcPr>
            <w:tcW w:w="486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color w:val="auto"/>
                <w:w w:val="99"/>
              </w:rPr>
              <w:t>/s/ Bryan McMichael</w:t>
            </w:r>
          </w:p>
        </w:tc>
        <w:tc>
          <w:tcPr>
            <w:tcW w:w="20" w:type="dxa"/>
            <w:vAlign w:val="bottom"/>
          </w:tcPr>
          <w:p>
            <w:pPr>
              <w:spacing w:after="0"/>
              <w:rPr>
                <w:sz w:val="24"/>
                <w:szCs w:val="24"/>
                <w:color w:val="auto"/>
              </w:rPr>
            </w:pPr>
          </w:p>
        </w:tc>
        <w:tc>
          <w:tcPr>
            <w:tcW w:w="4380" w:type="dxa"/>
            <w:vAlign w:val="bottom"/>
          </w:tcPr>
          <w:p>
            <w:pPr>
              <w:jc w:val="center"/>
              <w:ind w:right="60"/>
              <w:spacing w:after="0"/>
              <w:rPr>
                <w:sz w:val="20"/>
                <w:szCs w:val="20"/>
                <w:color w:val="auto"/>
              </w:rPr>
            </w:pPr>
            <w:r>
              <w:rPr>
                <w:rFonts w:ascii="Calibri" w:cs="Calibri" w:eastAsia="Calibri" w:hAnsi="Calibri"/>
                <w:sz w:val="20"/>
                <w:szCs w:val="20"/>
                <w:color w:val="auto"/>
              </w:rPr>
              <w:t>Chief Financial Officer</w:t>
            </w:r>
          </w:p>
        </w:tc>
        <w:tc>
          <w:tcPr>
            <w:tcW w:w="1500" w:type="dxa"/>
            <w:vAlign w:val="bottom"/>
          </w:tcPr>
          <w:p>
            <w:pPr>
              <w:ind w:left="320"/>
              <w:spacing w:after="0"/>
              <w:rPr>
                <w:sz w:val="20"/>
                <w:szCs w:val="20"/>
                <w:color w:val="auto"/>
              </w:rPr>
            </w:pPr>
            <w:r>
              <w:rPr>
                <w:rFonts w:ascii="Calibri" w:cs="Calibri" w:eastAsia="Calibri" w:hAnsi="Calibri"/>
                <w:sz w:val="20"/>
                <w:szCs w:val="20"/>
                <w:color w:val="auto"/>
                <w:w w:val="98"/>
              </w:rPr>
              <w:t>March 9, 2026</w:t>
            </w:r>
          </w:p>
        </w:tc>
      </w:tr>
      <w:tr>
        <w:trPr>
          <w:trHeight w:val="209"/>
        </w:trPr>
        <w:tc>
          <w:tcPr>
            <w:tcW w:w="4860" w:type="dxa"/>
            <w:vAlign w:val="bottom"/>
          </w:tcPr>
          <w:p>
            <w:pPr>
              <w:jc w:val="center"/>
              <w:spacing w:after="0" w:line="209" w:lineRule="exact"/>
              <w:rPr>
                <w:sz w:val="20"/>
                <w:szCs w:val="20"/>
                <w:color w:val="auto"/>
              </w:rPr>
            </w:pPr>
            <w:r>
              <w:rPr>
                <w:rFonts w:ascii="Calibri" w:cs="Calibri" w:eastAsia="Calibri" w:hAnsi="Calibri"/>
                <w:sz w:val="20"/>
                <w:szCs w:val="20"/>
                <w:color w:val="auto"/>
              </w:rPr>
              <w:t>Bryan McMichael</w:t>
            </w:r>
          </w:p>
        </w:tc>
        <w:tc>
          <w:tcPr>
            <w:tcW w:w="20" w:type="dxa"/>
            <w:vAlign w:val="bottom"/>
          </w:tcPr>
          <w:p>
            <w:pPr>
              <w:spacing w:after="0"/>
              <w:rPr>
                <w:sz w:val="18"/>
                <w:szCs w:val="18"/>
                <w:color w:val="auto"/>
              </w:rPr>
            </w:pPr>
          </w:p>
        </w:tc>
        <w:tc>
          <w:tcPr>
            <w:tcW w:w="4380" w:type="dxa"/>
            <w:vAlign w:val="bottom"/>
          </w:tcPr>
          <w:p>
            <w:pPr>
              <w:jc w:val="center"/>
              <w:ind w:right="60"/>
              <w:spacing w:after="0" w:line="209" w:lineRule="exact"/>
              <w:rPr>
                <w:sz w:val="20"/>
                <w:szCs w:val="20"/>
                <w:color w:val="auto"/>
              </w:rPr>
            </w:pPr>
            <w:r>
              <w:rPr>
                <w:rFonts w:ascii="Calibri" w:cs="Calibri" w:eastAsia="Calibri" w:hAnsi="Calibri"/>
                <w:sz w:val="20"/>
                <w:szCs w:val="20"/>
                <w:i w:val="1"/>
                <w:iCs w:val="1"/>
                <w:color w:val="auto"/>
                <w:w w:val="99"/>
              </w:rPr>
              <w:t>(Principal Financial Officer and</w:t>
            </w:r>
          </w:p>
        </w:tc>
        <w:tc>
          <w:tcPr>
            <w:tcW w:w="1500" w:type="dxa"/>
            <w:vAlign w:val="bottom"/>
          </w:tcPr>
          <w:p>
            <w:pPr>
              <w:spacing w:after="0"/>
              <w:rPr>
                <w:sz w:val="18"/>
                <w:szCs w:val="18"/>
                <w:color w:val="auto"/>
              </w:rPr>
            </w:pPr>
          </w:p>
        </w:tc>
      </w:tr>
      <w:tr>
        <w:trPr>
          <w:trHeight w:val="258"/>
        </w:trPr>
        <w:tc>
          <w:tcPr>
            <w:tcW w:w="4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80" w:type="dxa"/>
            <w:vAlign w:val="bottom"/>
          </w:tcPr>
          <w:p>
            <w:pPr>
              <w:jc w:val="center"/>
              <w:ind w:right="60"/>
              <w:spacing w:after="0"/>
              <w:rPr>
                <w:sz w:val="20"/>
                <w:szCs w:val="20"/>
                <w:color w:val="auto"/>
              </w:rPr>
            </w:pPr>
            <w:r>
              <w:rPr>
                <w:rFonts w:ascii="Calibri" w:cs="Calibri" w:eastAsia="Calibri" w:hAnsi="Calibri"/>
                <w:sz w:val="20"/>
                <w:szCs w:val="20"/>
                <w:i w:val="1"/>
                <w:iCs w:val="1"/>
                <w:color w:val="auto"/>
                <w:w w:val="99"/>
              </w:rPr>
              <w:t>Principal Accounting Officer)</w:t>
            </w:r>
          </w:p>
        </w:tc>
        <w:tc>
          <w:tcPr>
            <w:tcW w:w="1500" w:type="dxa"/>
            <w:vAlign w:val="bottom"/>
          </w:tcPr>
          <w:p>
            <w:pPr>
              <w:spacing w:after="0"/>
              <w:rPr>
                <w:sz w:val="22"/>
                <w:szCs w:val="22"/>
                <w:color w:val="auto"/>
              </w:rPr>
            </w:pPr>
          </w:p>
        </w:tc>
      </w:tr>
      <w:tr>
        <w:trPr>
          <w:trHeight w:val="490"/>
        </w:trPr>
        <w:tc>
          <w:tcPr>
            <w:tcW w:w="486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color w:val="auto"/>
                <w:w w:val="99"/>
              </w:rPr>
              <w:t>/s/ Georgia Erbez</w:t>
            </w:r>
          </w:p>
        </w:tc>
        <w:tc>
          <w:tcPr>
            <w:tcW w:w="20" w:type="dxa"/>
            <w:vAlign w:val="bottom"/>
          </w:tcPr>
          <w:p>
            <w:pPr>
              <w:spacing w:after="0"/>
              <w:rPr>
                <w:sz w:val="24"/>
                <w:szCs w:val="24"/>
                <w:color w:val="auto"/>
              </w:rPr>
            </w:pPr>
          </w:p>
        </w:tc>
        <w:tc>
          <w:tcPr>
            <w:tcW w:w="4380" w:type="dxa"/>
            <w:vAlign w:val="bottom"/>
          </w:tcPr>
          <w:p>
            <w:pPr>
              <w:jc w:val="center"/>
              <w:ind w:right="60"/>
              <w:spacing w:after="0"/>
              <w:rPr>
                <w:sz w:val="20"/>
                <w:szCs w:val="20"/>
                <w:color w:val="auto"/>
              </w:rPr>
            </w:pPr>
            <w:r>
              <w:rPr>
                <w:rFonts w:ascii="Calibri" w:cs="Calibri" w:eastAsia="Calibri" w:hAnsi="Calibri"/>
                <w:sz w:val="20"/>
                <w:szCs w:val="20"/>
                <w:color w:val="auto"/>
                <w:w w:val="99"/>
              </w:rPr>
              <w:t>Director</w:t>
            </w:r>
          </w:p>
        </w:tc>
        <w:tc>
          <w:tcPr>
            <w:tcW w:w="1500" w:type="dxa"/>
            <w:vAlign w:val="bottom"/>
          </w:tcPr>
          <w:p>
            <w:pPr>
              <w:ind w:left="320"/>
              <w:spacing w:after="0"/>
              <w:rPr>
                <w:sz w:val="20"/>
                <w:szCs w:val="20"/>
                <w:color w:val="auto"/>
              </w:rPr>
            </w:pPr>
            <w:r>
              <w:rPr>
                <w:rFonts w:ascii="Calibri" w:cs="Calibri" w:eastAsia="Calibri" w:hAnsi="Calibri"/>
                <w:sz w:val="20"/>
                <w:szCs w:val="20"/>
                <w:color w:val="auto"/>
                <w:w w:val="98"/>
              </w:rPr>
              <w:t>March 9, 2026</w:t>
            </w:r>
          </w:p>
        </w:tc>
      </w:tr>
      <w:tr>
        <w:trPr>
          <w:trHeight w:val="261"/>
        </w:trPr>
        <w:tc>
          <w:tcPr>
            <w:tcW w:w="4860" w:type="dxa"/>
            <w:vAlign w:val="bottom"/>
          </w:tcPr>
          <w:p>
            <w:pPr>
              <w:jc w:val="center"/>
              <w:spacing w:after="0"/>
              <w:rPr>
                <w:sz w:val="20"/>
                <w:szCs w:val="20"/>
                <w:color w:val="auto"/>
              </w:rPr>
            </w:pPr>
            <w:r>
              <w:rPr>
                <w:rFonts w:ascii="Calibri" w:cs="Calibri" w:eastAsia="Calibri" w:hAnsi="Calibri"/>
                <w:sz w:val="20"/>
                <w:szCs w:val="20"/>
                <w:color w:val="auto"/>
                <w:w w:val="98"/>
              </w:rPr>
              <w:t>Georgia Erbez</w:t>
            </w:r>
          </w:p>
        </w:tc>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466"/>
        </w:trPr>
        <w:tc>
          <w:tcPr>
            <w:tcW w:w="486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color w:val="auto"/>
                <w:w w:val="99"/>
              </w:rPr>
              <w:t>/s/ Lee N. Newcomer</w:t>
            </w:r>
          </w:p>
        </w:tc>
        <w:tc>
          <w:tcPr>
            <w:tcW w:w="20" w:type="dxa"/>
            <w:vAlign w:val="bottom"/>
            <w:tcBorders>
              <w:bottom w:val="single" w:sz="8" w:color="auto"/>
            </w:tcBorders>
          </w:tcPr>
          <w:p>
            <w:pPr>
              <w:spacing w:after="0"/>
              <w:rPr>
                <w:sz w:val="24"/>
                <w:szCs w:val="24"/>
                <w:color w:val="auto"/>
              </w:rPr>
            </w:pPr>
          </w:p>
        </w:tc>
        <w:tc>
          <w:tcPr>
            <w:tcW w:w="4380" w:type="dxa"/>
            <w:vAlign w:val="bottom"/>
          </w:tcPr>
          <w:p>
            <w:pPr>
              <w:jc w:val="center"/>
              <w:ind w:right="60"/>
              <w:spacing w:after="0"/>
              <w:rPr>
                <w:sz w:val="20"/>
                <w:szCs w:val="20"/>
                <w:color w:val="auto"/>
              </w:rPr>
            </w:pPr>
            <w:r>
              <w:rPr>
                <w:rFonts w:ascii="Calibri" w:cs="Calibri" w:eastAsia="Calibri" w:hAnsi="Calibri"/>
                <w:sz w:val="20"/>
                <w:szCs w:val="20"/>
                <w:color w:val="auto"/>
                <w:w w:val="99"/>
              </w:rPr>
              <w:t>Director</w:t>
            </w:r>
          </w:p>
        </w:tc>
        <w:tc>
          <w:tcPr>
            <w:tcW w:w="1500" w:type="dxa"/>
            <w:vAlign w:val="bottom"/>
          </w:tcPr>
          <w:p>
            <w:pPr>
              <w:ind w:left="320"/>
              <w:spacing w:after="0"/>
              <w:rPr>
                <w:sz w:val="20"/>
                <w:szCs w:val="20"/>
                <w:color w:val="auto"/>
              </w:rPr>
            </w:pPr>
            <w:r>
              <w:rPr>
                <w:rFonts w:ascii="Calibri" w:cs="Calibri" w:eastAsia="Calibri" w:hAnsi="Calibri"/>
                <w:sz w:val="20"/>
                <w:szCs w:val="20"/>
                <w:color w:val="auto"/>
                <w:w w:val="98"/>
              </w:rPr>
              <w:t>March 9, 2026</w:t>
            </w:r>
          </w:p>
        </w:tc>
      </w:tr>
      <w:tr>
        <w:trPr>
          <w:trHeight w:val="256"/>
        </w:trPr>
        <w:tc>
          <w:tcPr>
            <w:tcW w:w="4860" w:type="dxa"/>
            <w:vAlign w:val="bottom"/>
          </w:tcPr>
          <w:p>
            <w:pPr>
              <w:jc w:val="center"/>
              <w:spacing w:after="0"/>
              <w:rPr>
                <w:sz w:val="20"/>
                <w:szCs w:val="20"/>
                <w:color w:val="auto"/>
              </w:rPr>
            </w:pPr>
            <w:r>
              <w:rPr>
                <w:rFonts w:ascii="Calibri" w:cs="Calibri" w:eastAsia="Calibri" w:hAnsi="Calibri"/>
                <w:sz w:val="20"/>
                <w:szCs w:val="20"/>
                <w:color w:val="auto"/>
                <w:w w:val="99"/>
              </w:rPr>
              <w:t>Lee N. Newcomer</w:t>
            </w:r>
          </w:p>
        </w:tc>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467"/>
        </w:trPr>
        <w:tc>
          <w:tcPr>
            <w:tcW w:w="486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color w:val="auto"/>
                <w:w w:val="99"/>
              </w:rPr>
              <w:t>/s/ Charles W. Newton</w:t>
            </w:r>
          </w:p>
        </w:tc>
        <w:tc>
          <w:tcPr>
            <w:tcW w:w="20" w:type="dxa"/>
            <w:vAlign w:val="bottom"/>
          </w:tcPr>
          <w:p>
            <w:pPr>
              <w:spacing w:after="0"/>
              <w:rPr>
                <w:sz w:val="24"/>
                <w:szCs w:val="24"/>
                <w:color w:val="auto"/>
              </w:rPr>
            </w:pPr>
          </w:p>
        </w:tc>
        <w:tc>
          <w:tcPr>
            <w:tcW w:w="4380" w:type="dxa"/>
            <w:vAlign w:val="bottom"/>
          </w:tcPr>
          <w:p>
            <w:pPr>
              <w:jc w:val="center"/>
              <w:ind w:right="60"/>
              <w:spacing w:after="0"/>
              <w:rPr>
                <w:sz w:val="20"/>
                <w:szCs w:val="20"/>
                <w:color w:val="auto"/>
              </w:rPr>
            </w:pPr>
            <w:r>
              <w:rPr>
                <w:rFonts w:ascii="Calibri" w:cs="Calibri" w:eastAsia="Calibri" w:hAnsi="Calibri"/>
                <w:sz w:val="20"/>
                <w:szCs w:val="20"/>
                <w:color w:val="auto"/>
                <w:w w:val="99"/>
              </w:rPr>
              <w:t>Director</w:t>
            </w:r>
          </w:p>
        </w:tc>
        <w:tc>
          <w:tcPr>
            <w:tcW w:w="1500" w:type="dxa"/>
            <w:vAlign w:val="bottom"/>
          </w:tcPr>
          <w:p>
            <w:pPr>
              <w:ind w:left="320"/>
              <w:spacing w:after="0"/>
              <w:rPr>
                <w:sz w:val="20"/>
                <w:szCs w:val="20"/>
                <w:color w:val="auto"/>
              </w:rPr>
            </w:pPr>
            <w:r>
              <w:rPr>
                <w:rFonts w:ascii="Calibri" w:cs="Calibri" w:eastAsia="Calibri" w:hAnsi="Calibri"/>
                <w:sz w:val="20"/>
                <w:szCs w:val="20"/>
                <w:color w:val="auto"/>
                <w:w w:val="98"/>
              </w:rPr>
              <w:t>March 9, 2026</w:t>
            </w:r>
          </w:p>
        </w:tc>
      </w:tr>
      <w:tr>
        <w:trPr>
          <w:trHeight w:val="261"/>
        </w:trPr>
        <w:tc>
          <w:tcPr>
            <w:tcW w:w="4860" w:type="dxa"/>
            <w:vAlign w:val="bottom"/>
          </w:tcPr>
          <w:p>
            <w:pPr>
              <w:jc w:val="center"/>
              <w:spacing w:after="0"/>
              <w:rPr>
                <w:sz w:val="20"/>
                <w:szCs w:val="20"/>
                <w:color w:val="auto"/>
              </w:rPr>
            </w:pPr>
            <w:r>
              <w:rPr>
                <w:rFonts w:ascii="Calibri" w:cs="Calibri" w:eastAsia="Calibri" w:hAnsi="Calibri"/>
                <w:sz w:val="20"/>
                <w:szCs w:val="20"/>
                <w:color w:val="auto"/>
                <w:w w:val="99"/>
              </w:rPr>
              <w:t>Charles W. Newton</w:t>
            </w:r>
          </w:p>
        </w:tc>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467"/>
        </w:trPr>
        <w:tc>
          <w:tcPr>
            <w:tcW w:w="486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color w:val="auto"/>
                <w:w w:val="99"/>
              </w:rPr>
              <w:t>/s/ Jill O’Donnell-Tormey</w:t>
            </w:r>
          </w:p>
        </w:tc>
        <w:tc>
          <w:tcPr>
            <w:tcW w:w="20" w:type="dxa"/>
            <w:vAlign w:val="bottom"/>
          </w:tcPr>
          <w:p>
            <w:pPr>
              <w:spacing w:after="0"/>
              <w:rPr>
                <w:sz w:val="24"/>
                <w:szCs w:val="24"/>
                <w:color w:val="auto"/>
              </w:rPr>
            </w:pPr>
          </w:p>
        </w:tc>
        <w:tc>
          <w:tcPr>
            <w:tcW w:w="4380" w:type="dxa"/>
            <w:vAlign w:val="bottom"/>
          </w:tcPr>
          <w:p>
            <w:pPr>
              <w:jc w:val="center"/>
              <w:ind w:right="60"/>
              <w:spacing w:after="0"/>
              <w:rPr>
                <w:sz w:val="20"/>
                <w:szCs w:val="20"/>
                <w:color w:val="auto"/>
              </w:rPr>
            </w:pPr>
            <w:r>
              <w:rPr>
                <w:rFonts w:ascii="Calibri" w:cs="Calibri" w:eastAsia="Calibri" w:hAnsi="Calibri"/>
                <w:sz w:val="20"/>
                <w:szCs w:val="20"/>
                <w:color w:val="auto"/>
                <w:w w:val="99"/>
              </w:rPr>
              <w:t>Director</w:t>
            </w:r>
          </w:p>
        </w:tc>
        <w:tc>
          <w:tcPr>
            <w:tcW w:w="1500" w:type="dxa"/>
            <w:vAlign w:val="bottom"/>
          </w:tcPr>
          <w:p>
            <w:pPr>
              <w:ind w:left="320"/>
              <w:spacing w:after="0"/>
              <w:rPr>
                <w:sz w:val="20"/>
                <w:szCs w:val="20"/>
                <w:color w:val="auto"/>
              </w:rPr>
            </w:pPr>
            <w:r>
              <w:rPr>
                <w:rFonts w:ascii="Calibri" w:cs="Calibri" w:eastAsia="Calibri" w:hAnsi="Calibri"/>
                <w:sz w:val="20"/>
                <w:szCs w:val="20"/>
                <w:color w:val="auto"/>
                <w:w w:val="98"/>
              </w:rPr>
              <w:t>March 9, 2026</w:t>
            </w:r>
          </w:p>
        </w:tc>
      </w:tr>
      <w:tr>
        <w:trPr>
          <w:trHeight w:val="261"/>
        </w:trPr>
        <w:tc>
          <w:tcPr>
            <w:tcW w:w="4860" w:type="dxa"/>
            <w:vAlign w:val="bottom"/>
          </w:tcPr>
          <w:p>
            <w:pPr>
              <w:jc w:val="center"/>
              <w:spacing w:after="0"/>
              <w:rPr>
                <w:sz w:val="20"/>
                <w:szCs w:val="20"/>
                <w:color w:val="auto"/>
              </w:rPr>
            </w:pPr>
            <w:r>
              <w:rPr>
                <w:rFonts w:ascii="Calibri" w:cs="Calibri" w:eastAsia="Calibri" w:hAnsi="Calibri"/>
                <w:sz w:val="20"/>
                <w:szCs w:val="20"/>
                <w:color w:val="auto"/>
                <w:w w:val="99"/>
              </w:rPr>
              <w:t>Jill O’Donnell-Tormey</w:t>
            </w:r>
          </w:p>
        </w:tc>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467"/>
        </w:trPr>
        <w:tc>
          <w:tcPr>
            <w:tcW w:w="486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color w:val="auto"/>
                <w:w w:val="99"/>
              </w:rPr>
              <w:t>/s/ Michael Ryan</w:t>
            </w:r>
          </w:p>
        </w:tc>
        <w:tc>
          <w:tcPr>
            <w:tcW w:w="20" w:type="dxa"/>
            <w:vAlign w:val="bottom"/>
          </w:tcPr>
          <w:p>
            <w:pPr>
              <w:spacing w:after="0"/>
              <w:rPr>
                <w:sz w:val="24"/>
                <w:szCs w:val="24"/>
                <w:color w:val="auto"/>
              </w:rPr>
            </w:pPr>
          </w:p>
        </w:tc>
        <w:tc>
          <w:tcPr>
            <w:tcW w:w="4380" w:type="dxa"/>
            <w:vAlign w:val="bottom"/>
          </w:tcPr>
          <w:p>
            <w:pPr>
              <w:jc w:val="center"/>
              <w:ind w:right="60"/>
              <w:spacing w:after="0"/>
              <w:rPr>
                <w:sz w:val="20"/>
                <w:szCs w:val="20"/>
                <w:color w:val="auto"/>
              </w:rPr>
            </w:pPr>
            <w:r>
              <w:rPr>
                <w:rFonts w:ascii="Calibri" w:cs="Calibri" w:eastAsia="Calibri" w:hAnsi="Calibri"/>
                <w:sz w:val="20"/>
                <w:szCs w:val="20"/>
                <w:color w:val="auto"/>
                <w:w w:val="99"/>
              </w:rPr>
              <w:t>Director</w:t>
            </w:r>
          </w:p>
        </w:tc>
        <w:tc>
          <w:tcPr>
            <w:tcW w:w="1500" w:type="dxa"/>
            <w:vAlign w:val="bottom"/>
          </w:tcPr>
          <w:p>
            <w:pPr>
              <w:ind w:left="320"/>
              <w:spacing w:after="0"/>
              <w:rPr>
                <w:sz w:val="20"/>
                <w:szCs w:val="20"/>
                <w:color w:val="auto"/>
              </w:rPr>
            </w:pPr>
            <w:r>
              <w:rPr>
                <w:rFonts w:ascii="Calibri" w:cs="Calibri" w:eastAsia="Calibri" w:hAnsi="Calibri"/>
                <w:sz w:val="20"/>
                <w:szCs w:val="20"/>
                <w:color w:val="auto"/>
                <w:w w:val="98"/>
              </w:rPr>
              <w:t>March 9, 2026</w:t>
            </w:r>
          </w:p>
        </w:tc>
      </w:tr>
      <w:tr>
        <w:trPr>
          <w:trHeight w:val="261"/>
        </w:trPr>
        <w:tc>
          <w:tcPr>
            <w:tcW w:w="4860" w:type="dxa"/>
            <w:vAlign w:val="bottom"/>
          </w:tcPr>
          <w:p>
            <w:pPr>
              <w:jc w:val="center"/>
              <w:spacing w:after="0"/>
              <w:rPr>
                <w:sz w:val="20"/>
                <w:szCs w:val="20"/>
                <w:color w:val="auto"/>
              </w:rPr>
            </w:pPr>
            <w:r>
              <w:rPr>
                <w:rFonts w:ascii="Calibri" w:cs="Calibri" w:eastAsia="Calibri" w:hAnsi="Calibri"/>
                <w:sz w:val="20"/>
                <w:szCs w:val="20"/>
                <w:color w:val="auto"/>
                <w:w w:val="98"/>
              </w:rPr>
              <w:t>Michael Ryan</w:t>
            </w:r>
          </w:p>
        </w:tc>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467"/>
        </w:trPr>
        <w:tc>
          <w:tcPr>
            <w:tcW w:w="486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color w:val="auto"/>
              </w:rPr>
              <w:t>/s/ Ali J. Satvat</w:t>
            </w:r>
          </w:p>
        </w:tc>
        <w:tc>
          <w:tcPr>
            <w:tcW w:w="20" w:type="dxa"/>
            <w:vAlign w:val="bottom"/>
          </w:tcPr>
          <w:p>
            <w:pPr>
              <w:spacing w:after="0"/>
              <w:rPr>
                <w:sz w:val="24"/>
                <w:szCs w:val="24"/>
                <w:color w:val="auto"/>
              </w:rPr>
            </w:pPr>
          </w:p>
        </w:tc>
        <w:tc>
          <w:tcPr>
            <w:tcW w:w="4380" w:type="dxa"/>
            <w:vAlign w:val="bottom"/>
          </w:tcPr>
          <w:p>
            <w:pPr>
              <w:jc w:val="center"/>
              <w:ind w:right="60"/>
              <w:spacing w:after="0"/>
              <w:rPr>
                <w:sz w:val="20"/>
                <w:szCs w:val="20"/>
                <w:color w:val="auto"/>
              </w:rPr>
            </w:pPr>
            <w:r>
              <w:rPr>
                <w:rFonts w:ascii="Calibri" w:cs="Calibri" w:eastAsia="Calibri" w:hAnsi="Calibri"/>
                <w:sz w:val="20"/>
                <w:szCs w:val="20"/>
                <w:color w:val="auto"/>
                <w:w w:val="99"/>
              </w:rPr>
              <w:t>Director</w:t>
            </w:r>
          </w:p>
        </w:tc>
        <w:tc>
          <w:tcPr>
            <w:tcW w:w="1500" w:type="dxa"/>
            <w:vAlign w:val="bottom"/>
          </w:tcPr>
          <w:p>
            <w:pPr>
              <w:ind w:left="320"/>
              <w:spacing w:after="0"/>
              <w:rPr>
                <w:sz w:val="20"/>
                <w:szCs w:val="20"/>
                <w:color w:val="auto"/>
              </w:rPr>
            </w:pPr>
            <w:r>
              <w:rPr>
                <w:rFonts w:ascii="Calibri" w:cs="Calibri" w:eastAsia="Calibri" w:hAnsi="Calibri"/>
                <w:sz w:val="20"/>
                <w:szCs w:val="20"/>
                <w:color w:val="auto"/>
                <w:w w:val="98"/>
              </w:rPr>
              <w:t>March 9, 2026</w:t>
            </w:r>
          </w:p>
        </w:tc>
      </w:tr>
      <w:tr>
        <w:trPr>
          <w:trHeight w:val="261"/>
        </w:trPr>
        <w:tc>
          <w:tcPr>
            <w:tcW w:w="4860" w:type="dxa"/>
            <w:vAlign w:val="bottom"/>
          </w:tcPr>
          <w:p>
            <w:pPr>
              <w:jc w:val="center"/>
              <w:spacing w:after="0"/>
              <w:rPr>
                <w:sz w:val="20"/>
                <w:szCs w:val="20"/>
                <w:color w:val="auto"/>
              </w:rPr>
            </w:pPr>
            <w:r>
              <w:rPr>
                <w:rFonts w:ascii="Calibri" w:cs="Calibri" w:eastAsia="Calibri" w:hAnsi="Calibri"/>
                <w:sz w:val="20"/>
                <w:szCs w:val="20"/>
                <w:color w:val="auto"/>
                <w:w w:val="99"/>
              </w:rPr>
              <w:t>Ali J. Satvat</w:t>
            </w:r>
          </w:p>
        </w:tc>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467"/>
        </w:trPr>
        <w:tc>
          <w:tcPr>
            <w:tcW w:w="486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color w:val="auto"/>
                <w:w w:val="99"/>
              </w:rPr>
              <w:t>/s/ Rita Karachun</w:t>
            </w:r>
          </w:p>
        </w:tc>
        <w:tc>
          <w:tcPr>
            <w:tcW w:w="20" w:type="dxa"/>
            <w:vAlign w:val="bottom"/>
          </w:tcPr>
          <w:p>
            <w:pPr>
              <w:spacing w:after="0"/>
              <w:rPr>
                <w:sz w:val="24"/>
                <w:szCs w:val="24"/>
                <w:color w:val="auto"/>
              </w:rPr>
            </w:pPr>
          </w:p>
        </w:tc>
        <w:tc>
          <w:tcPr>
            <w:tcW w:w="4380" w:type="dxa"/>
            <w:vAlign w:val="bottom"/>
          </w:tcPr>
          <w:p>
            <w:pPr>
              <w:jc w:val="center"/>
              <w:ind w:right="60"/>
              <w:spacing w:after="0"/>
              <w:rPr>
                <w:sz w:val="20"/>
                <w:szCs w:val="20"/>
                <w:color w:val="auto"/>
              </w:rPr>
            </w:pPr>
            <w:r>
              <w:rPr>
                <w:rFonts w:ascii="Calibri" w:cs="Calibri" w:eastAsia="Calibri" w:hAnsi="Calibri"/>
                <w:sz w:val="20"/>
                <w:szCs w:val="20"/>
                <w:color w:val="auto"/>
                <w:w w:val="99"/>
              </w:rPr>
              <w:t>Director</w:t>
            </w:r>
          </w:p>
        </w:tc>
        <w:tc>
          <w:tcPr>
            <w:tcW w:w="1500" w:type="dxa"/>
            <w:vAlign w:val="bottom"/>
          </w:tcPr>
          <w:p>
            <w:pPr>
              <w:ind w:left="320"/>
              <w:spacing w:after="0"/>
              <w:rPr>
                <w:sz w:val="20"/>
                <w:szCs w:val="20"/>
                <w:color w:val="auto"/>
              </w:rPr>
            </w:pPr>
            <w:r>
              <w:rPr>
                <w:rFonts w:ascii="Calibri" w:cs="Calibri" w:eastAsia="Calibri" w:hAnsi="Calibri"/>
                <w:sz w:val="20"/>
                <w:szCs w:val="20"/>
                <w:color w:val="auto"/>
                <w:w w:val="98"/>
              </w:rPr>
              <w:t>March 9, 2026</w:t>
            </w:r>
          </w:p>
        </w:tc>
      </w:tr>
      <w:tr>
        <w:trPr>
          <w:trHeight w:val="261"/>
        </w:trPr>
        <w:tc>
          <w:tcPr>
            <w:tcW w:w="4860" w:type="dxa"/>
            <w:vAlign w:val="bottom"/>
          </w:tcPr>
          <w:p>
            <w:pPr>
              <w:jc w:val="center"/>
              <w:spacing w:after="0"/>
              <w:rPr>
                <w:sz w:val="20"/>
                <w:szCs w:val="20"/>
                <w:color w:val="auto"/>
              </w:rPr>
            </w:pPr>
            <w:r>
              <w:rPr>
                <w:rFonts w:ascii="Calibri" w:cs="Calibri" w:eastAsia="Calibri" w:hAnsi="Calibri"/>
                <w:sz w:val="20"/>
                <w:szCs w:val="20"/>
                <w:color w:val="auto"/>
                <w:w w:val="99"/>
              </w:rPr>
              <w:t>Rita Karachun</w:t>
            </w:r>
          </w:p>
        </w:tc>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467"/>
        </w:trPr>
        <w:tc>
          <w:tcPr>
            <w:tcW w:w="4860" w:type="dxa"/>
            <w:vAlign w:val="bottom"/>
            <w:tcBorders>
              <w:bottom w:val="single" w:sz="8" w:color="auto"/>
            </w:tcBorders>
          </w:tcPr>
          <w:p>
            <w:pPr>
              <w:jc w:val="center"/>
              <w:spacing w:after="0"/>
              <w:rPr>
                <w:sz w:val="20"/>
                <w:szCs w:val="20"/>
                <w:color w:val="auto"/>
              </w:rPr>
            </w:pPr>
            <w:r>
              <w:rPr>
                <w:rFonts w:ascii="Calibri" w:cs="Calibri" w:eastAsia="Calibri" w:hAnsi="Calibri"/>
                <w:sz w:val="20"/>
                <w:szCs w:val="20"/>
                <w:color w:val="auto"/>
                <w:w w:val="99"/>
              </w:rPr>
              <w:t>/s/ Mats Wahlström</w:t>
            </w:r>
          </w:p>
        </w:tc>
        <w:tc>
          <w:tcPr>
            <w:tcW w:w="20" w:type="dxa"/>
            <w:vAlign w:val="bottom"/>
          </w:tcPr>
          <w:p>
            <w:pPr>
              <w:spacing w:after="0"/>
              <w:rPr>
                <w:sz w:val="24"/>
                <w:szCs w:val="24"/>
                <w:color w:val="auto"/>
              </w:rPr>
            </w:pPr>
          </w:p>
        </w:tc>
        <w:tc>
          <w:tcPr>
            <w:tcW w:w="4380" w:type="dxa"/>
            <w:vAlign w:val="bottom"/>
          </w:tcPr>
          <w:p>
            <w:pPr>
              <w:jc w:val="center"/>
              <w:ind w:right="60"/>
              <w:spacing w:after="0"/>
              <w:rPr>
                <w:sz w:val="20"/>
                <w:szCs w:val="20"/>
                <w:color w:val="auto"/>
              </w:rPr>
            </w:pPr>
            <w:r>
              <w:rPr>
                <w:rFonts w:ascii="Calibri" w:cs="Calibri" w:eastAsia="Calibri" w:hAnsi="Calibri"/>
                <w:sz w:val="20"/>
                <w:szCs w:val="20"/>
                <w:color w:val="auto"/>
                <w:w w:val="99"/>
              </w:rPr>
              <w:t>Director</w:t>
            </w:r>
          </w:p>
        </w:tc>
        <w:tc>
          <w:tcPr>
            <w:tcW w:w="1500" w:type="dxa"/>
            <w:vAlign w:val="bottom"/>
          </w:tcPr>
          <w:p>
            <w:pPr>
              <w:ind w:left="320"/>
              <w:spacing w:after="0"/>
              <w:rPr>
                <w:sz w:val="20"/>
                <w:szCs w:val="20"/>
                <w:color w:val="auto"/>
              </w:rPr>
            </w:pPr>
            <w:r>
              <w:rPr>
                <w:rFonts w:ascii="Calibri" w:cs="Calibri" w:eastAsia="Calibri" w:hAnsi="Calibri"/>
                <w:sz w:val="20"/>
                <w:szCs w:val="20"/>
                <w:color w:val="auto"/>
                <w:w w:val="98"/>
              </w:rPr>
              <w:t>March 9, 2026</w:t>
            </w:r>
          </w:p>
        </w:tc>
      </w:tr>
      <w:tr>
        <w:trPr>
          <w:trHeight w:val="261"/>
        </w:trPr>
        <w:tc>
          <w:tcPr>
            <w:tcW w:w="4860" w:type="dxa"/>
            <w:vAlign w:val="bottom"/>
          </w:tcPr>
          <w:p>
            <w:pPr>
              <w:jc w:val="center"/>
              <w:spacing w:after="0"/>
              <w:rPr>
                <w:sz w:val="20"/>
                <w:szCs w:val="20"/>
                <w:color w:val="auto"/>
              </w:rPr>
            </w:pPr>
            <w:r>
              <w:rPr>
                <w:rFonts w:ascii="Calibri" w:cs="Calibri" w:eastAsia="Calibri" w:hAnsi="Calibri"/>
                <w:sz w:val="20"/>
                <w:szCs w:val="20"/>
                <w:color w:val="auto"/>
                <w:w w:val="99"/>
              </w:rPr>
              <w:t>Mats Wahlström</w:t>
            </w:r>
          </w:p>
        </w:tc>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50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1160"/>
          </w:cols>
          <w:pgMar w:left="540" w:top="53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122</w:t>
      </w:r>
    </w:p>
    <w:sectPr>
      <w:pgSz w:w="12240" w:h="15840" w:orient="portrait"/>
      <w:cols w:equalWidth="0" w:num="1">
        <w:col w:w="11160"/>
      </w:cols>
      <w:pgMar w:left="540" w:top="531" w:right="5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Segoe UI Symbol">
    <w:panose1 w:val="020B0502040204020203"/>
    <w:charset w:val="00"/>
    <w:family w:val="swiss"/>
    <w:pitch w:val="variable"/>
    <w:sig w:usb0="800001E3" w:usb1="1200FFEF" w:usb2="00040000" w:usb3="04000000" w:csb0="00000001" w:csb1="40000000"/>
  </w:font>
  <w:font w:name="Symbol">
    <w:panose1 w:val="05050102010706020507"/>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1)"/>
      <w:numFmt w:val="decimal"/>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1)"/>
      <w:numFmt w:val="decimal"/>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decimal"/>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1."/>
      <w:numFmt w:val="decimal"/>
      <w:start w:val="2"/>
    </w:lvl>
  </w:abstractNum>
  <w:abstractNum w:abstractNumId="56">
    <w:nsid w:val="100F8FCA"/>
    <w:multiLevelType w:val="hybridMultilevel"/>
    <w:lvl w:ilvl="0">
      <w:lvlJc w:val="left"/>
      <w:lvlText w:val="%1."/>
      <w:numFmt w:val="decimal"/>
      <w:start w:val="3"/>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1)"/>
      <w:numFmt w:val="decimal"/>
      <w:start w:val="1"/>
    </w:lvl>
  </w:abstractNum>
  <w:abstractNum w:abstractNumId="59">
    <w:nsid w:val="5F5E7FD0"/>
    <w:multiLevelType w:val="hybridMultilevel"/>
    <w:lvl w:ilvl="0">
      <w:lvlJc w:val="left"/>
      <w:lvlText w:val="%1."/>
      <w:numFmt w:val="decimal"/>
      <w:start w:val="4"/>
    </w:lvl>
  </w:abstractNum>
  <w:abstractNum w:abstractNumId="60">
    <w:nsid w:val="98A3148"/>
    <w:multiLevelType w:val="hybridMultilevel"/>
    <w:lvl w:ilvl="0">
      <w:lvlJc w:val="left"/>
      <w:lvlText w:val="%1."/>
      <w:numFmt w:val="decimal"/>
      <w:start w:val="5"/>
    </w:lvl>
  </w:abstractNum>
  <w:abstractNum w:abstractNumId="61">
    <w:nsid w:val="799D0247"/>
    <w:multiLevelType w:val="hybridMultilevel"/>
    <w:lvl w:ilvl="0">
      <w:lvlJc w:val="left"/>
      <w:lvlText w:val="(%1)"/>
      <w:numFmt w:val="decimal"/>
      <w:start w:val="1"/>
    </w:lvl>
  </w:abstractNum>
  <w:abstractNum w:abstractNumId="62">
    <w:nsid w:val="6B94764"/>
    <w:multiLevelType w:val="hybridMultilevel"/>
    <w:lvl w:ilvl="0">
      <w:lvlJc w:val="left"/>
      <w:lvlText w:val="%1."/>
      <w:numFmt w:val="decimal"/>
      <w:start w:val="7"/>
    </w:lvl>
  </w:abstractNum>
  <w:abstractNum w:abstractNumId="63">
    <w:nsid w:val="42C296BD"/>
    <w:multiLevelType w:val="hybridMultilevel"/>
    <w:lvl w:ilvl="0">
      <w:lvlJc w:val="left"/>
      <w:lvlText w:val="%1."/>
      <w:numFmt w:val="decimal"/>
      <w:start w:val="8"/>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1)"/>
      <w:numFmt w:val="decimal"/>
      <w:start w:val="1"/>
    </w:lvl>
  </w:abstractNum>
  <w:abstractNum w:abstractNumId="67">
    <w:nsid w:val="5DC79EA8"/>
    <w:multiLevelType w:val="hybridMultilevel"/>
    <w:lvl w:ilvl="0">
      <w:lvlJc w:val="left"/>
      <w:lvlText w:val="%1."/>
      <w:numFmt w:val="decimal"/>
      <w:start w:val="9"/>
    </w:lvl>
  </w:abstractNum>
  <w:abstractNum w:abstractNumId="68">
    <w:nsid w:val="540A471C"/>
    <w:multiLevelType w:val="hybridMultilevel"/>
    <w:lvl w:ilvl="0">
      <w:lvlJc w:val="left"/>
      <w:lvlText w:val="%1."/>
      <w:numFmt w:val="decimal"/>
      <w:start w:val="10"/>
    </w:lvl>
  </w:abstractNum>
  <w:abstractNum w:abstractNumId="69">
    <w:nsid w:val="7BD3EE7B"/>
    <w:multiLevelType w:val="hybridMultilevel"/>
    <w:lvl w:ilvl="0">
      <w:lvlJc w:val="left"/>
      <w:lvlText w:val="%1."/>
      <w:numFmt w:val="decimal"/>
      <w:start w:val="11"/>
    </w:lvl>
  </w:abstractNum>
  <w:abstractNum w:abstractNumId="70">
    <w:nsid w:val="51D9C564"/>
    <w:multiLevelType w:val="hybridMultilevel"/>
    <w:lvl w:ilvl="0">
      <w:lvlJc w:val="left"/>
      <w:lvlText w:val="%1."/>
      <w:numFmt w:val="decimal"/>
      <w:start w:val="12"/>
    </w:lvl>
  </w:abstractNum>
  <w:abstractNum w:abstractNumId="71">
    <w:nsid w:val="613EFDC5"/>
    <w:multiLevelType w:val="hybridMultilevel"/>
    <w:lvl w:ilvl="0">
      <w:lvlJc w:val="left"/>
      <w:lvlText w:val="(%1)"/>
      <w:numFmt w:val="decimal"/>
      <w:start w:val="1"/>
    </w:lvl>
  </w:abstractNum>
  <w:abstractNum w:abstractNumId="72">
    <w:nsid w:val="BF72B14"/>
    <w:multiLevelType w:val="hybridMultilevel"/>
    <w:lvl w:ilvl="0">
      <w:lvlJc w:val="left"/>
      <w:lvlText w:val="%1."/>
      <w:numFmt w:val="decimal"/>
      <w:start w:val="13"/>
    </w:lvl>
  </w:abstractNum>
  <w:abstractNum w:abstractNumId="73">
    <w:nsid w:val="11447B73"/>
    <w:multiLevelType w:val="hybridMultilevel"/>
    <w:lvl w:ilvl="0">
      <w:lvlJc w:val="left"/>
      <w:lvlText w:val="%1."/>
      <w:numFmt w:val="decimal"/>
      <w:start w:val="14"/>
    </w:lvl>
  </w:abstractNum>
  <w:abstractNum w:abstractNumId="74">
    <w:nsid w:val="42963E5A"/>
    <w:multiLevelType w:val="hybridMultilevel"/>
    <w:lvl w:ilvl="0">
      <w:lvlJc w:val="left"/>
      <w:lvlText w:val="%1."/>
      <w:numFmt w:val="decimal"/>
      <w:start w:val="15"/>
    </w:lvl>
  </w:abstractNum>
  <w:abstractNum w:abstractNumId="75">
    <w:nsid w:val="A0382C5"/>
    <w:multiLevelType w:val="hybridMultilevel"/>
    <w:lvl w:ilvl="0">
      <w:lvlJc w:val="left"/>
      <w:lvlText w:val="(%1)"/>
      <w:numFmt w:val="lowerLetter"/>
      <w:start w:val="2"/>
    </w:lvl>
  </w:abstractNum>
  <w:abstractNum w:abstractNumId="76">
    <w:nsid w:val="8F2B15E"/>
    <w:multiLevelType w:val="hybridMultilevel"/>
    <w:lvl w:ilvl="0">
      <w:lvlJc w:val="left"/>
      <w:lvlText w:val="(%1)"/>
      <w:numFmt w:val="lowerLetter"/>
      <w:start w:val="1"/>
    </w:lvl>
    <w:lvl w:ilvl="1">
      <w:lvlJc w:val="left"/>
      <w:lvlText w:val="(%2)"/>
      <w:numFmt w:val="decimal"/>
      <w:start w:val="2"/>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2026-04-20T08:02:33Z</dcterms:created>
  <dcterms:modified xsi:type="dcterms:W3CDTF">2026-04-20T08:02:33Z</dcterms:modified>
</cp:coreProperties>
</file>