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120650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w:t>
      </w:r>
    </w:p>
    <w:p>
      <w:pPr>
        <w:spacing w:after="0" w:line="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3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Date of Report (Date of earliest event reported): May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COHERUS BIOSCIENCES, INC.</w:t>
      </w:r>
    </w:p>
    <w:p>
      <w:pPr>
        <w:spacing w:after="0" w:line="2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1" w:lineRule="exact"/>
        <w:rPr>
          <w:sz w:val="24"/>
          <w:szCs w:val="24"/>
          <w:color w:val="auto"/>
        </w:rPr>
      </w:pPr>
    </w:p>
    <w:tbl>
      <w:tblPr>
        <w:tblLayout w:type="fixed"/>
        <w:tblInd w:w="900" w:type="dxa"/>
        <w:tblCellMar>
          <w:top w:w="0" w:type="dxa"/>
          <w:left w:w="0" w:type="dxa"/>
          <w:bottom w:w="0" w:type="dxa"/>
          <w:right w:w="0" w:type="dxa"/>
        </w:tblCellMar>
      </w:tblPr>
      <w:tr>
        <w:trPr>
          <w:trHeight w:val="195"/>
        </w:trPr>
        <w:tc>
          <w:tcPr>
            <w:tcW w:w="2680" w:type="dxa"/>
            <w:vAlign w:val="bottom"/>
          </w:tcPr>
          <w:p>
            <w:pPr>
              <w:jc w:val="center"/>
              <w:ind w:right="1025"/>
              <w:spacing w:after="0"/>
              <w:rPr>
                <w:sz w:val="20"/>
                <w:szCs w:val="20"/>
                <w:color w:val="auto"/>
              </w:rPr>
            </w:pPr>
            <w:r>
              <w:rPr>
                <w:rFonts w:ascii="Calibri" w:cs="Calibri" w:eastAsia="Calibri" w:hAnsi="Calibri"/>
                <w:sz w:val="16"/>
                <w:szCs w:val="16"/>
                <w:b w:val="1"/>
                <w:bCs w:val="1"/>
                <w:color w:val="auto"/>
                <w:w w:val="97"/>
              </w:rPr>
              <w:t>Delaware</w:t>
            </w:r>
          </w:p>
        </w:tc>
        <w:tc>
          <w:tcPr>
            <w:tcW w:w="2960" w:type="dxa"/>
            <w:vAlign w:val="bottom"/>
          </w:tcPr>
          <w:p>
            <w:pPr>
              <w:jc w:val="center"/>
              <w:spacing w:after="0"/>
              <w:rPr>
                <w:sz w:val="20"/>
                <w:szCs w:val="20"/>
                <w:color w:val="auto"/>
              </w:rPr>
            </w:pPr>
            <w:r>
              <w:rPr>
                <w:rFonts w:ascii="Calibri" w:cs="Calibri" w:eastAsia="Calibri" w:hAnsi="Calibri"/>
                <w:sz w:val="16"/>
                <w:szCs w:val="16"/>
                <w:b w:val="1"/>
                <w:bCs w:val="1"/>
                <w:color w:val="auto"/>
              </w:rPr>
              <w:t>001-36721</w:t>
            </w:r>
          </w:p>
        </w:tc>
        <w:tc>
          <w:tcPr>
            <w:tcW w:w="2480" w:type="dxa"/>
            <w:vAlign w:val="bottom"/>
          </w:tcPr>
          <w:p>
            <w:pPr>
              <w:jc w:val="center"/>
              <w:ind w:left="1025"/>
              <w:spacing w:after="0"/>
              <w:rPr>
                <w:sz w:val="20"/>
                <w:szCs w:val="20"/>
                <w:color w:val="auto"/>
              </w:rPr>
            </w:pPr>
            <w:r>
              <w:rPr>
                <w:rFonts w:ascii="Calibri" w:cs="Calibri" w:eastAsia="Calibri" w:hAnsi="Calibri"/>
                <w:sz w:val="16"/>
                <w:szCs w:val="16"/>
                <w:b w:val="1"/>
                <w:bCs w:val="1"/>
                <w:color w:val="auto"/>
              </w:rPr>
              <w:t>27-3615821</w:t>
            </w:r>
          </w:p>
        </w:tc>
      </w:tr>
      <w:tr>
        <w:trPr>
          <w:trHeight w:val="183"/>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(State or other jurisdicton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(Commission</w:t>
            </w:r>
          </w:p>
        </w:tc>
        <w:tc>
          <w:tcPr>
            <w:tcW w:w="2480" w:type="dxa"/>
            <w:vAlign w:val="bottom"/>
          </w:tcPr>
          <w:p>
            <w:pPr>
              <w:jc w:val="center"/>
              <w:ind w:left="1025"/>
              <w:spacing w:after="0"/>
              <w:rPr>
                <w:sz w:val="20"/>
                <w:szCs w:val="20"/>
                <w:color w:val="auto"/>
              </w:rPr>
            </w:pPr>
            <w:r>
              <w:rPr>
                <w:rFonts w:ascii="Calibri" w:cs="Calibri" w:eastAsia="Calibri" w:hAnsi="Calibri"/>
                <w:sz w:val="14"/>
                <w:szCs w:val="14"/>
                <w:b w:val="1"/>
                <w:bCs w:val="1"/>
                <w:color w:val="auto"/>
              </w:rPr>
              <w:t>(IRS Employer</w:t>
            </w:r>
          </w:p>
        </w:tc>
      </w:tr>
      <w:tr>
        <w:trPr>
          <w:trHeight w:val="176"/>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of incorporaton)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File Number)</w:t>
            </w:r>
          </w:p>
        </w:tc>
        <w:tc>
          <w:tcPr>
            <w:tcW w:w="2480" w:type="dxa"/>
            <w:vAlign w:val="bottom"/>
          </w:tcPr>
          <w:p>
            <w:pPr>
              <w:jc w:val="center"/>
              <w:ind w:left="1045"/>
              <w:spacing w:after="0"/>
              <w:rPr>
                <w:sz w:val="20"/>
                <w:szCs w:val="20"/>
                <w:color w:val="auto"/>
              </w:rPr>
            </w:pPr>
            <w:r>
              <w:rPr>
                <w:rFonts w:ascii="Calibri" w:cs="Calibri" w:eastAsia="Calibri" w:hAnsi="Calibri"/>
                <w:sz w:val="14"/>
                <w:szCs w:val="14"/>
                <w:b w:val="1"/>
                <w:bCs w:val="1"/>
                <w:color w:val="auto"/>
              </w:rPr>
              <w:t>Identfcaton Number)</w:t>
            </w:r>
          </w:p>
        </w:tc>
      </w:tr>
    </w:tbl>
    <w:p>
      <w:pPr>
        <w:spacing w:after="0" w:line="128" w:lineRule="exact"/>
        <w:rPr>
          <w:sz w:val="24"/>
          <w:szCs w:val="24"/>
          <w:color w:val="auto"/>
        </w:rPr>
      </w:pPr>
    </w:p>
    <w:p>
      <w:pPr>
        <w:ind w:left="3740"/>
        <w:spacing w:after="0"/>
        <w:rPr>
          <w:sz w:val="20"/>
          <w:szCs w:val="20"/>
          <w:color w:val="auto"/>
        </w:rPr>
      </w:pPr>
      <w:r>
        <w:rPr>
          <w:rFonts w:ascii="Calibri" w:cs="Calibri" w:eastAsia="Calibri" w:hAnsi="Calibri"/>
          <w:sz w:val="18"/>
          <w:szCs w:val="18"/>
          <w:b w:val="1"/>
          <w:bCs w:val="1"/>
          <w:color w:val="auto"/>
        </w:rPr>
        <w:t>333 Twin Dolphin Drive, Suite 600</w:t>
      </w:r>
    </w:p>
    <w:p>
      <w:pPr>
        <w:ind w:left="4080"/>
        <w:spacing w:after="0" w:line="235" w:lineRule="auto"/>
        <w:rPr>
          <w:sz w:val="20"/>
          <w:szCs w:val="20"/>
          <w:color w:val="auto"/>
        </w:rPr>
      </w:pPr>
      <w:r>
        <w:rPr>
          <w:rFonts w:ascii="Calibri" w:cs="Calibri" w:eastAsia="Calibri" w:hAnsi="Calibri"/>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(Address of principal executve ofces, including Zip Code)</w:t>
      </w:r>
    </w:p>
    <w:p>
      <w:pPr>
        <w:spacing w:after="0" w:line="12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(650) 649-3530</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N/A</w:t>
      </w:r>
    </w:p>
    <w:p>
      <w:pPr>
        <w:jc w:val="center"/>
        <w:spacing w:after="0" w:line="236" w:lineRule="auto"/>
        <w:rPr>
          <w:sz w:val="20"/>
          <w:szCs w:val="20"/>
          <w:color w:val="auto"/>
        </w:rPr>
      </w:pPr>
      <w:r>
        <w:rPr>
          <w:rFonts w:ascii="Calibri" w:cs="Calibri" w:eastAsia="Calibri" w:hAnsi="Calibri"/>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66675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57" w:lineRule="exact"/>
        <w:rPr>
          <w:sz w:val="24"/>
          <w:szCs w:val="24"/>
          <w:color w:val="auto"/>
        </w:rPr>
      </w:pPr>
    </w:p>
    <w:p>
      <w:pPr>
        <w:ind w:right="8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32"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36" w:lineRule="exact"/>
        <w:rPr>
          <w:rFonts w:ascii="MS PGothic" w:cs="MS PGothic" w:eastAsia="MS PGothic" w:hAnsi="MS PGothic"/>
          <w:sz w:val="18"/>
          <w:szCs w:val="18"/>
          <w:color w:val="auto"/>
        </w:rPr>
      </w:pPr>
    </w:p>
    <w:p>
      <w:pPr>
        <w:ind w:right="1600" w:firstLine="9"/>
        <w:spacing w:after="0" w:line="378" w:lineRule="auto"/>
        <w:tabs>
          <w:tab w:leader="none" w:pos="50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Trading</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r>
      <w:tr>
        <w:trPr>
          <w:trHeight w:val="189"/>
        </w:trPr>
        <w:tc>
          <w:tcPr>
            <w:tcW w:w="36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Title of each class</w:t>
            </w:r>
          </w:p>
        </w:tc>
        <w:tc>
          <w:tcPr>
            <w:tcW w:w="32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Symbol(s)</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r>
      <w:tr>
        <w:trPr>
          <w:trHeight w:val="215"/>
        </w:trPr>
        <w:tc>
          <w:tcPr>
            <w:tcW w:w="348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Common Stock, $0.0001 par value per share</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CHRS</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The Nasdaq Global Market</w:t>
            </w:r>
          </w:p>
        </w:tc>
      </w:tr>
    </w:tbl>
    <w:p>
      <w:pPr>
        <w:spacing w:after="0" w:line="114" w:lineRule="exact"/>
        <w:rPr>
          <w:sz w:val="24"/>
          <w:szCs w:val="24"/>
          <w:color w:val="auto"/>
        </w:rPr>
      </w:pPr>
    </w:p>
    <w:p>
      <w:pPr>
        <w:ind w:right="6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100"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81" w:lineRule="exact"/>
        <w:rPr>
          <w:sz w:val="24"/>
          <w:szCs w:val="24"/>
          <w:color w:val="auto"/>
        </w:rPr>
      </w:pPr>
    </w:p>
    <w:p>
      <w:pPr>
        <w:ind w:right="740"/>
        <w:spacing w:after="0" w:line="24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 w:name="page2"/>
    <w:bookmarkEnd w:id="1"/>
    <w:p>
      <w:pPr>
        <w:ind w:left="380"/>
        <w:spacing w:after="0"/>
        <w:rPr>
          <w:sz w:val="20"/>
          <w:szCs w:val="20"/>
          <w:color w:val="auto"/>
        </w:rPr>
      </w:pPr>
      <w:r>
        <w:rPr>
          <w:rFonts w:ascii="Calibri" w:cs="Calibri" w:eastAsia="Calibri" w:hAnsi="Calibri"/>
          <w:sz w:val="18"/>
          <w:szCs w:val="18"/>
          <w:b w:val="1"/>
          <w:bCs w:val="1"/>
          <w:color w:val="auto"/>
        </w:rPr>
        <w:t>Item 1.01 Entry into a Material Defnitve Agreement</w:t>
      </w:r>
    </w:p>
    <w:p>
      <w:pPr>
        <w:spacing w:after="0" w:line="212" w:lineRule="exact"/>
        <w:rPr>
          <w:sz w:val="20"/>
          <w:szCs w:val="20"/>
          <w:color w:val="auto"/>
        </w:rPr>
      </w:pPr>
    </w:p>
    <w:p>
      <w:pPr>
        <w:ind w:left="400"/>
        <w:spacing w:after="0"/>
        <w:rPr>
          <w:sz w:val="20"/>
          <w:szCs w:val="20"/>
          <w:color w:val="auto"/>
        </w:rPr>
      </w:pPr>
      <w:r>
        <w:rPr>
          <w:rFonts w:ascii="Calibri" w:cs="Calibri" w:eastAsia="Calibri" w:hAnsi="Calibri"/>
          <w:sz w:val="18"/>
          <w:szCs w:val="18"/>
          <w:i w:val="1"/>
          <w:iCs w:val="1"/>
          <w:color w:val="auto"/>
        </w:rPr>
        <w:t>Senior Secured Term Loan</w:t>
      </w:r>
    </w:p>
    <w:p>
      <w:pPr>
        <w:spacing w:after="0" w:line="217"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On May 8, 2024, Coherus BioSciences, Inc., a Delaware corporaton (the “Company”), entered into a senior secured term loan facility of up to $38.7 million (the “Term Loan”), all to be funded on May 8, 2024 (the “Efectve Date”), with Ankura Trust Company, LLC, as administratve agent (in such capacity, the “Agent”), and the lenders signatory thereto (collectvely, the “Lenders”). The proceeds of the Term Loan will be used by the Company to help repay in full the existng outstanding indebtedness owed by the Company to BioPharma Credit, PLC, BPCR Limited Partnership, and Biopharma Credit Investments V (Master) LP, actng by its general partner, BioPharma Credit Investments V GP LLC pursuant to the senior secured term loan facility that was entered into January 5, 2022 (as amended on April 7, 2022, February 6, 2023 and February 5, 2024, the “Prior Loan Agreement”).</w:t>
      </w:r>
    </w:p>
    <w:p>
      <w:pPr>
        <w:spacing w:after="0" w:line="223" w:lineRule="exact"/>
        <w:rPr>
          <w:sz w:val="20"/>
          <w:szCs w:val="20"/>
          <w:color w:val="auto"/>
        </w:rPr>
      </w:pPr>
    </w:p>
    <w:p>
      <w:pPr>
        <w:jc w:val="both"/>
        <w:ind w:left="60" w:right="59" w:firstLine="346"/>
        <w:spacing w:after="0" w:line="249" w:lineRule="auto"/>
        <w:rPr>
          <w:sz w:val="20"/>
          <w:szCs w:val="20"/>
          <w:color w:val="auto"/>
        </w:rPr>
      </w:pPr>
      <w:r>
        <w:rPr>
          <w:rFonts w:ascii="Calibri" w:cs="Calibri" w:eastAsia="Calibri" w:hAnsi="Calibri"/>
          <w:sz w:val="17"/>
          <w:szCs w:val="17"/>
          <w:color w:val="auto"/>
        </w:rPr>
        <w:t>The Term Loan is governed by a loan agreement, dated as of the Efectve Date, by and among the Company, the Agent and the Lenders (the “Loan Agreement”). The Term Loan will mature on May 8, 2029. The amounts borrowed under the Term Loan accrue interest at a per annum rate equal to 8.00% per annum, plus a three month SOFR rate (the “Interest Rate”). The Term Loan provides for interest-only payments on a quarterly basis untl maturity. The Company may prepay the Term Loan in full or in part provided that the Company (i) provides at least three (3) business days’ prior writen notce to the Agent, (ii) pays on the date of such prepayment (A) all outstanding principal to be prepaid plus accrued and unpaid interest,</w:t>
      </w:r>
    </w:p>
    <w:p>
      <w:pPr>
        <w:spacing w:after="0" w:line="4" w:lineRule="exact"/>
        <w:rPr>
          <w:sz w:val="20"/>
          <w:szCs w:val="20"/>
          <w:color w:val="auto"/>
        </w:rPr>
      </w:pPr>
    </w:p>
    <w:p>
      <w:pPr>
        <w:jc w:val="both"/>
        <w:ind w:left="60" w:right="59" w:hanging="10"/>
        <w:spacing w:after="0" w:line="235" w:lineRule="auto"/>
        <w:tabs>
          <w:tab w:leader="none" w:pos="306"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 prepayment fee of (x) 10.00% of the Term Loans so prepaid if paid on or afer the frst anniversary of the Efectve Date and before the second anniversary of the Efectve Date; (y) 5.00% of the Term Loans so prepaid if paid afer the second anniversary of the Efectve Date and on or before the third anniversary of the Efectve Date; and (z) 0.00% of the Term Loans so prepaid if paid afer the third anniversary of the Efectve Date and (C) all other sums, if any, that shall become due and payable under the Loan Agreement, including interest at the default rate with respect to any past due amounts. Amounts outstanding during an event of default shall accrue interest at an additonal rate of 4.00% per annum, which interest shall be payable on demand in cash.</w:t>
      </w:r>
    </w:p>
    <w:p>
      <w:pPr>
        <w:spacing w:after="0" w:line="222"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The Term Loan is secured by a lien on substantally all of the assets of the Company, including intellectual property, subject to customary exclusions and exceptons. The Loan Agreement contains customary representatons and warrantes, covenants and events of default, including a fnancial covenant commencing on the Efectve Date, which requires the Company to maintain certain levels of cash and cash equivalents. The Loan Agreement also contains other customary provisions, such as expense reimbursement, as well as indemnifcaton rights for the beneft of the Agent and the Lenders.</w:t>
      </w:r>
    </w:p>
    <w:p>
      <w:pPr>
        <w:spacing w:after="0" w:line="220"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The foregoing descripton of the material terms of the Loan Agreement is qualifed in its entrety by the full terms and conditons of the Loan Agreement, which will be fled with the Securites and Exchange Commission (the “SEC”) as an exhibit to the Company’s Quarterly Report on Form 10-Q for the quarter ended June 30, 2024.</w:t>
      </w:r>
    </w:p>
    <w:p>
      <w:pPr>
        <w:spacing w:after="0" w:line="219"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In connecton with the entry into the Loan Agreement, on the Efectve Date, the Company repaid in full all outstanding indebtedness and terminated all commitments under the Prior Loan Agreement, the material terms of which have been disclosed previously. The aggregate principal amount of the loan outstanding under the Prior Loan Agreement was $75 million at the tme of repayment. The Company did not incur any penaltes, but did incur a prepayment fee and paid a make-whole amount, as a result of the foregoing.</w:t>
      </w:r>
    </w:p>
    <w:p>
      <w:pPr>
        <w:spacing w:after="0" w:line="215" w:lineRule="exact"/>
        <w:rPr>
          <w:sz w:val="20"/>
          <w:szCs w:val="20"/>
          <w:color w:val="auto"/>
        </w:rPr>
      </w:pPr>
    </w:p>
    <w:p>
      <w:pPr>
        <w:ind w:left="400"/>
        <w:spacing w:after="0"/>
        <w:rPr>
          <w:sz w:val="20"/>
          <w:szCs w:val="20"/>
          <w:color w:val="auto"/>
        </w:rPr>
      </w:pPr>
      <w:r>
        <w:rPr>
          <w:rFonts w:ascii="Calibri" w:cs="Calibri" w:eastAsia="Calibri" w:hAnsi="Calibri"/>
          <w:sz w:val="18"/>
          <w:szCs w:val="18"/>
          <w:i w:val="1"/>
          <w:iCs w:val="1"/>
          <w:color w:val="auto"/>
        </w:rPr>
        <w:t>Revenue Partcipaton Right Purchase and Sale Agreement</w:t>
      </w:r>
    </w:p>
    <w:p>
      <w:pPr>
        <w:spacing w:after="0" w:line="217"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On May 8, 2024, the Company entered into a revenue partcipaton right purchase and sale agreement (the “Revenue Purchase and Sale Agreement”) with Coduet Royalty Holdings, LLC, as administratve agent and each buyer named in an annex thereto (collectvely, the “Purchaser”). Under the terms of the Revenue Purchase and Sale Agreement, in exchange for the Purchaser’s payment to the Company of a purchase price of $37.5 million,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2" w:name="page3"/>
    <w:bookmarkEnd w:id="2"/>
    <w:p>
      <w:pPr>
        <w:jc w:val="both"/>
        <w:ind w:left="60" w:right="59"/>
        <w:spacing w:after="0" w:line="251" w:lineRule="auto"/>
        <w:rPr>
          <w:sz w:val="20"/>
          <w:szCs w:val="20"/>
          <w:color w:val="auto"/>
        </w:rPr>
      </w:pPr>
      <w:r>
        <w:rPr>
          <w:rFonts w:ascii="Calibri" w:cs="Calibri" w:eastAsia="Calibri" w:hAnsi="Calibri"/>
          <w:sz w:val="17"/>
          <w:szCs w:val="17"/>
          <w:color w:val="auto"/>
        </w:rPr>
        <w:t>aggregate subject to certain conditons at closing (the “Purchase Price”), the Company has agreed to sell to the Purchaser its right to receive payment in full of a mid-single digit percentage of U.S. net sales of UDENYCA and LOQTORZI (the “Revenue Payment”) for each calendar quarter commencing on the efectve date of the Revenue Purchase and Sale Agreement. The Purchaser’s right to receive the Revenue Payment terminates and the Company no longer has the obligaton to pay Purchaser Revenue Payments once the Purchaser receives the amount equal to 2.25 tmes the Purchase Price. The Company may also buy-out the Purchaser’s rights to receive the Revenue Payments by paying Purchaser such multple on the Purchaser Price.</w:t>
      </w:r>
    </w:p>
    <w:p>
      <w:pPr>
        <w:spacing w:after="0" w:line="210"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The Revenue Purchase and Sale Agreement contains various representatons and warrantes, including with respect to organizaton, authorizaton, and certain other maters, certain covenants with respect to payment, reportng, intellectual property, in-licenses, out-licenses, and certain other actons, indemnifcaton obligatons and other provisions customary for transactons of this nature.</w:t>
      </w:r>
    </w:p>
    <w:p>
      <w:pPr>
        <w:spacing w:after="0" w:line="219"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The foregoing descripton of the material terms of the Revenue Purchase and Sale Agreement is qualifed in its entrety by the full terms and conditons of the Revenue Purchase and Sale Agreement, which will be fled with the SEC as an exhibit to the Company’s Quarterly Report on Form 10-Q for the quarter ended June 30, 2024.</w:t>
      </w: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uto"/>
        </w:rPr>
        <w:t>Item 1.02 Terminaton of a Material Defnitve Agreement</w:t>
      </w:r>
    </w:p>
    <w:p>
      <w:pPr>
        <w:spacing w:after="0" w:line="217" w:lineRule="exact"/>
        <w:rPr>
          <w:sz w:val="20"/>
          <w:szCs w:val="20"/>
          <w:color w:val="auto"/>
        </w:rPr>
      </w:pPr>
    </w:p>
    <w:p>
      <w:pPr>
        <w:ind w:left="60" w:right="539" w:firstLine="648"/>
        <w:spacing w:after="0" w:line="235" w:lineRule="auto"/>
        <w:rPr>
          <w:sz w:val="20"/>
          <w:szCs w:val="20"/>
          <w:color w:val="auto"/>
        </w:rPr>
      </w:pPr>
      <w:r>
        <w:rPr>
          <w:rFonts w:ascii="Calibri" w:cs="Calibri" w:eastAsia="Calibri" w:hAnsi="Calibri"/>
          <w:sz w:val="18"/>
          <w:szCs w:val="18"/>
          <w:color w:val="auto"/>
        </w:rPr>
        <w:t>The informaton set forth above in Item 1.01 of this Current Report on Form 8-K regarding the repayment and terminaton of the Prior Loan Agreement is incorporated into this Item 1.02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right="79" w:firstLine="324"/>
        <w:spacing w:after="0" w:line="235" w:lineRule="auto"/>
        <w:rPr>
          <w:sz w:val="20"/>
          <w:szCs w:val="20"/>
          <w:color w:val="auto"/>
        </w:rPr>
      </w:pPr>
      <w:r>
        <w:rPr>
          <w:rFonts w:ascii="Calibri" w:cs="Calibri" w:eastAsia="Calibri" w:hAnsi="Calibri"/>
          <w:sz w:val="18"/>
          <w:szCs w:val="18"/>
          <w:b w:val="1"/>
          <w:bCs w:val="1"/>
          <w:color w:val="auto"/>
        </w:rPr>
        <w:t>Item 2.03 Creaton of a Direct Financial Obligaton or an Obligaton under an Of-Balance Sheet Arrangement of a Registrant</w:t>
      </w:r>
    </w:p>
    <w:p>
      <w:pPr>
        <w:spacing w:after="0" w:line="213"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To the extent required, the informaton set forth in Item 1.01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906145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left="60" w:right="199" w:firstLine="4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as amended, the registrant has duly caused this report to be signed on its behalf by the undersigned hereunto duly authorized.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80" w:type="dxa"/>
            <w:vAlign w:val="bottom"/>
          </w:tcPr>
          <w:p>
            <w:pPr>
              <w:ind w:left="20"/>
              <w:spacing w:after="0"/>
              <w:rPr>
                <w:sz w:val="20"/>
                <w:szCs w:val="20"/>
                <w:color w:val="auto"/>
              </w:rPr>
            </w:pPr>
            <w:r>
              <w:rPr>
                <w:rFonts w:ascii="Calibri" w:cs="Calibri" w:eastAsia="Calibri" w:hAnsi="Calibri"/>
                <w:sz w:val="18"/>
                <w:szCs w:val="18"/>
                <w:color w:val="auto"/>
              </w:rPr>
              <w:t>Date: May 9, 2024</w:t>
            </w:r>
          </w:p>
        </w:tc>
        <w:tc>
          <w:tcPr>
            <w:tcW w:w="5940" w:type="dxa"/>
            <w:vAlign w:val="bottom"/>
            <w:gridSpan w:val="2"/>
          </w:tcPr>
          <w:p>
            <w:pPr>
              <w:ind w:left="1660"/>
              <w:spacing w:after="0"/>
              <w:rPr>
                <w:sz w:val="20"/>
                <w:szCs w:val="20"/>
                <w:color w:val="auto"/>
              </w:rPr>
            </w:pPr>
            <w:r>
              <w:rPr>
                <w:rFonts w:ascii="Calibri" w:cs="Calibri" w:eastAsia="Calibri" w:hAnsi="Calibri"/>
                <w:sz w:val="18"/>
                <w:szCs w:val="18"/>
                <w:color w:val="auto"/>
              </w:rPr>
              <w:t>COHERUS BIOSCIENCES, INC.</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2320" w:type="dxa"/>
            <w:vAlign w:val="bottom"/>
          </w:tcPr>
          <w:p>
            <w:pPr>
              <w:ind w:left="1660"/>
              <w:spacing w:after="0"/>
              <w:rPr>
                <w:sz w:val="20"/>
                <w:szCs w:val="20"/>
                <w:color w:val="auto"/>
              </w:rPr>
            </w:pPr>
            <w:r>
              <w:rPr>
                <w:rFonts w:ascii="Calibri" w:cs="Calibri" w:eastAsia="Calibri" w:hAnsi="Calibri"/>
                <w:sz w:val="18"/>
                <w:szCs w:val="18"/>
                <w:color w:val="auto"/>
              </w:rPr>
              <w:t>By:</w:t>
            </w:r>
          </w:p>
        </w:tc>
        <w:tc>
          <w:tcPr>
            <w:tcW w:w="3620" w:type="dxa"/>
            <w:vAlign w:val="bottom"/>
          </w:tcPr>
          <w:p>
            <w:pPr>
              <w:spacing w:after="0"/>
              <w:rPr>
                <w:sz w:val="20"/>
                <w:szCs w:val="20"/>
                <w:color w:val="auto"/>
              </w:rPr>
            </w:pPr>
            <w:r>
              <w:rPr>
                <w:rFonts w:ascii="Calibri" w:cs="Calibri" w:eastAsia="Calibri" w:hAnsi="Calibri"/>
                <w:sz w:val="18"/>
                <w:szCs w:val="18"/>
                <w:color w:val="auto"/>
              </w:rPr>
              <w:t>/s/ Dennis M. Lanfear</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320" w:type="dxa"/>
            <w:vAlign w:val="bottom"/>
            <w:vMerge w:val="restart"/>
          </w:tcPr>
          <w:p>
            <w:pPr>
              <w:ind w:left="1660"/>
              <w:spacing w:after="0"/>
              <w:rPr>
                <w:sz w:val="20"/>
                <w:szCs w:val="20"/>
                <w:color w:val="auto"/>
              </w:rPr>
            </w:pPr>
            <w:r>
              <w:rPr>
                <w:rFonts w:ascii="Calibri" w:cs="Calibri" w:eastAsia="Calibri" w:hAnsi="Calibri"/>
                <w:sz w:val="18"/>
                <w:szCs w:val="18"/>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2320" w:type="dxa"/>
            <w:vAlign w:val="bottom"/>
            <w:vMerge w:val="continue"/>
          </w:tcPr>
          <w:p>
            <w:pPr>
              <w:spacing w:after="0"/>
              <w:rPr>
                <w:sz w:val="16"/>
                <w:szCs w:val="16"/>
                <w:color w:val="auto"/>
              </w:rPr>
            </w:pPr>
          </w:p>
        </w:tc>
        <w:tc>
          <w:tcPr>
            <w:tcW w:w="3620" w:type="dxa"/>
            <w:vAlign w:val="bottom"/>
          </w:tcPr>
          <w:p>
            <w:pPr>
              <w:spacing w:after="0" w:line="187" w:lineRule="exact"/>
              <w:rPr>
                <w:sz w:val="20"/>
                <w:szCs w:val="20"/>
                <w:color w:val="auto"/>
              </w:rPr>
            </w:pPr>
            <w:r>
              <w:rPr>
                <w:rFonts w:ascii="Calibri" w:cs="Calibri" w:eastAsia="Calibri" w:hAnsi="Calibri"/>
                <w:sz w:val="18"/>
                <w:szCs w:val="18"/>
                <w:color w:val="auto"/>
              </w:rPr>
              <w:t>Dennis M. Lanfear</w:t>
            </w: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2320" w:type="dxa"/>
            <w:vAlign w:val="bottom"/>
          </w:tcPr>
          <w:p>
            <w:pPr>
              <w:ind w:left="1660"/>
              <w:spacing w:after="0" w:line="215" w:lineRule="exact"/>
              <w:rPr>
                <w:sz w:val="20"/>
                <w:szCs w:val="20"/>
                <w:color w:val="auto"/>
              </w:rPr>
            </w:pPr>
            <w:r>
              <w:rPr>
                <w:rFonts w:ascii="Calibri" w:cs="Calibri" w:eastAsia="Calibri" w:hAnsi="Calibri"/>
                <w:sz w:val="18"/>
                <w:szCs w:val="18"/>
                <w:color w:val="auto"/>
              </w:rPr>
              <w:t>Title:</w:t>
            </w: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Chief Executve Ofcer</w:t>
            </w:r>
          </w:p>
        </w:tc>
        <w:tc>
          <w:tcPr>
            <w:tcW w:w="0" w:type="dxa"/>
            <w:vAlign w:val="bottom"/>
          </w:tcPr>
          <w:p>
            <w:pPr>
              <w:spacing w:after="0"/>
              <w:rPr>
                <w:sz w:val="1"/>
                <w:szCs w:val="1"/>
                <w:color w:val="auto"/>
              </w:rPr>
            </w:pPr>
          </w:p>
        </w:tc>
      </w:tr>
      <w:tr>
        <w:trPr>
          <w:trHeight w:val="1245"/>
        </w:trPr>
        <w:tc>
          <w:tcPr>
            <w:tcW w:w="29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2024-05-09T06:41:31Z</dcterms:created>
  <dcterms:modified xsi:type="dcterms:W3CDTF">2024-05-09T06:41:31Z</dcterms:modified>
</cp:coreProperties>
</file>