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June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N/A</w:t>
      </w:r>
    </w:p>
    <w:p>
      <w:pPr>
        <w:jc w:val="center"/>
        <w:spacing w:after="0" w:line="236" w:lineRule="auto"/>
        <w:rPr>
          <w:sz w:val="20"/>
          <w:szCs w:val="20"/>
          <w:color w:val="auto"/>
        </w:rPr>
      </w:pPr>
      <w:r>
        <w:rPr>
          <w:rFonts w:ascii="Calibri" w:cs="Calibri" w:eastAsia="Calibri" w:hAnsi="Calibri"/>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7"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60"/>
        <w:spacing w:after="0"/>
        <w:rPr>
          <w:sz w:val="20"/>
          <w:szCs w:val="20"/>
          <w:color w:val="auto"/>
        </w:rPr>
      </w:pPr>
      <w:r>
        <w:rPr>
          <w:rFonts w:ascii="Calibri" w:cs="Calibri" w:eastAsia="Calibri" w:hAnsi="Calibri"/>
          <w:sz w:val="18"/>
          <w:szCs w:val="18"/>
          <w:b w:val="1"/>
          <w:bCs w:val="1"/>
          <w:color w:val="auto"/>
        </w:rPr>
        <w:t>Item 1.01 Entry into a Material Defnitve Agreement</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i w:val="1"/>
          <w:iCs w:val="1"/>
          <w:color w:val="auto"/>
        </w:rPr>
        <w:t>Asset Purchase Agreement</w:t>
      </w:r>
    </w:p>
    <w:p>
      <w:pPr>
        <w:spacing w:after="0" w:line="217" w:lineRule="exact"/>
        <w:rPr>
          <w:sz w:val="20"/>
          <w:szCs w:val="20"/>
          <w:color w:val="auto"/>
        </w:rPr>
      </w:pPr>
    </w:p>
    <w:p>
      <w:pPr>
        <w:ind w:left="60" w:right="79"/>
        <w:spacing w:after="0" w:line="254" w:lineRule="auto"/>
        <w:rPr>
          <w:sz w:val="20"/>
          <w:szCs w:val="20"/>
          <w:color w:val="auto"/>
        </w:rPr>
      </w:pPr>
      <w:r>
        <w:rPr>
          <w:rFonts w:ascii="Calibri" w:cs="Calibri" w:eastAsia="Calibri" w:hAnsi="Calibri"/>
          <w:sz w:val="17"/>
          <w:szCs w:val="17"/>
          <w:color w:val="auto"/>
        </w:rPr>
        <w:t>On June 26, 2024, Coherus BioSciences, Inc., a Delaware corporaton (the “Company”), entered into an Asset Purchase Agreement (the “Purchase Agreement”) by and between the Company and Hong Kong King-Friend Industrial Company Ltd., a Hong Kong corporaton (“HKF”). HKF is the parent company of Meitheal Pharmaceutcals, Inc., a Delaware corporaton.</w:t>
      </w:r>
    </w:p>
    <w:p>
      <w:pPr>
        <w:spacing w:after="0" w:line="205" w:lineRule="exact"/>
        <w:rPr>
          <w:sz w:val="20"/>
          <w:szCs w:val="20"/>
          <w:color w:val="auto"/>
        </w:rPr>
      </w:pPr>
    </w:p>
    <w:p>
      <w:pPr>
        <w:ind w:left="60" w:right="59"/>
        <w:spacing w:after="0" w:line="251" w:lineRule="auto"/>
        <w:rPr>
          <w:sz w:val="20"/>
          <w:szCs w:val="20"/>
          <w:color w:val="auto"/>
        </w:rPr>
      </w:pPr>
      <w:r>
        <w:rPr>
          <w:rFonts w:ascii="Calibri" w:cs="Calibri" w:eastAsia="Calibri" w:hAnsi="Calibri"/>
          <w:sz w:val="17"/>
          <w:szCs w:val="17"/>
          <w:color w:val="auto"/>
        </w:rPr>
        <w:t>Pursuant to the terms and subject to the conditons set forth in the Purchase Agreement, the Company agreed to divest its YUSIMRY (adalimumab-aqvh) franchise (the “Business”) through the sale of certain assets, including YUSIMRY, intellectual property exclusively related to YUSIMRY, certain contracts related to YUSIMRY, YUSIMRY inventory, and all actvites related to research and development of YUSIMRY, to HKF and the assumpton of certain liabilites by HKF, including $17.0 million of inventory purchase commitments, but not including certain identfed excluded assets and excluded liabilites (collectvely, the “YUSIMRY Dispositon”) for upfront, all-cash consideraton of $40.0 million paid on June 26, 2024.</w:t>
      </w:r>
    </w:p>
    <w:p>
      <w:pPr>
        <w:spacing w:after="0" w:line="210" w:lineRule="exact"/>
        <w:rPr>
          <w:sz w:val="20"/>
          <w:szCs w:val="20"/>
          <w:color w:val="auto"/>
        </w:rPr>
      </w:pPr>
    </w:p>
    <w:p>
      <w:pPr>
        <w:ind w:left="60" w:right="219"/>
        <w:spacing w:after="0" w:line="235" w:lineRule="auto"/>
        <w:rPr>
          <w:sz w:val="20"/>
          <w:szCs w:val="20"/>
          <w:color w:val="auto"/>
        </w:rPr>
      </w:pPr>
      <w:r>
        <w:rPr>
          <w:rFonts w:ascii="Calibri" w:cs="Calibri" w:eastAsia="Calibri" w:hAnsi="Calibri"/>
          <w:sz w:val="18"/>
          <w:szCs w:val="18"/>
          <w:color w:val="auto"/>
        </w:rPr>
        <w:t>The Purchase Agreement also provides for indemnifcaton rights related to breaches of each party’s representatons, warrantes, covenants and certain other maters such as losses incurred by HKF for excluded assets or excluded liabilites or losses incurred by the Company for assumed liabilites. The indemnifcaton obligatons of each party are subject to the limitatons set forth in the Purchase Agreement.</w:t>
      </w:r>
    </w:p>
    <w:p>
      <w:pPr>
        <w:spacing w:after="0" w:line="219" w:lineRule="exact"/>
        <w:rPr>
          <w:sz w:val="20"/>
          <w:szCs w:val="20"/>
          <w:color w:val="auto"/>
        </w:rPr>
      </w:pPr>
    </w:p>
    <w:p>
      <w:pPr>
        <w:ind w:left="60" w:right="59"/>
        <w:spacing w:after="0" w:line="235" w:lineRule="auto"/>
        <w:rPr>
          <w:sz w:val="20"/>
          <w:szCs w:val="20"/>
          <w:color w:val="auto"/>
        </w:rPr>
      </w:pPr>
      <w:r>
        <w:rPr>
          <w:rFonts w:ascii="Calibri" w:cs="Calibri" w:eastAsia="Calibri" w:hAnsi="Calibri"/>
          <w:sz w:val="18"/>
          <w:szCs w:val="18"/>
          <w:color w:val="auto"/>
        </w:rPr>
        <w:t>The Purchase Agreement contains customary representatons, warrantes and covenants related to the Company, the Business and the YUSIMRY Dispositon that are subject, in some cases, to specifed exceptons and qualifcatons contained in the Purchase Agreement. The covenants include, among other things, (a) an agreement for the Company to provide access to records related to the Business afer the closing of the YUSIMRY Dispositon and (b) an agreement to certain non-competton and non-solicitaton agreements.</w:t>
      </w:r>
    </w:p>
    <w:p>
      <w:pPr>
        <w:spacing w:after="0" w:line="215"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Pursuant to the Purchase Agreement, the closing of the YUSIMRY Dispositon occurred on June 26, 2024.</w:t>
      </w:r>
    </w:p>
    <w:p>
      <w:pPr>
        <w:spacing w:after="0" w:line="217" w:lineRule="exact"/>
        <w:rPr>
          <w:sz w:val="20"/>
          <w:szCs w:val="20"/>
          <w:color w:val="auto"/>
        </w:rPr>
      </w:pPr>
    </w:p>
    <w:p>
      <w:pPr>
        <w:ind w:left="60" w:right="59"/>
        <w:spacing w:after="0" w:line="235" w:lineRule="auto"/>
        <w:rPr>
          <w:sz w:val="20"/>
          <w:szCs w:val="20"/>
          <w:color w:val="auto"/>
        </w:rPr>
      </w:pPr>
      <w:r>
        <w:rPr>
          <w:rFonts w:ascii="Calibri" w:cs="Calibri" w:eastAsia="Calibri" w:hAnsi="Calibri"/>
          <w:sz w:val="18"/>
          <w:szCs w:val="18"/>
          <w:color w:val="auto"/>
        </w:rPr>
        <w:t>The representatons and warrantes of the Company and HKF contained in the Purchase Agreement have been made solely for the beneft of the partes to the Purchase Agreement. In additon, such representatons and warrantes (a) have been made only for purposes of the Purchase Agreement, (b) have been qualifed by confdental disclosures made to the Company and HKF in connecton with the Purchase Agreement, (c) are subject to materiality qualifcatons contained in the Purchase Agreement which may difer from what may be viewed as material by investors, (d) were made only as of the date of the Purchase Agreement, or such other dates that are specifed in the Purchase Agreement and (e) have been included in the Purchase Agreement for the purpose of allocatng risk between the Company and HKF rather than establishing maters as facts. Accordingly, the Purchase Agreement is included with this fling only to provide investors with informaton regarding the terms of the Purchase Agreement, and not to provide investors with any other factual informaton regarding the Company or HKF or their respectve subsidiaries, afliates or businesses. Investors and security holders are not third-party benefciaries under the Purchase Agreement and should not rely on the representatons and warrantes or any descriptons thereof as characterizatons of the actual state of facts or conditon of the Company or HKF or any of their respectve subsidiaries, afliates or businesses. Moreover, informaton concerning the subject mater of the representatons and warrantes may change afer the date of the Purchase Agreement, which subsequent informaton may or may not be fully refected in the Company’s public disclosures.</w:t>
      </w:r>
    </w:p>
    <w:p>
      <w:pPr>
        <w:spacing w:after="0" w:line="229" w:lineRule="exact"/>
        <w:rPr>
          <w:sz w:val="20"/>
          <w:szCs w:val="20"/>
          <w:color w:val="auto"/>
        </w:rPr>
      </w:pPr>
    </w:p>
    <w:p>
      <w:pPr>
        <w:ind w:left="60" w:right="99"/>
        <w:spacing w:after="0" w:line="258" w:lineRule="auto"/>
        <w:rPr>
          <w:sz w:val="20"/>
          <w:szCs w:val="20"/>
          <w:color w:val="auto"/>
        </w:rPr>
      </w:pPr>
      <w:r>
        <w:rPr>
          <w:rFonts w:ascii="Calibri" w:cs="Calibri" w:eastAsia="Calibri" w:hAnsi="Calibri"/>
          <w:sz w:val="17"/>
          <w:szCs w:val="17"/>
          <w:color w:val="auto"/>
        </w:rPr>
        <w:t>The foregoing descripton of the Purchase Agreement and the YUSIMRY Dispositon is not complete and is qualifed in its entrety by reference to the Purchase Agreement, which is fled as Exhibit 2.1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485140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 w:name="page3"/>
    <w:bookmarkEnd w:id="2"/>
    <w:p>
      <w:pPr>
        <w:ind w:left="60"/>
        <w:spacing w:after="0"/>
        <w:rPr>
          <w:sz w:val="20"/>
          <w:szCs w:val="20"/>
          <w:color w:val="auto"/>
        </w:rPr>
      </w:pPr>
      <w:r>
        <w:rPr>
          <w:rFonts w:ascii="Calibri" w:cs="Calibri" w:eastAsia="Calibri" w:hAnsi="Calibri"/>
          <w:sz w:val="18"/>
          <w:szCs w:val="18"/>
          <w:b w:val="1"/>
          <w:bCs w:val="1"/>
          <w:color w:val="auto"/>
        </w:rPr>
        <w:t>Item 2.01 Completon of Acquisiton or Dispositon of Assets</w:t>
      </w:r>
    </w:p>
    <w:p>
      <w:pPr>
        <w:spacing w:after="0" w:line="217" w:lineRule="exact"/>
        <w:rPr>
          <w:sz w:val="20"/>
          <w:szCs w:val="20"/>
          <w:color w:val="auto"/>
        </w:rPr>
      </w:pPr>
    </w:p>
    <w:p>
      <w:pPr>
        <w:ind w:left="60" w:right="259"/>
        <w:spacing w:after="0" w:line="235" w:lineRule="auto"/>
        <w:rPr>
          <w:sz w:val="20"/>
          <w:szCs w:val="20"/>
          <w:color w:val="auto"/>
        </w:rPr>
      </w:pPr>
      <w:r>
        <w:rPr>
          <w:rFonts w:ascii="Calibri" w:cs="Calibri" w:eastAsia="Calibri" w:hAnsi="Calibri"/>
          <w:sz w:val="18"/>
          <w:szCs w:val="18"/>
          <w:color w:val="auto"/>
        </w:rPr>
        <w:t>The informaton included in Item 1.01 of this Current Report on Form 8-K is incorporated herein by reference into this Item 2.01.</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Item 8.01 Other Events</w:t>
      </w:r>
    </w:p>
    <w:p>
      <w:pPr>
        <w:spacing w:after="0" w:line="217" w:lineRule="exact"/>
        <w:rPr>
          <w:sz w:val="20"/>
          <w:szCs w:val="20"/>
          <w:color w:val="auto"/>
        </w:rPr>
      </w:pPr>
    </w:p>
    <w:p>
      <w:pPr>
        <w:ind w:left="60" w:right="99"/>
        <w:spacing w:after="0" w:line="235" w:lineRule="auto"/>
        <w:rPr>
          <w:sz w:val="20"/>
          <w:szCs w:val="20"/>
          <w:color w:val="auto"/>
        </w:rPr>
      </w:pPr>
      <w:r>
        <w:rPr>
          <w:rFonts w:ascii="Calibri" w:cs="Calibri" w:eastAsia="Calibri" w:hAnsi="Calibri"/>
          <w:sz w:val="18"/>
          <w:szCs w:val="18"/>
          <w:color w:val="auto"/>
        </w:rPr>
        <w:t>On June 27, 2024, the Company issued a press release announcing the completon of the YUSIMRY Dispositon. A copy of the press release is atached as Exhibit 99.1 to this Current Report on Form 8-K.</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(b) Pro Forma Financial Informaton</w:t>
      </w:r>
    </w:p>
    <w:p>
      <w:pPr>
        <w:spacing w:after="0" w:line="217" w:lineRule="exact"/>
        <w:rPr>
          <w:sz w:val="20"/>
          <w:szCs w:val="20"/>
          <w:color w:val="auto"/>
        </w:rPr>
      </w:pPr>
    </w:p>
    <w:p>
      <w:pPr>
        <w:ind w:left="60" w:right="99"/>
        <w:spacing w:after="0" w:line="249" w:lineRule="auto"/>
        <w:rPr>
          <w:sz w:val="20"/>
          <w:szCs w:val="20"/>
          <w:color w:val="auto"/>
        </w:rPr>
      </w:pPr>
      <w:r>
        <w:rPr>
          <w:rFonts w:ascii="Calibri" w:cs="Calibri" w:eastAsia="Calibri" w:hAnsi="Calibri"/>
          <w:sz w:val="17"/>
          <w:szCs w:val="17"/>
          <w:color w:val="auto"/>
        </w:rPr>
        <w:t>The informaton set forth in Item 1.01 of this Current Report on Form 8-K is incorporated herein by reference. The unaudited pro forma condensed combined fnancial informaton and the related notes are fled as Exhibit 99.2 to this Current Report on Form 8-K and incorporated herein by reference. They present the unaudited pro forma condensed combined balance sheet and the unaudited pro forma condensed combined statements of operatons of the Company afer giving pro forma efect to</w:t>
      </w:r>
    </w:p>
    <w:p>
      <w:pPr>
        <w:spacing w:after="0" w:line="3" w:lineRule="exact"/>
        <w:rPr>
          <w:sz w:val="20"/>
          <w:szCs w:val="20"/>
          <w:color w:val="auto"/>
        </w:rPr>
      </w:pPr>
    </w:p>
    <w:p>
      <w:pPr>
        <w:ind w:left="60" w:right="99" w:hanging="10"/>
        <w:spacing w:after="0" w:line="235" w:lineRule="auto"/>
        <w:tabs>
          <w:tab w:leader="none" w:pos="246"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YUSIMRY Dispositon; (ii) the divestture of the Company’s CIMERLI® (ranibizumab-eqrn) ophthalmology franchise through the sale of its subsidiary, Coherus Ophthalmology LLC, to Sandoz Inc. (the “CIMERLI Dispositon”); and (iii) the acquisiton of Surface Oncology, Inc. by the Company (the “Surface Merger” and together with the YUSIMRY Dispositon and the CIMERLI Dispositon, the “Combined Transactons”). The unaudited pro forma condensed combined statements of operatons for the three months ended March 31, 2024 and for the year ended December 31, 2023 were prepared as though the Combined Transactons occurred on January 1, 2023. The unaudited pro forma condensed combined balance sheet as of March 31, 2024 was prepared as though the YUSIMRY Dispositon occurred on March 31, 2024.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(d)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04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Exhibit No.</w:t>
            </w:r>
          </w:p>
        </w:tc>
        <w:tc>
          <w:tcPr>
            <w:tcW w:w="7860" w:type="dxa"/>
            <w:vAlign w:val="bottom"/>
            <w:tcBorders>
              <w:bottom w:val="single" w:sz="8" w:color="auto"/>
            </w:tcBorders>
            <w:gridSpan w:val="6"/>
          </w:tcPr>
          <w:p>
            <w:pPr>
              <w:spacing w:after="0"/>
              <w:rPr>
                <w:sz w:val="20"/>
                <w:szCs w:val="20"/>
                <w:color w:val="auto"/>
              </w:rPr>
            </w:pPr>
            <w:r>
              <w:rPr>
                <w:rFonts w:ascii="Calibri" w:cs="Calibri" w:eastAsia="Calibri" w:hAnsi="Calibri"/>
                <w:sz w:val="14"/>
                <w:szCs w:val="14"/>
                <w:b w:val="1"/>
                <w:bCs w:val="1"/>
                <w:color w:val="auto"/>
              </w:rPr>
              <w:t>Descripton</w:t>
            </w:r>
          </w:p>
        </w:tc>
      </w:tr>
      <w:tr>
        <w:trPr>
          <w:trHeight w:val="162"/>
        </w:trPr>
        <w:tc>
          <w:tcPr>
            <w:tcW w:w="1040" w:type="dxa"/>
            <w:vAlign w:val="bottom"/>
          </w:tcPr>
          <w:p>
            <w:pPr>
              <w:spacing w:after="0" w:line="162" w:lineRule="exact"/>
              <w:rPr>
                <w:sz w:val="20"/>
                <w:szCs w:val="20"/>
                <w:color w:val="auto"/>
              </w:rPr>
            </w:pPr>
            <w:r>
              <w:rPr>
                <w:rFonts w:ascii="Calibri" w:cs="Calibri" w:eastAsia="Calibri" w:hAnsi="Calibri"/>
                <w:sz w:val="17"/>
                <w:szCs w:val="17"/>
                <w:color w:val="auto"/>
              </w:rPr>
              <w:t>2.1</w:t>
            </w:r>
          </w:p>
        </w:tc>
        <w:tc>
          <w:tcPr>
            <w:tcW w:w="7860" w:type="dxa"/>
            <w:vAlign w:val="bottom"/>
            <w:gridSpan w:val="6"/>
          </w:tcPr>
          <w:p>
            <w:pPr>
              <w:spacing w:after="0" w:line="162" w:lineRule="exact"/>
              <w:rPr>
                <w:sz w:val="20"/>
                <w:szCs w:val="20"/>
                <w:color w:val="auto"/>
              </w:rPr>
            </w:pPr>
            <w:r>
              <w:rPr>
                <w:rFonts w:ascii="Calibri" w:cs="Calibri" w:eastAsia="Calibri" w:hAnsi="Calibri"/>
                <w:sz w:val="17"/>
                <w:szCs w:val="17"/>
                <w:color w:val="0000EE"/>
              </w:rPr>
              <w:t>Asset Purchase Agreement, by and between Coherus BioSciences, Inc. and Hong Kong King-Friend Industrial</w:t>
            </w:r>
          </w:p>
        </w:tc>
      </w:tr>
      <w:tr>
        <w:trPr>
          <w:trHeight w:val="196"/>
        </w:trPr>
        <w:tc>
          <w:tcPr>
            <w:tcW w:w="1040" w:type="dxa"/>
            <w:vAlign w:val="bottom"/>
          </w:tcPr>
          <w:p>
            <w:pPr>
              <w:spacing w:after="0"/>
              <w:rPr>
                <w:sz w:val="17"/>
                <w:szCs w:val="17"/>
                <w:color w:val="auto"/>
              </w:rPr>
            </w:pPr>
          </w:p>
        </w:tc>
        <w:tc>
          <w:tcPr>
            <w:tcW w:w="7660" w:type="dxa"/>
            <w:vAlign w:val="bottom"/>
            <w:tcBorders>
              <w:top w:val="single" w:sz="8" w:color="0000EE"/>
            </w:tcBorders>
            <w:gridSpan w:val="4"/>
          </w:tcPr>
          <w:p>
            <w:pPr>
              <w:spacing w:after="0" w:line="196" w:lineRule="exact"/>
              <w:rPr>
                <w:sz w:val="20"/>
                <w:szCs w:val="20"/>
                <w:color w:val="auto"/>
              </w:rPr>
            </w:pPr>
            <w:r>
              <w:rPr>
                <w:rFonts w:ascii="Calibri" w:cs="Calibri" w:eastAsia="Calibri" w:hAnsi="Calibri"/>
                <w:sz w:val="18"/>
                <w:szCs w:val="18"/>
                <w:color w:val="0000EE"/>
              </w:rPr>
              <w:t>Company Ltd., dated as of June 26, 2024*</w:t>
            </w:r>
          </w:p>
        </w:tc>
        <w:tc>
          <w:tcPr>
            <w:tcW w:w="20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Calibri" w:cs="Calibri" w:eastAsia="Calibri" w:hAnsi="Calibri"/>
                <w:sz w:val="18"/>
                <w:szCs w:val="18"/>
                <w:color w:val="auto"/>
              </w:rPr>
              <w:t>99.1</w:t>
            </w:r>
          </w:p>
        </w:tc>
        <w:tc>
          <w:tcPr>
            <w:tcW w:w="4520" w:type="dxa"/>
            <w:vAlign w:val="bottom"/>
            <w:tcBorders>
              <w:bottom w:val="single" w:sz="8" w:color="0000EE"/>
            </w:tcBorders>
            <w:gridSpan w:val="2"/>
          </w:tcPr>
          <w:p>
            <w:pPr>
              <w:spacing w:after="0" w:line="196" w:lineRule="exact"/>
              <w:rPr>
                <w:sz w:val="20"/>
                <w:szCs w:val="20"/>
                <w:color w:val="auto"/>
              </w:rPr>
            </w:pPr>
            <w:r>
              <w:rPr>
                <w:rFonts w:ascii="Calibri" w:cs="Calibri" w:eastAsia="Calibri" w:hAnsi="Calibri"/>
                <w:sz w:val="18"/>
                <w:szCs w:val="18"/>
                <w:color w:val="0000EE"/>
                <w:w w:val="97"/>
              </w:rPr>
              <w:t>Press Release of Coherus BioSciences, Inc., dated June 27, 2024</w:t>
            </w:r>
          </w:p>
        </w:tc>
        <w:tc>
          <w:tcPr>
            <w:tcW w:w="3340" w:type="dxa"/>
            <w:vAlign w:val="bottom"/>
            <w:gridSpan w:val="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Calibri" w:cs="Calibri" w:eastAsia="Calibri" w:hAnsi="Calibri"/>
                <w:sz w:val="18"/>
                <w:szCs w:val="18"/>
                <w:color w:val="auto"/>
              </w:rPr>
              <w:t>99.2</w:t>
            </w:r>
          </w:p>
        </w:tc>
        <w:tc>
          <w:tcPr>
            <w:tcW w:w="7860" w:type="dxa"/>
            <w:vAlign w:val="bottom"/>
            <w:gridSpan w:val="6"/>
          </w:tcPr>
          <w:p>
            <w:pPr>
              <w:spacing w:after="0" w:line="196" w:lineRule="exact"/>
              <w:rPr>
                <w:sz w:val="20"/>
                <w:szCs w:val="20"/>
                <w:color w:val="auto"/>
              </w:rPr>
            </w:pPr>
            <w:r>
              <w:rPr>
                <w:rFonts w:ascii="Calibri" w:cs="Calibri" w:eastAsia="Calibri" w:hAnsi="Calibri"/>
                <w:sz w:val="18"/>
                <w:szCs w:val="18"/>
                <w:color w:val="0000EE"/>
                <w:w w:val="98"/>
              </w:rPr>
              <w:t>Unaudited pro forma condensed combined fnancial informaton of Coherus BioSciences, Inc. as of and for the</w:t>
            </w:r>
          </w:p>
        </w:tc>
      </w:tr>
      <w:tr>
        <w:trPr>
          <w:trHeight w:val="196"/>
        </w:trPr>
        <w:tc>
          <w:tcPr>
            <w:tcW w:w="1040" w:type="dxa"/>
            <w:vAlign w:val="bottom"/>
          </w:tcPr>
          <w:p>
            <w:pPr>
              <w:spacing w:after="0"/>
              <w:rPr>
                <w:sz w:val="17"/>
                <w:szCs w:val="17"/>
                <w:color w:val="auto"/>
              </w:rPr>
            </w:pPr>
          </w:p>
        </w:tc>
        <w:tc>
          <w:tcPr>
            <w:tcW w:w="7820" w:type="dxa"/>
            <w:vAlign w:val="bottom"/>
            <w:tcBorders>
              <w:top w:val="single" w:sz="8" w:color="0000EE"/>
            </w:tcBorders>
            <w:gridSpan w:val="5"/>
          </w:tcPr>
          <w:p>
            <w:pPr>
              <w:spacing w:after="0" w:line="196" w:lineRule="exact"/>
              <w:rPr>
                <w:sz w:val="20"/>
                <w:szCs w:val="20"/>
                <w:color w:val="auto"/>
              </w:rPr>
            </w:pPr>
            <w:r>
              <w:rPr>
                <w:rFonts w:ascii="Calibri" w:cs="Calibri" w:eastAsia="Calibri" w:hAnsi="Calibri"/>
                <w:sz w:val="18"/>
                <w:szCs w:val="18"/>
                <w:color w:val="0000EE"/>
              </w:rPr>
              <w:t>three months ended March 31, 2024 and the year ended December 31, 2023.</w:t>
            </w:r>
          </w:p>
        </w:tc>
        <w:tc>
          <w:tcPr>
            <w:tcW w:w="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100" w:hanging="1044"/>
        <w:spacing w:after="0"/>
        <w:tabs>
          <w:tab w:leader="none" w:pos="1100"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Cover page Interactve Data fle (embedded within the Inline XBRL document)</w:t>
      </w:r>
    </w:p>
    <w:p>
      <w:pPr>
        <w:spacing w:after="0" w:line="217" w:lineRule="exact"/>
        <w:rPr>
          <w:rFonts w:ascii="Calibri" w:cs="Calibri" w:eastAsia="Calibri" w:hAnsi="Calibri"/>
          <w:sz w:val="18"/>
          <w:szCs w:val="18"/>
          <w:color w:val="auto"/>
        </w:rPr>
      </w:pPr>
    </w:p>
    <w:p>
      <w:pPr>
        <w:ind w:left="400" w:right="539" w:hanging="351"/>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Certain portons of this document that consttute confdental informaton have been redacted in accordance with Regulaton S-K, Item 601(b)(10).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1052830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40" w:type="dxa"/>
            <w:vAlign w:val="bottom"/>
          </w:tcPr>
          <w:p>
            <w:pPr>
              <w:ind w:left="20"/>
              <w:spacing w:after="0"/>
              <w:rPr>
                <w:sz w:val="20"/>
                <w:szCs w:val="20"/>
                <w:color w:val="auto"/>
              </w:rPr>
            </w:pPr>
            <w:r>
              <w:rPr>
                <w:rFonts w:ascii="Calibri" w:cs="Calibri" w:eastAsia="Calibri" w:hAnsi="Calibri"/>
                <w:sz w:val="18"/>
                <w:szCs w:val="18"/>
                <w:color w:val="auto"/>
              </w:rPr>
              <w:t>Date: June 27, 2024</w:t>
            </w:r>
          </w:p>
        </w:tc>
        <w:tc>
          <w:tcPr>
            <w:tcW w:w="5880" w:type="dxa"/>
            <w:vAlign w:val="bottom"/>
            <w:gridSpan w:val="2"/>
          </w:tcPr>
          <w:p>
            <w:pPr>
              <w:ind w:left="160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Dennis M. Lanfear</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260" w:type="dxa"/>
            <w:vAlign w:val="bottom"/>
            <w:vMerge w:val="restart"/>
          </w:tcPr>
          <w:p>
            <w:pPr>
              <w:ind w:left="160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Dennis M. Lanfear</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2260" w:type="dxa"/>
            <w:vAlign w:val="bottom"/>
          </w:tcPr>
          <w:p>
            <w:pPr>
              <w:ind w:left="160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Chief Executve Ofcer</w:t>
            </w:r>
          </w:p>
        </w:tc>
        <w:tc>
          <w:tcPr>
            <w:tcW w:w="0" w:type="dxa"/>
            <w:vAlign w:val="bottom"/>
          </w:tcPr>
          <w:p>
            <w:pPr>
              <w:spacing w:after="0"/>
              <w:rPr>
                <w:sz w:val="1"/>
                <w:szCs w:val="1"/>
                <w:color w:val="auto"/>
              </w:rPr>
            </w:pPr>
          </w:p>
        </w:tc>
      </w:tr>
      <w:tr>
        <w:trPr>
          <w:trHeight w:val="1245"/>
        </w:trPr>
        <w:tc>
          <w:tcPr>
            <w:tcW w:w="30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3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35" w:lineRule="exact"/>
        <w:rPr>
          <w:sz w:val="20"/>
          <w:szCs w:val="20"/>
          <w:color w:val="auto"/>
        </w:rPr>
      </w:pPr>
    </w:p>
    <w:p>
      <w:pPr>
        <w:ind w:left="2520" w:right="539" w:hanging="1988"/>
        <w:spacing w:after="0" w:line="262" w:lineRule="auto"/>
        <w:tabs>
          <w:tab w:leader="none" w:pos="1045"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information in this exhibit has been omitted because it is permitted to be omitted by applicable regulatory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5452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149225</wp:posOffset>
            </wp:positionV>
            <wp:extent cx="54521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COHERUS BIOSCIENCES,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HONG KONG KING-FRIEND INDUSTRIAL COMPANY LTD.</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DATED AS OF 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184785</wp:posOffset>
            </wp:positionV>
            <wp:extent cx="5452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201930</wp:posOffset>
            </wp:positionV>
            <wp:extent cx="5452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US-DOCS\150346962.14</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300930969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tbl>
      <w:tblPr>
        <w:tblLayout w:type="fixed"/>
        <w:tblInd w:w="220" w:type="dxa"/>
        <w:tblCellMar>
          <w:top w:w="0" w:type="dxa"/>
          <w:left w:w="0" w:type="dxa"/>
          <w:bottom w:w="0" w:type="dxa"/>
          <w:right w:w="0" w:type="dxa"/>
        </w:tblCellMar>
      </w:tblPr>
      <w:tr>
        <w:trPr>
          <w:trHeight w:val="286"/>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gridSpan w:val="24"/>
          </w:tcPr>
          <w:p>
            <w:pPr>
              <w:ind w:left="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gridSpan w:val="4"/>
          </w:tcPr>
          <w:p>
            <w:pPr>
              <w:ind w:left="940"/>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406"/>
        </w:trPr>
        <w:tc>
          <w:tcPr>
            <w:tcW w:w="2420" w:type="dxa"/>
            <w:vAlign w:val="bottom"/>
            <w:gridSpan w:val="7"/>
          </w:tcPr>
          <w:p>
            <w:pPr>
              <w:spacing w:after="0"/>
              <w:rPr>
                <w:sz w:val="20"/>
                <w:szCs w:val="20"/>
                <w:color w:val="auto"/>
              </w:rPr>
            </w:pPr>
            <w:r>
              <w:rPr>
                <w:rFonts w:ascii="Times New Roman" w:cs="Times New Roman" w:eastAsia="Times New Roman" w:hAnsi="Times New Roman"/>
                <w:sz w:val="22"/>
                <w:szCs w:val="22"/>
                <w:color w:val="0000EE"/>
                <w:highlight w:val="white"/>
                <w:w w:val="96"/>
              </w:rPr>
              <w:t>ARTICLE I DEFINITIONS</w:t>
            </w:r>
          </w:p>
        </w:tc>
        <w:tc>
          <w:tcPr>
            <w:tcW w:w="4780" w:type="dxa"/>
            <w:vAlign w:val="bottom"/>
            <w:gridSpan w:val="32"/>
          </w:tcPr>
          <w:p>
            <w:pPr>
              <w:spacing w:after="0"/>
              <w:rPr>
                <w:sz w:val="24"/>
                <w:szCs w:val="24"/>
                <w:color w:val="auto"/>
              </w:rPr>
            </w:pP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rPr>
              <w:t>4</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1.1</w:t>
            </w:r>
          </w:p>
        </w:tc>
        <w:tc>
          <w:tcPr>
            <w:tcW w:w="540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Definitions</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1.2</w:t>
            </w: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980" w:type="dxa"/>
            <w:vAlign w:val="bottom"/>
            <w:tcBorders>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82"/>
              </w:rPr>
              <w:t>Construction</w:t>
            </w:r>
          </w:p>
        </w:tc>
        <w:tc>
          <w:tcPr>
            <w:tcW w:w="100" w:type="dxa"/>
            <w:vAlign w:val="bottom"/>
            <w:tcBorders>
              <w:bottom w:val="single" w:sz="8" w:color="0000EE"/>
            </w:tcBorders>
            <w:vMerge w:val="continue"/>
          </w:tcPr>
          <w:p>
            <w:pPr>
              <w:spacing w:after="0"/>
              <w:rPr>
                <w:sz w:val="19"/>
                <w:szCs w:val="19"/>
                <w:color w:val="auto"/>
              </w:rPr>
            </w:pPr>
          </w:p>
        </w:tc>
        <w:tc>
          <w:tcPr>
            <w:tcW w:w="40" w:type="dxa"/>
            <w:vAlign w:val="bottom"/>
            <w:tcBorders>
              <w:bottom w:val="single" w:sz="8" w:color="0000EE"/>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7200" w:type="dxa"/>
            <w:vAlign w:val="bottom"/>
            <w:gridSpan w:val="39"/>
          </w:tcPr>
          <w:p>
            <w:pPr>
              <w:spacing w:after="0"/>
              <w:rPr>
                <w:sz w:val="20"/>
                <w:szCs w:val="20"/>
                <w:color w:val="auto"/>
              </w:rPr>
            </w:pPr>
            <w:r>
              <w:rPr>
                <w:rFonts w:ascii="Times New Roman" w:cs="Times New Roman" w:eastAsia="Times New Roman" w:hAnsi="Times New Roman"/>
                <w:sz w:val="22"/>
                <w:szCs w:val="22"/>
                <w:color w:val="0000EE"/>
                <w:highlight w:val="white"/>
              </w:rPr>
              <w:t>ARTICLE II PURCHASE AND SALE</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rPr>
              <w:t>14</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6560" w:type="dxa"/>
            <w:vAlign w:val="bottom"/>
            <w:gridSpan w:val="38"/>
          </w:tcPr>
          <w:p>
            <w:pPr>
              <w:spacing w:after="0"/>
              <w:rPr>
                <w:sz w:val="20"/>
                <w:szCs w:val="20"/>
                <w:color w:val="auto"/>
              </w:rPr>
            </w:pPr>
            <w:r>
              <w:rPr>
                <w:rFonts w:ascii="Times New Roman" w:cs="Times New Roman" w:eastAsia="Times New Roman" w:hAnsi="Times New Roman"/>
                <w:sz w:val="22"/>
                <w:szCs w:val="22"/>
                <w:color w:val="0000EE"/>
                <w:highlight w:val="white"/>
              </w:rPr>
              <w:t>Section 2.1  Purchase and Sale of Assets</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rPr>
              <w:t>14</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top w:val="single" w:sz="8" w:color="0000EE"/>
              <w:bottom w:val="single" w:sz="8" w:color="0000EE"/>
            </w:tcBorders>
            <w:gridSpan w:val="1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7"/>
              </w:rPr>
              <w:t>Excluded Assets</w:t>
            </w:r>
          </w:p>
        </w:tc>
        <w:tc>
          <w:tcPr>
            <w:tcW w:w="980" w:type="dxa"/>
            <w:vAlign w:val="bottom"/>
            <w:tcBorders>
              <w:top w:val="single" w:sz="8" w:color="0000EE"/>
            </w:tcBorders>
            <w:gridSpan w:val="13"/>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0" w:type="dxa"/>
            <w:vAlign w:val="bottom"/>
            <w:gridSpan w:val="3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Assumed Liabilities</w:t>
            </w:r>
          </w:p>
        </w:tc>
        <w:tc>
          <w:tcPr>
            <w:tcW w:w="1160" w:type="dxa"/>
            <w:vAlign w:val="bottom"/>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Borders>
              <w:top w:val="single" w:sz="8" w:color="0000EE"/>
              <w:bottom w:val="single" w:sz="8" w:color="0000EE"/>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Excluded Liabilities</w:t>
            </w:r>
          </w:p>
        </w:tc>
        <w:tc>
          <w:tcPr>
            <w:tcW w:w="2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0" w:type="dxa"/>
            <w:vAlign w:val="bottom"/>
            <w:gridSpan w:val="3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Assumption and Assignment of Certain Contracts</w:t>
            </w:r>
          </w:p>
        </w:tc>
        <w:tc>
          <w:tcPr>
            <w:tcW w:w="1160" w:type="dxa"/>
            <w:vAlign w:val="bottom"/>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00" w:type="dxa"/>
            <w:vAlign w:val="bottom"/>
            <w:tcBorders>
              <w:top w:val="single" w:sz="8" w:color="0000EE"/>
            </w:tcBorders>
            <w:gridSpan w:val="3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Buyer Designation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Borders>
              <w:top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Allocation</w:t>
            </w:r>
          </w:p>
        </w:tc>
        <w:tc>
          <w:tcPr>
            <w:tcW w:w="1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Licensed</w:t>
            </w:r>
          </w:p>
        </w:tc>
        <w:tc>
          <w:tcPr>
            <w:tcW w:w="442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Rights</w:t>
            </w: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0" w:type="dxa"/>
            <w:vAlign w:val="bottom"/>
            <w:gridSpan w:val="39"/>
          </w:tcPr>
          <w:p>
            <w:pPr>
              <w:spacing w:after="0"/>
              <w:rPr>
                <w:sz w:val="20"/>
                <w:szCs w:val="20"/>
                <w:color w:val="auto"/>
              </w:rPr>
            </w:pPr>
            <w:r>
              <w:rPr>
                <w:rFonts w:ascii="Times New Roman" w:cs="Times New Roman" w:eastAsia="Times New Roman" w:hAnsi="Times New Roman"/>
                <w:sz w:val="22"/>
                <w:szCs w:val="22"/>
                <w:color w:val="0000EE"/>
                <w:highlight w:val="white"/>
              </w:rPr>
              <w:t>ARTICLE III PURCHASE PRICE</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rPr>
              <w:t>15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3.1</w:t>
            </w:r>
          </w:p>
        </w:tc>
        <w:tc>
          <w:tcPr>
            <w:tcW w:w="540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Purchase Price</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rPr>
              <w:t>15</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Withholding</w:t>
            </w:r>
          </w:p>
        </w:tc>
        <w:tc>
          <w:tcPr>
            <w:tcW w:w="440" w:type="dxa"/>
            <w:vAlign w:val="bottom"/>
            <w:gridSpan w:val="5"/>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2"/>
                <w:szCs w:val="22"/>
                <w:color w:val="0000EE"/>
                <w:highlight w:val="white"/>
                <w:w w:val="97"/>
              </w:rPr>
              <w:t>ARTICLE IV THE CLOSING</w:t>
            </w:r>
          </w:p>
        </w:tc>
        <w:tc>
          <w:tcPr>
            <w:tcW w:w="4520" w:type="dxa"/>
            <w:vAlign w:val="bottom"/>
            <w:gridSpan w:val="29"/>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6560" w:type="dxa"/>
            <w:vAlign w:val="bottom"/>
            <w:gridSpan w:val="38"/>
          </w:tcPr>
          <w:p>
            <w:pPr>
              <w:spacing w:after="0"/>
              <w:rPr>
                <w:sz w:val="20"/>
                <w:szCs w:val="20"/>
                <w:color w:val="auto"/>
              </w:rPr>
            </w:pPr>
            <w:r>
              <w:rPr>
                <w:rFonts w:ascii="Times New Roman" w:cs="Times New Roman" w:eastAsia="Times New Roman" w:hAnsi="Times New Roman"/>
                <w:sz w:val="22"/>
                <w:szCs w:val="22"/>
                <w:color w:val="0000EE"/>
                <w:highlight w:val="white"/>
              </w:rPr>
              <w:t>Section 4.1  Time and Place of the Closing</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rPr>
              <w:t>15</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40" w:type="dxa"/>
            <w:vAlign w:val="bottom"/>
            <w:tcBorders>
              <w:top w:val="single" w:sz="8" w:color="0000EE"/>
            </w:tcBorders>
            <w:gridSpan w:val="27"/>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Deliveries by Seller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Borders>
              <w:top w:val="single" w:sz="8" w:color="0000EE"/>
              <w:bottom w:val="single" w:sz="8" w:color="0000EE"/>
            </w:tcBorders>
            <w:gridSpan w:val="1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5"/>
              </w:rPr>
              <w:t>Deliveries by Buyer</w:t>
            </w:r>
          </w:p>
        </w:tc>
        <w:tc>
          <w:tcPr>
            <w:tcW w:w="40" w:type="dxa"/>
            <w:vAlign w:val="bottom"/>
            <w:tcBorders>
              <w:bottom w:val="single" w:sz="8" w:color="0000EE"/>
            </w:tcBorders>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Borders>
              <w:bottom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3"/>
              </w:rPr>
              <w:t>Third Party Consents</w:t>
            </w:r>
          </w:p>
        </w:tc>
        <w:tc>
          <w:tcPr>
            <w:tcW w:w="2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40" w:type="dxa"/>
            <w:vAlign w:val="bottom"/>
            <w:tcBorders>
              <w:bottom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26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22"/>
                <w:szCs w:val="22"/>
                <w:color w:val="0000EE"/>
                <w:highlight w:val="white"/>
                <w:w w:val="96"/>
              </w:rPr>
              <w:t>ARTICLE V REPRESENTATIONS AND WARRANTIES OF SELLER</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6560" w:type="dxa"/>
            <w:vAlign w:val="bottom"/>
            <w:gridSpan w:val="38"/>
          </w:tcPr>
          <w:p>
            <w:pPr>
              <w:spacing w:after="0"/>
              <w:rPr>
                <w:sz w:val="20"/>
                <w:szCs w:val="20"/>
                <w:color w:val="auto"/>
              </w:rPr>
            </w:pPr>
            <w:r>
              <w:rPr>
                <w:rFonts w:ascii="Times New Roman" w:cs="Times New Roman" w:eastAsia="Times New Roman" w:hAnsi="Times New Roman"/>
                <w:sz w:val="22"/>
                <w:szCs w:val="22"/>
                <w:color w:val="0000EE"/>
                <w:highlight w:val="white"/>
              </w:rPr>
              <w:t>Section 5.1  Organization, Standing and Corporate Power</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rPr>
              <w:t>17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tcBorders>
              <w:top w:val="single" w:sz="8" w:color="0000EE"/>
            </w:tcBorders>
            <w:gridSpan w:val="31"/>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Authority Relative to this Agreement</w:t>
            </w:r>
          </w:p>
        </w:tc>
        <w:tc>
          <w:tcPr>
            <w:tcW w:w="1500" w:type="dxa"/>
            <w:vAlign w:val="bottom"/>
            <w:gridSpan w:val="3"/>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Borders>
              <w:top w:val="single" w:sz="8" w:color="0000EE"/>
            </w:tcBorders>
            <w:gridSpan w:val="2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 Violation; Consents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top w:val="single" w:sz="8" w:color="0000EE"/>
            </w:tcBorders>
            <w:gridSpan w:val="2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Legal Proceedings and</w:t>
            </w:r>
          </w:p>
        </w:tc>
        <w:tc>
          <w:tcPr>
            <w:tcW w:w="3360" w:type="dxa"/>
            <w:vAlign w:val="bottom"/>
            <w:gridSpan w:val="11"/>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Orders</w:t>
            </w: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Borders>
              <w:top w:val="single" w:sz="8" w:color="0000EE"/>
            </w:tcBorders>
            <w:gridSpan w:val="2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Compliance with Law</w:t>
            </w:r>
          </w:p>
        </w:tc>
        <w:tc>
          <w:tcPr>
            <w:tcW w:w="62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tcBorders>
              <w:top w:val="single" w:sz="8" w:color="0000EE"/>
            </w:tcBorders>
            <w:gridSpan w:val="2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Permits</w:t>
            </w:r>
          </w:p>
        </w:tc>
        <w:tc>
          <w:tcPr>
            <w:tcW w:w="380" w:type="dxa"/>
            <w:vAlign w:val="bottom"/>
            <w:gridSpan w:val="2"/>
          </w:tcPr>
          <w:p>
            <w:pPr>
              <w:spacing w:after="0"/>
              <w:rPr>
                <w:sz w:val="19"/>
                <w:szCs w:val="19"/>
                <w:color w:val="auto"/>
              </w:rPr>
            </w:pPr>
          </w:p>
        </w:tc>
        <w:tc>
          <w:tcPr>
            <w:tcW w:w="940" w:type="dxa"/>
            <w:vAlign w:val="bottom"/>
            <w:gridSpan w:val="5"/>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5.7</w:t>
            </w: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400" w:type="dxa"/>
            <w:vAlign w:val="bottom"/>
            <w:gridSpan w:val="3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Seller SEC Reports; Financial Statements</w:t>
            </w:r>
          </w:p>
        </w:tc>
        <w:tc>
          <w:tcPr>
            <w:tcW w:w="1160" w:type="dxa"/>
            <w:vAlign w:val="bottom"/>
            <w:vMerge w:val="continue"/>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0" w:type="dxa"/>
            <w:vAlign w:val="bottom"/>
            <w:tcBorders>
              <w:top w:val="single" w:sz="8" w:color="0000EE"/>
            </w:tcBorders>
            <w:gridSpan w:val="30"/>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Absence of Changes</w:t>
            </w:r>
          </w:p>
        </w:tc>
        <w:tc>
          <w:tcPr>
            <w:tcW w:w="1800" w:type="dxa"/>
            <w:vAlign w:val="bottom"/>
            <w:gridSpan w:val="4"/>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7"/>
              </w:rPr>
              <w:t>Contracts</w:t>
            </w:r>
          </w:p>
        </w:tc>
        <w:tc>
          <w:tcPr>
            <w:tcW w:w="960" w:type="dxa"/>
            <w:vAlign w:val="bottom"/>
            <w:tcBorders>
              <w:top w:val="single" w:sz="8" w:color="0000EE"/>
            </w:tcBorders>
            <w:gridSpan w:val="15"/>
          </w:tcPr>
          <w:p>
            <w:pPr>
              <w:spacing w:after="0"/>
              <w:rPr>
                <w:sz w:val="19"/>
                <w:szCs w:val="19"/>
                <w:color w:val="auto"/>
              </w:rPr>
            </w:pPr>
          </w:p>
        </w:tc>
        <w:tc>
          <w:tcPr>
            <w:tcW w:w="60" w:type="dxa"/>
            <w:vAlign w:val="bottom"/>
            <w:gridSpan w:val="2"/>
          </w:tcPr>
          <w:p>
            <w:pPr>
              <w:spacing w:after="0"/>
              <w:rPr>
                <w:sz w:val="19"/>
                <w:szCs w:val="19"/>
                <w:color w:val="auto"/>
              </w:rPr>
            </w:pPr>
          </w:p>
        </w:tc>
        <w:tc>
          <w:tcPr>
            <w:tcW w:w="440" w:type="dxa"/>
            <w:vAlign w:val="bottom"/>
            <w:gridSpan w:val="3"/>
          </w:tcPr>
          <w:p>
            <w:pPr>
              <w:spacing w:after="0"/>
              <w:rPr>
                <w:sz w:val="19"/>
                <w:szCs w:val="19"/>
                <w:color w:val="auto"/>
              </w:rPr>
            </w:pPr>
          </w:p>
        </w:tc>
        <w:tc>
          <w:tcPr>
            <w:tcW w:w="940" w:type="dxa"/>
            <w:vAlign w:val="bottom"/>
            <w:gridSpan w:val="5"/>
          </w:tcPr>
          <w:p>
            <w:pPr>
              <w:spacing w:after="0"/>
              <w:rPr>
                <w:sz w:val="19"/>
                <w:szCs w:val="19"/>
                <w:color w:val="auto"/>
              </w:rPr>
            </w:pPr>
          </w:p>
        </w:tc>
        <w:tc>
          <w:tcPr>
            <w:tcW w:w="2160" w:type="dxa"/>
            <w:vAlign w:val="bottom"/>
            <w:gridSpan w:val="5"/>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bottom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0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5.10</w:t>
            </w:r>
          </w:p>
        </w:tc>
        <w:tc>
          <w:tcPr>
            <w:tcW w:w="80" w:type="dxa"/>
            <w:vAlign w:val="bottom"/>
            <w:gridSpan w:val="2"/>
          </w:tcPr>
          <w:p>
            <w:pPr>
              <w:spacing w:after="0"/>
              <w:rPr>
                <w:sz w:val="19"/>
                <w:szCs w:val="19"/>
                <w:color w:val="auto"/>
              </w:rPr>
            </w:pPr>
          </w:p>
        </w:tc>
        <w:tc>
          <w:tcPr>
            <w:tcW w:w="84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2"/>
                <w:szCs w:val="22"/>
                <w:color w:val="0000EE"/>
                <w:highlight w:val="white"/>
                <w:w w:val="78"/>
              </w:rPr>
              <w:t>Intellectual</w:t>
            </w:r>
          </w:p>
        </w:tc>
        <w:tc>
          <w:tcPr>
            <w:tcW w:w="40" w:type="dxa"/>
            <w:vAlign w:val="bottom"/>
          </w:tcPr>
          <w:p>
            <w:pPr>
              <w:spacing w:after="0"/>
              <w:rPr>
                <w:sz w:val="19"/>
                <w:szCs w:val="19"/>
                <w:color w:val="auto"/>
              </w:rPr>
            </w:pPr>
          </w:p>
        </w:tc>
        <w:tc>
          <w:tcPr>
            <w:tcW w:w="4520" w:type="dxa"/>
            <w:vAlign w:val="bottom"/>
            <w:gridSpan w:val="29"/>
          </w:tcPr>
          <w:p>
            <w:pPr>
              <w:ind w:left="200"/>
              <w:spacing w:after="0" w:line="223" w:lineRule="exact"/>
              <w:rPr>
                <w:sz w:val="20"/>
                <w:szCs w:val="20"/>
                <w:color w:val="auto"/>
              </w:rPr>
            </w:pPr>
            <w:r>
              <w:rPr>
                <w:rFonts w:ascii="Times New Roman" w:cs="Times New Roman" w:eastAsia="Times New Roman" w:hAnsi="Times New Roman"/>
                <w:sz w:val="22"/>
                <w:szCs w:val="22"/>
                <w:color w:val="0000EE"/>
                <w:highlight w:val="white"/>
              </w:rPr>
              <w:t>Property.</w:t>
            </w:r>
          </w:p>
        </w:tc>
        <w:tc>
          <w:tcPr>
            <w:tcW w:w="1160" w:type="dxa"/>
            <w:vAlign w:val="bottom"/>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gridSpan w:val="1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0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5.11</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34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Data Privacy and Security</w:t>
            </w:r>
          </w:p>
        </w:tc>
        <w:tc>
          <w:tcPr>
            <w:tcW w:w="1160" w:type="dxa"/>
            <w:vAlign w:val="bottom"/>
            <w:vMerge w:val="continue"/>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08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5.12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Borders>
              <w:top w:val="single" w:sz="8" w:color="0000EE"/>
            </w:tcBorders>
            <w:gridSpan w:val="24"/>
          </w:tcPr>
          <w:p>
            <w:pPr>
              <w:ind w:left="40"/>
              <w:spacing w:after="0" w:line="223" w:lineRule="exact"/>
              <w:rPr>
                <w:sz w:val="20"/>
                <w:szCs w:val="20"/>
                <w:color w:val="auto"/>
              </w:rPr>
            </w:pPr>
            <w:r>
              <w:rPr>
                <w:rFonts w:ascii="Times New Roman" w:cs="Times New Roman" w:eastAsia="Times New Roman" w:hAnsi="Times New Roman"/>
                <w:sz w:val="22"/>
                <w:szCs w:val="22"/>
                <w:color w:val="0000EE"/>
                <w:highlight w:val="white"/>
              </w:rPr>
              <w:t>Regulatory Matters.</w:t>
            </w:r>
          </w:p>
        </w:tc>
        <w:tc>
          <w:tcPr>
            <w:tcW w:w="940" w:type="dxa"/>
            <w:vAlign w:val="bottom"/>
            <w:gridSpan w:val="5"/>
          </w:tcPr>
          <w:p>
            <w:pPr>
              <w:spacing w:after="0"/>
              <w:rPr>
                <w:sz w:val="19"/>
                <w:szCs w:val="19"/>
                <w:color w:val="auto"/>
              </w:rPr>
            </w:pPr>
          </w:p>
        </w:tc>
        <w:tc>
          <w:tcPr>
            <w:tcW w:w="2160" w:type="dxa"/>
            <w:vAlign w:val="bottom"/>
            <w:gridSpan w:val="5"/>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gridSpan w:val="13"/>
            <w:shd w:val="clear" w:color="auto" w:fill="0000EE"/>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8"/>
              </w:rPr>
              <w:t>Section 5.13</w:t>
            </w:r>
          </w:p>
        </w:tc>
        <w:tc>
          <w:tcPr>
            <w:tcW w:w="120" w:type="dxa"/>
            <w:vAlign w:val="bottom"/>
            <w:gridSpan w:val="2"/>
            <w:vMerge w:val="continue"/>
          </w:tcPr>
          <w:p>
            <w:pPr>
              <w:spacing w:after="0"/>
              <w:rPr>
                <w:sz w:val="19"/>
                <w:szCs w:val="19"/>
                <w:color w:val="auto"/>
              </w:rPr>
            </w:pPr>
          </w:p>
        </w:tc>
        <w:tc>
          <w:tcPr>
            <w:tcW w:w="534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Title to Assets; Sufficiency of Assets</w:t>
            </w:r>
          </w:p>
        </w:tc>
        <w:tc>
          <w:tcPr>
            <w:tcW w:w="1160" w:type="dxa"/>
            <w:vAlign w:val="bottom"/>
            <w:vMerge w:val="continue"/>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8"/>
              </w:rPr>
              <w:t>Section 5.14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80" w:type="dxa"/>
            <w:vAlign w:val="bottom"/>
            <w:tcBorders>
              <w:top w:val="single" w:sz="8" w:color="0000EE"/>
            </w:tcBorders>
            <w:gridSpan w:val="2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Insurance</w:t>
            </w:r>
          </w:p>
        </w:tc>
        <w:tc>
          <w:tcPr>
            <w:tcW w:w="2160" w:type="dxa"/>
            <w:vAlign w:val="bottom"/>
            <w:gridSpan w:val="5"/>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0000EE"/>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-6617335</wp:posOffset>
            </wp:positionV>
            <wp:extent cx="5040630" cy="6600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40630" cy="660082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 w:name="page7"/>
    <w:bookmarkEnd w:id="6"/>
    <w:tbl>
      <w:tblPr>
        <w:tblLayout w:type="fixed"/>
        <w:tblInd w:w="22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6"/>
              </w:rPr>
              <w:t>Section 5.15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5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Brokers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23</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5.16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5.17</w:t>
            </w:r>
          </w:p>
        </w:tc>
        <w:tc>
          <w:tcPr>
            <w:tcW w:w="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50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Inventory</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5.18</w:t>
            </w:r>
          </w:p>
        </w:tc>
        <w:tc>
          <w:tcPr>
            <w:tcW w:w="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50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 Additional Representations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8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22"/>
                <w:szCs w:val="22"/>
                <w:color w:val="0000EE"/>
                <w:highlight w:val="white"/>
                <w:w w:val="96"/>
              </w:rPr>
              <w:t>ARTICLE VI REPRESENTATIONS AND WARRANTIES OF BUYER</w:t>
            </w:r>
          </w:p>
        </w:tc>
        <w:tc>
          <w:tcPr>
            <w:tcW w:w="2080" w:type="dxa"/>
            <w:vAlign w:val="bottom"/>
            <w:gridSpan w:val="2"/>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7720" w:type="dxa"/>
            <w:vAlign w:val="bottom"/>
            <w:gridSpan w:val="39"/>
          </w:tcPr>
          <w:p>
            <w:pPr>
              <w:spacing w:after="0"/>
              <w:rPr>
                <w:sz w:val="20"/>
                <w:szCs w:val="20"/>
                <w:color w:val="auto"/>
              </w:rPr>
            </w:pPr>
            <w:r>
              <w:rPr>
                <w:rFonts w:ascii="Times New Roman" w:cs="Times New Roman" w:eastAsia="Times New Roman" w:hAnsi="Times New Roman"/>
                <w:sz w:val="22"/>
                <w:szCs w:val="22"/>
                <w:color w:val="0000EE"/>
                <w:highlight w:val="white"/>
              </w:rPr>
              <w:t>Section 6.1  Organization and Good Standing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24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6.2</w:t>
            </w:r>
          </w:p>
        </w:tc>
        <w:tc>
          <w:tcPr>
            <w:tcW w:w="1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Authority Relative to this Agreement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Borders>
              <w:top w:val="single" w:sz="8" w:color="0000EE"/>
            </w:tcBorders>
            <w:gridSpan w:val="31"/>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 Violation; Consents</w:t>
            </w:r>
          </w:p>
        </w:tc>
        <w:tc>
          <w:tcPr>
            <w:tcW w:w="11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top w:val="single" w:sz="8" w:color="0000EE"/>
            </w:tcBorders>
            <w:gridSpan w:val="19"/>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Legal Proceedings and</w:t>
            </w:r>
          </w:p>
        </w:tc>
        <w:tc>
          <w:tcPr>
            <w:tcW w:w="4520" w:type="dxa"/>
            <w:vAlign w:val="bottom"/>
            <w:gridSpan w:val="1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Orders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6.5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Borders>
              <w:top w:val="single" w:sz="8" w:color="0000EE"/>
            </w:tcBorders>
            <w:gridSpan w:val="2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Brokers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80"/>
              </w:rPr>
              <w:t>Financial</w:t>
            </w:r>
          </w:p>
        </w:tc>
        <w:tc>
          <w:tcPr>
            <w:tcW w:w="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5680" w:type="dxa"/>
            <w:vAlign w:val="bottom"/>
            <w:gridSpan w:val="27"/>
          </w:tcPr>
          <w:p>
            <w:pPr>
              <w:jc w:val="center"/>
              <w:ind w:right="4940"/>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Capacity</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Borders>
              <w:top w:val="single" w:sz="8" w:color="0000EE"/>
              <w:bottom w:val="single" w:sz="8" w:color="0000EE"/>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 Additional</w:t>
            </w:r>
          </w:p>
        </w:tc>
        <w:tc>
          <w:tcPr>
            <w:tcW w:w="1100" w:type="dxa"/>
            <w:vAlign w:val="bottom"/>
            <w:tcBorders>
              <w:bottom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75"/>
              </w:rPr>
              <w:t>Representations</w:t>
            </w:r>
          </w:p>
        </w:tc>
        <w:tc>
          <w:tcPr>
            <w:tcW w:w="3840" w:type="dxa"/>
            <w:vAlign w:val="bottom"/>
            <w:gridSpan w:val="8"/>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360" w:type="dxa"/>
            <w:vAlign w:val="bottom"/>
            <w:gridSpan w:val="40"/>
          </w:tcPr>
          <w:p>
            <w:pPr>
              <w:spacing w:after="0"/>
              <w:rPr>
                <w:sz w:val="20"/>
                <w:szCs w:val="20"/>
                <w:color w:val="auto"/>
              </w:rPr>
            </w:pPr>
            <w:r>
              <w:rPr>
                <w:rFonts w:ascii="Times New Roman" w:cs="Times New Roman" w:eastAsia="Times New Roman" w:hAnsi="Times New Roman"/>
                <w:sz w:val="22"/>
                <w:szCs w:val="22"/>
                <w:color w:val="0000EE"/>
                <w:highlight w:val="white"/>
              </w:rPr>
              <w:t>ARTICLE VII COVENANTS OF THE PARTIES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26</w:t>
            </w:r>
          </w:p>
        </w:tc>
        <w:tc>
          <w:tcPr>
            <w:tcW w:w="0" w:type="dxa"/>
            <w:vAlign w:val="bottom"/>
          </w:tcPr>
          <w:p>
            <w:pPr>
              <w:spacing w:after="0"/>
              <w:rPr>
                <w:sz w:val="1"/>
                <w:szCs w:val="1"/>
                <w:color w:val="auto"/>
              </w:rPr>
            </w:pPr>
          </w:p>
        </w:tc>
      </w:tr>
      <w:tr>
        <w:trPr>
          <w:trHeight w:val="439"/>
        </w:trPr>
        <w:tc>
          <w:tcPr>
            <w:tcW w:w="640" w:type="dxa"/>
            <w:vAlign w:val="bottom"/>
            <w:tcBorders>
              <w:top w:val="single" w:sz="8" w:color="0000EE"/>
            </w:tcBorders>
          </w:tcPr>
          <w:p>
            <w:pPr>
              <w:spacing w:after="0"/>
              <w:rPr>
                <w:sz w:val="24"/>
                <w:szCs w:val="24"/>
                <w:color w:val="auto"/>
              </w:rPr>
            </w:pPr>
          </w:p>
        </w:tc>
        <w:tc>
          <w:tcPr>
            <w:tcW w:w="366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22"/>
                <w:szCs w:val="22"/>
                <w:color w:val="0000EE"/>
                <w:highlight w:val="white"/>
              </w:rPr>
              <w:t>Section 7.1  Maintenance of Records</w:t>
            </w:r>
          </w:p>
        </w:tc>
        <w:tc>
          <w:tcPr>
            <w:tcW w:w="4060" w:type="dxa"/>
            <w:vAlign w:val="bottom"/>
            <w:gridSpan w:val="12"/>
          </w:tcPr>
          <w:p>
            <w:pPr>
              <w:spacing w:after="0"/>
              <w:rPr>
                <w:sz w:val="24"/>
                <w:szCs w:val="24"/>
                <w:color w:val="auto"/>
              </w:rPr>
            </w:pPr>
          </w:p>
        </w:tc>
        <w:tc>
          <w:tcPr>
            <w:tcW w:w="2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tcBorders>
              <w:top w:val="single" w:sz="8" w:color="0000EE"/>
            </w:tcBorders>
            <w:gridSpan w:val="20"/>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Expenses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Further</w:t>
            </w:r>
          </w:p>
        </w:tc>
        <w:tc>
          <w:tcPr>
            <w:tcW w:w="5680" w:type="dxa"/>
            <w:vAlign w:val="bottom"/>
            <w:gridSpan w:val="27"/>
          </w:tcPr>
          <w:p>
            <w:pPr>
              <w:jc w:val="center"/>
              <w:ind w:right="4880"/>
              <w:spacing w:after="0" w:line="223" w:lineRule="exact"/>
              <w:rPr>
                <w:sz w:val="20"/>
                <w:szCs w:val="20"/>
                <w:color w:val="auto"/>
              </w:rPr>
            </w:pPr>
            <w:r>
              <w:rPr>
                <w:rFonts w:ascii="Times New Roman" w:cs="Times New Roman" w:eastAsia="Times New Roman" w:hAnsi="Times New Roman"/>
                <w:sz w:val="22"/>
                <w:szCs w:val="22"/>
                <w:color w:val="0000EE"/>
                <w:highlight w:val="white"/>
                <w:w w:val="79"/>
              </w:rPr>
              <w:t>Assurances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Borders>
              <w:top w:val="single" w:sz="8" w:color="0000EE"/>
            </w:tcBorders>
            <w:gridSpan w:val="1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Public Statements</w:t>
            </w:r>
          </w:p>
        </w:tc>
        <w:tc>
          <w:tcPr>
            <w:tcW w:w="54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tcBorders>
            <w:gridSpan w:val="1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Tax Matters</w:t>
            </w:r>
          </w:p>
        </w:tc>
        <w:tc>
          <w:tcPr>
            <w:tcW w:w="100" w:type="dxa"/>
            <w:vAlign w:val="bottom"/>
            <w:gridSpan w:val="2"/>
          </w:tcPr>
          <w:p>
            <w:pPr>
              <w:spacing w:after="0"/>
              <w:rPr>
                <w:sz w:val="19"/>
                <w:szCs w:val="19"/>
                <w:color w:val="auto"/>
              </w:rPr>
            </w:pPr>
          </w:p>
        </w:tc>
        <w:tc>
          <w:tcPr>
            <w:tcW w:w="56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Transfer of</w:t>
            </w:r>
          </w:p>
        </w:tc>
        <w:tc>
          <w:tcPr>
            <w:tcW w:w="5500" w:type="dxa"/>
            <w:vAlign w:val="bottom"/>
            <w:gridSpan w:val="2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Purchased Assets; Payments Received</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top w:val="single" w:sz="8" w:color="0000EE"/>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BLA Transfer</w:t>
            </w:r>
          </w:p>
        </w:tc>
        <w:tc>
          <w:tcPr>
            <w:tcW w:w="3120" w:type="dxa"/>
            <w:vAlign w:val="bottom"/>
            <w:tcBorders>
              <w:top w:val="single" w:sz="8" w:color="0000EE"/>
            </w:tcBorders>
            <w:gridSpan w:val="19"/>
          </w:tcPr>
          <w:p>
            <w:pPr>
              <w:spacing w:after="0"/>
              <w:rPr>
                <w:sz w:val="19"/>
                <w:szCs w:val="19"/>
                <w:color w:val="auto"/>
              </w:rPr>
            </w:pPr>
          </w:p>
        </w:tc>
        <w:tc>
          <w:tcPr>
            <w:tcW w:w="8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Certain Acknowledgements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7.9</w:t>
            </w:r>
          </w:p>
        </w:tc>
        <w:tc>
          <w:tcPr>
            <w:tcW w:w="1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Non-Competition; Non-Solicitation</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40" w:type="dxa"/>
            <w:vAlign w:val="bottom"/>
            <w:gridSpan w:val="4"/>
            <w:vMerge w:val="restart"/>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7.10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Confidentiality</w:t>
            </w:r>
          </w:p>
        </w:tc>
        <w:tc>
          <w:tcPr>
            <w:tcW w:w="40" w:type="dxa"/>
            <w:vAlign w:val="bottom"/>
            <w:vMerge w:val="continue"/>
          </w:tcPr>
          <w:p>
            <w:pPr>
              <w:spacing w:after="0"/>
              <w:rPr>
                <w:sz w:val="19"/>
                <w:szCs w:val="19"/>
                <w:color w:val="auto"/>
              </w:rPr>
            </w:pPr>
          </w:p>
        </w:tc>
        <w:tc>
          <w:tcPr>
            <w:tcW w:w="2040" w:type="dxa"/>
            <w:vAlign w:val="bottom"/>
            <w:gridSpan w:val="4"/>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10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7.11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0000EE"/>
            </w:tcBorders>
            <w:gridSpan w:val="1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Bulk Sales</w:t>
            </w:r>
          </w:p>
        </w:tc>
        <w:tc>
          <w:tcPr>
            <w:tcW w:w="280" w:type="dxa"/>
            <w:vAlign w:val="bottom"/>
            <w:gridSpan w:val="3"/>
          </w:tcPr>
          <w:p>
            <w:pPr>
              <w:spacing w:after="0"/>
              <w:rPr>
                <w:sz w:val="19"/>
                <w:szCs w:val="19"/>
                <w:color w:val="auto"/>
              </w:rPr>
            </w:pPr>
          </w:p>
        </w:tc>
        <w:tc>
          <w:tcPr>
            <w:tcW w:w="560" w:type="dxa"/>
            <w:vAlign w:val="bottom"/>
            <w:gridSpan w:val="4"/>
          </w:tcPr>
          <w:p>
            <w:pPr>
              <w:spacing w:after="0"/>
              <w:rPr>
                <w:sz w:val="19"/>
                <w:szCs w:val="19"/>
                <w:color w:val="auto"/>
              </w:rPr>
            </w:pPr>
          </w:p>
        </w:tc>
        <w:tc>
          <w:tcPr>
            <w:tcW w:w="320" w:type="dxa"/>
            <w:vAlign w:val="bottom"/>
            <w:gridSpan w:val="3"/>
          </w:tcPr>
          <w:p>
            <w:pPr>
              <w:spacing w:after="0"/>
              <w:rPr>
                <w:sz w:val="19"/>
                <w:szCs w:val="19"/>
                <w:color w:val="auto"/>
              </w:rPr>
            </w:pPr>
          </w:p>
        </w:tc>
        <w:tc>
          <w:tcPr>
            <w:tcW w:w="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gridSpan w:val="4"/>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2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22"/>
                <w:szCs w:val="22"/>
                <w:color w:val="0000EE"/>
                <w:highlight w:val="white"/>
                <w:w w:val="96"/>
              </w:rPr>
              <w:t>ARTICLE VIII SURVIVAL AND INDEMNIFICATION</w:t>
            </w:r>
          </w:p>
        </w:tc>
        <w:tc>
          <w:tcPr>
            <w:tcW w:w="3440" w:type="dxa"/>
            <w:vAlign w:val="bottom"/>
            <w:gridSpan w:val="5"/>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8.1</w:t>
            </w:r>
          </w:p>
        </w:tc>
        <w:tc>
          <w:tcPr>
            <w:tcW w:w="60" w:type="dxa"/>
            <w:vAlign w:val="bottom"/>
          </w:tcPr>
          <w:p>
            <w:pPr>
              <w:spacing w:after="0"/>
              <w:rPr>
                <w:sz w:val="24"/>
                <w:szCs w:val="24"/>
                <w:color w:val="auto"/>
              </w:rPr>
            </w:pPr>
          </w:p>
        </w:tc>
        <w:tc>
          <w:tcPr>
            <w:tcW w:w="6560" w:type="dxa"/>
            <w:vAlign w:val="bottom"/>
            <w:gridSpan w:val="35"/>
          </w:tcPr>
          <w:p>
            <w:pPr>
              <w:spacing w:after="0"/>
              <w:rPr>
                <w:sz w:val="20"/>
                <w:szCs w:val="20"/>
                <w:color w:val="auto"/>
              </w:rPr>
            </w:pPr>
            <w:r>
              <w:rPr>
                <w:rFonts w:ascii="Times New Roman" w:cs="Times New Roman" w:eastAsia="Times New Roman" w:hAnsi="Times New Roman"/>
                <w:sz w:val="22"/>
                <w:szCs w:val="22"/>
                <w:color w:val="0000EE"/>
                <w:highlight w:val="white"/>
              </w:rPr>
              <w:t>Survival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32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8.2</w:t>
            </w:r>
          </w:p>
        </w:tc>
        <w:tc>
          <w:tcPr>
            <w:tcW w:w="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Indemnification</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8.3</w:t>
            </w:r>
          </w:p>
        </w:tc>
        <w:tc>
          <w:tcPr>
            <w:tcW w:w="200" w:type="dxa"/>
            <w:vAlign w:val="bottom"/>
            <w:gridSpan w:val="3"/>
            <w:vMerge w:val="continue"/>
          </w:tcPr>
          <w:p>
            <w:pPr>
              <w:spacing w:after="0"/>
              <w:rPr>
                <w:sz w:val="19"/>
                <w:szCs w:val="19"/>
                <w:color w:val="auto"/>
              </w:rPr>
            </w:pPr>
          </w:p>
        </w:tc>
        <w:tc>
          <w:tcPr>
            <w:tcW w:w="2220" w:type="dxa"/>
            <w:vAlign w:val="bottom"/>
            <w:tcBorders>
              <w:bottom w:val="single" w:sz="8" w:color="0000EE"/>
            </w:tcBorders>
            <w:gridSpan w:val="21"/>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7"/>
              </w:rPr>
              <w:t>Limits and Qualifications</w:t>
            </w:r>
          </w:p>
        </w:tc>
        <w:tc>
          <w:tcPr>
            <w:tcW w:w="4340" w:type="dxa"/>
            <w:vAlign w:val="bottom"/>
            <w:gridSpan w:val="14"/>
          </w:tcPr>
          <w:p>
            <w:pPr>
              <w:spacing w:after="0"/>
              <w:rPr>
                <w:sz w:val="19"/>
                <w:szCs w:val="19"/>
                <w:color w:val="auto"/>
              </w:rPr>
            </w:pPr>
          </w:p>
        </w:tc>
        <w:tc>
          <w:tcPr>
            <w:tcW w:w="220" w:type="dxa"/>
            <w:vAlign w:val="bottom"/>
            <w:tcBorders>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8.4</w:t>
            </w:r>
          </w:p>
        </w:tc>
        <w:tc>
          <w:tcPr>
            <w:tcW w:w="200" w:type="dxa"/>
            <w:vAlign w:val="bottom"/>
            <w:gridSpan w:val="3"/>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Claims Not Involving Third Parties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8.5</w:t>
            </w:r>
          </w:p>
        </w:tc>
        <w:tc>
          <w:tcPr>
            <w:tcW w:w="200" w:type="dxa"/>
            <w:vAlign w:val="bottom"/>
            <w:gridSpan w:val="3"/>
          </w:tcPr>
          <w:p>
            <w:pPr>
              <w:spacing w:after="0"/>
              <w:rPr>
                <w:sz w:val="19"/>
                <w:szCs w:val="19"/>
                <w:color w:val="auto"/>
              </w:rPr>
            </w:pPr>
          </w:p>
        </w:tc>
        <w:tc>
          <w:tcPr>
            <w:tcW w:w="1660" w:type="dxa"/>
            <w:vAlign w:val="bottom"/>
            <w:tcBorders>
              <w:top w:val="single" w:sz="8" w:color="0000EE"/>
              <w:bottom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7"/>
              </w:rPr>
              <w:t>Third Party Claims</w:t>
            </w:r>
          </w:p>
        </w:tc>
        <w:tc>
          <w:tcPr>
            <w:tcW w:w="1420" w:type="dxa"/>
            <w:vAlign w:val="bottom"/>
            <w:tcBorders>
              <w:top w:val="single" w:sz="8" w:color="0000EE"/>
            </w:tcBorders>
            <w:gridSpan w:val="12"/>
          </w:tcPr>
          <w:p>
            <w:pPr>
              <w:spacing w:after="0"/>
              <w:rPr>
                <w:sz w:val="19"/>
                <w:szCs w:val="19"/>
                <w:color w:val="auto"/>
              </w:rPr>
            </w:pPr>
          </w:p>
        </w:tc>
        <w:tc>
          <w:tcPr>
            <w:tcW w:w="2080" w:type="dxa"/>
            <w:vAlign w:val="bottom"/>
            <w:gridSpan w:val="5"/>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8.6</w:t>
            </w:r>
          </w:p>
        </w:tc>
        <w:tc>
          <w:tcPr>
            <w:tcW w:w="200" w:type="dxa"/>
            <w:vAlign w:val="bottom"/>
            <w:gridSpan w:val="3"/>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Adjustment to Purchase Price</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8.7</w:t>
            </w:r>
          </w:p>
        </w:tc>
        <w:tc>
          <w:tcPr>
            <w:tcW w:w="200" w:type="dxa"/>
            <w:vAlign w:val="bottom"/>
            <w:gridSpan w:val="3"/>
            <w:vMerge w:val="continue"/>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Exercise of Remedies by Indemnitees other than the Parties</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8.8</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5160" w:type="dxa"/>
            <w:vAlign w:val="bottom"/>
            <w:tcBorders>
              <w:top w:val="single" w:sz="8" w:color="0000EE"/>
            </w:tcBorders>
            <w:gridSpan w:val="3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Exclusive Remedy</w:t>
            </w:r>
          </w:p>
        </w:tc>
        <w:tc>
          <w:tcPr>
            <w:tcW w:w="14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60" w:type="dxa"/>
            <w:vAlign w:val="bottom"/>
            <w:gridSpan w:val="40"/>
          </w:tcPr>
          <w:p>
            <w:pPr>
              <w:spacing w:after="0"/>
              <w:rPr>
                <w:sz w:val="20"/>
                <w:szCs w:val="20"/>
                <w:color w:val="auto"/>
              </w:rPr>
            </w:pPr>
            <w:r>
              <w:rPr>
                <w:rFonts w:ascii="Times New Roman" w:cs="Times New Roman" w:eastAsia="Times New Roman" w:hAnsi="Times New Roman"/>
                <w:sz w:val="22"/>
                <w:szCs w:val="22"/>
                <w:color w:val="0000EE"/>
                <w:highlight w:val="white"/>
              </w:rPr>
              <w:t>ARTICLE IX MISCELLANEOUS PROVISIONS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37</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7720" w:type="dxa"/>
            <w:vAlign w:val="bottom"/>
            <w:gridSpan w:val="39"/>
          </w:tcPr>
          <w:p>
            <w:pPr>
              <w:spacing w:after="0"/>
              <w:rPr>
                <w:sz w:val="20"/>
                <w:szCs w:val="20"/>
                <w:color w:val="auto"/>
              </w:rPr>
            </w:pPr>
            <w:r>
              <w:rPr>
                <w:rFonts w:ascii="Times New Roman" w:cs="Times New Roman" w:eastAsia="Times New Roman" w:hAnsi="Times New Roman"/>
                <w:sz w:val="22"/>
                <w:szCs w:val="22"/>
                <w:color w:val="0000EE"/>
                <w:highlight w:val="white"/>
              </w:rPr>
              <w:t>Section 9.1  Amendment and Modification</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37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9.2</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640" w:type="dxa"/>
            <w:vAlign w:val="bottom"/>
            <w:tcBorders>
              <w:top w:val="single" w:sz="8" w:color="0000EE"/>
            </w:tcBorders>
            <w:gridSpan w:val="2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Notices</w:t>
            </w:r>
          </w:p>
        </w:tc>
        <w:tc>
          <w:tcPr>
            <w:tcW w:w="80" w:type="dxa"/>
            <w:vAlign w:val="bottom"/>
          </w:tcPr>
          <w:p>
            <w:pPr>
              <w:spacing w:after="0"/>
              <w:rPr>
                <w:sz w:val="19"/>
                <w:szCs w:val="19"/>
                <w:color w:val="auto"/>
              </w:rPr>
            </w:pPr>
          </w:p>
        </w:tc>
        <w:tc>
          <w:tcPr>
            <w:tcW w:w="3840" w:type="dxa"/>
            <w:vAlign w:val="bottom"/>
            <w:gridSpan w:val="8"/>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13"/>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9.3</w:t>
            </w:r>
          </w:p>
        </w:tc>
        <w:tc>
          <w:tcPr>
            <w:tcW w:w="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Assignment</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9.4</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5"/>
              </w:rPr>
              <w:t>Severability</w:t>
            </w:r>
          </w:p>
        </w:tc>
        <w:tc>
          <w:tcPr>
            <w:tcW w:w="40" w:type="dxa"/>
            <w:vAlign w:val="bottom"/>
            <w:tcBorders>
              <w:bottom w:val="single" w:sz="8" w:color="0000EE"/>
            </w:tcBorders>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340" w:type="dxa"/>
            <w:vAlign w:val="bottom"/>
            <w:gridSpan w:val="13"/>
          </w:tcPr>
          <w:p>
            <w:pPr>
              <w:spacing w:after="0"/>
              <w:rPr>
                <w:sz w:val="19"/>
                <w:szCs w:val="19"/>
                <w:color w:val="auto"/>
              </w:rPr>
            </w:pPr>
          </w:p>
        </w:tc>
        <w:tc>
          <w:tcPr>
            <w:tcW w:w="3840" w:type="dxa"/>
            <w:vAlign w:val="bottom"/>
            <w:gridSpan w:val="8"/>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9.5</w:t>
            </w:r>
          </w:p>
        </w:tc>
        <w:tc>
          <w:tcPr>
            <w:tcW w:w="200" w:type="dxa"/>
            <w:vAlign w:val="bottom"/>
            <w:gridSpan w:val="3"/>
          </w:tcPr>
          <w:p>
            <w:pPr>
              <w:spacing w:after="0"/>
              <w:rPr>
                <w:sz w:val="19"/>
                <w:szCs w:val="19"/>
                <w:color w:val="auto"/>
              </w:rPr>
            </w:pPr>
          </w:p>
        </w:tc>
        <w:tc>
          <w:tcPr>
            <w:tcW w:w="6560" w:type="dxa"/>
            <w:vAlign w:val="bottom"/>
            <w:gridSpan w:val="3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Acknowledgement and Release</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top w:val="single" w:sz="8" w:color="0000EE"/>
              <w:bottom w:val="single" w:sz="8" w:color="0000EE"/>
            </w:tcBorders>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9.6</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top w:val="single" w:sz="8" w:color="0000EE"/>
              <w:bottom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Governing Law</w:t>
            </w:r>
          </w:p>
        </w:tc>
        <w:tc>
          <w:tcPr>
            <w:tcW w:w="1340" w:type="dxa"/>
            <w:vAlign w:val="bottom"/>
            <w:tcBorders>
              <w:top w:val="single" w:sz="8" w:color="0000EE"/>
            </w:tcBorders>
            <w:gridSpan w:val="13"/>
          </w:tcPr>
          <w:p>
            <w:pPr>
              <w:spacing w:after="0"/>
              <w:rPr>
                <w:sz w:val="19"/>
                <w:szCs w:val="19"/>
                <w:color w:val="auto"/>
              </w:rPr>
            </w:pPr>
          </w:p>
        </w:tc>
        <w:tc>
          <w:tcPr>
            <w:tcW w:w="3840" w:type="dxa"/>
            <w:vAlign w:val="bottom"/>
            <w:gridSpan w:val="8"/>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-7139940</wp:posOffset>
            </wp:positionV>
            <wp:extent cx="4217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-6985635</wp:posOffset>
            </wp:positionV>
            <wp:extent cx="4217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-6831330</wp:posOffset>
            </wp:positionV>
            <wp:extent cx="4217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-6677025</wp:posOffset>
            </wp:positionV>
            <wp:extent cx="4217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-6385560</wp:posOffset>
            </wp:positionV>
            <wp:extent cx="5040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-6094095</wp:posOffset>
            </wp:positionV>
            <wp:extent cx="4217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-5939790</wp:posOffset>
            </wp:positionV>
            <wp:extent cx="4217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-5785485</wp:posOffset>
            </wp:positionV>
            <wp:extent cx="4217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-5631180</wp:posOffset>
            </wp:positionV>
            <wp:extent cx="4217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-5476875</wp:posOffset>
            </wp:positionV>
            <wp:extent cx="4217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-5322570</wp:posOffset>
            </wp:positionV>
            <wp:extent cx="4217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-5168265</wp:posOffset>
            </wp:positionV>
            <wp:extent cx="4217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-4876800</wp:posOffset>
            </wp:positionV>
            <wp:extent cx="50406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-4585335</wp:posOffset>
            </wp:positionV>
            <wp:extent cx="4217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-4431030</wp:posOffset>
            </wp:positionV>
            <wp:extent cx="4217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-4276725</wp:posOffset>
            </wp:positionV>
            <wp:extent cx="4217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-4122420</wp:posOffset>
            </wp:positionV>
            <wp:extent cx="4217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-3968115</wp:posOffset>
            </wp:positionV>
            <wp:extent cx="4217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-3813810</wp:posOffset>
            </wp:positionV>
            <wp:extent cx="4217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-3659505</wp:posOffset>
            </wp:positionV>
            <wp:extent cx="4217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-3505200</wp:posOffset>
            </wp:positionV>
            <wp:extent cx="4217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-3350895</wp:posOffset>
            </wp:positionV>
            <wp:extent cx="4217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-3196590</wp:posOffset>
            </wp:positionV>
            <wp:extent cx="4217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-3042285</wp:posOffset>
            </wp:positionV>
            <wp:extent cx="4217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-2750820</wp:posOffset>
            </wp:positionV>
            <wp:extent cx="5040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-2459355</wp:posOffset>
            </wp:positionV>
            <wp:extent cx="4217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-2305050</wp:posOffset>
            </wp:positionV>
            <wp:extent cx="4217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-2150745</wp:posOffset>
            </wp:positionV>
            <wp:extent cx="4217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-1996440</wp:posOffset>
            </wp:positionV>
            <wp:extent cx="4217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-1842135</wp:posOffset>
            </wp:positionV>
            <wp:extent cx="4217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-1687830</wp:posOffset>
            </wp:positionV>
            <wp:extent cx="4217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-1533525</wp:posOffset>
            </wp:positionV>
            <wp:extent cx="4217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-1379220</wp:posOffset>
            </wp:positionV>
            <wp:extent cx="42176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-1087755</wp:posOffset>
            </wp:positionV>
            <wp:extent cx="50406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-796290</wp:posOffset>
            </wp:positionV>
            <wp:extent cx="4217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-642620</wp:posOffset>
            </wp:positionV>
            <wp:extent cx="4217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-487680</wp:posOffset>
            </wp:positionV>
            <wp:extent cx="4217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-333375</wp:posOffset>
            </wp:positionV>
            <wp:extent cx="4217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-179070</wp:posOffset>
            </wp:positionV>
            <wp:extent cx="4217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wp:posOffset>
            </wp:positionV>
            <wp:extent cx="4217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7" w:name="page8"/>
    <w:bookmarkEnd w:id="7"/>
    <w:tbl>
      <w:tblPr>
        <w:tblLayout w:type="fixed"/>
        <w:tblInd w:w="20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0000EE"/>
                <w:highlight w:val="white"/>
              </w:rPr>
              <w:t>Section 9.7</w:t>
            </w:r>
          </w:p>
        </w:tc>
        <w:tc>
          <w:tcPr>
            <w:tcW w:w="6520" w:type="dxa"/>
            <w:vAlign w:val="bottom"/>
            <w:gridSpan w:val="8"/>
          </w:tcPr>
          <w:p>
            <w:pPr>
              <w:spacing w:after="0"/>
              <w:rPr>
                <w:sz w:val="20"/>
                <w:szCs w:val="20"/>
                <w:color w:val="auto"/>
              </w:rPr>
            </w:pPr>
            <w:r>
              <w:rPr>
                <w:rFonts w:ascii="Times New Roman" w:cs="Times New Roman" w:eastAsia="Times New Roman" w:hAnsi="Times New Roman"/>
                <w:sz w:val="22"/>
                <w:szCs w:val="22"/>
                <w:color w:val="0000EE"/>
                <w:highlight w:val="white"/>
              </w:rPr>
              <w:t>Submission to Jurisdiction; WAIVER OF JURY TRIAL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0000EE"/>
                <w:highlight w:val="white"/>
                <w:w w:val="90"/>
              </w:rPr>
              <w:t>39</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96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Counterparts</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96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88"/>
              </w:rPr>
              <w:t>Incorporation</w:t>
            </w:r>
          </w:p>
        </w:tc>
        <w:tc>
          <w:tcPr>
            <w:tcW w:w="5440" w:type="dxa"/>
            <w:vAlign w:val="bottom"/>
            <w:gridSpan w:val="6"/>
          </w:tcPr>
          <w:p>
            <w:pPr>
              <w:ind w:left="120"/>
              <w:spacing w:after="0" w:line="223" w:lineRule="exact"/>
              <w:rPr>
                <w:sz w:val="20"/>
                <w:szCs w:val="20"/>
                <w:color w:val="auto"/>
              </w:rPr>
            </w:pPr>
            <w:r>
              <w:rPr>
                <w:rFonts w:ascii="Times New Roman" w:cs="Times New Roman" w:eastAsia="Times New Roman" w:hAnsi="Times New Roman"/>
                <w:sz w:val="22"/>
                <w:szCs w:val="22"/>
                <w:color w:val="0000EE"/>
                <w:highlight w:val="white"/>
              </w:rPr>
              <w:t>of Schedules and Exhibits</w:t>
            </w: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80" w:type="dxa"/>
            <w:vAlign w:val="bottom"/>
            <w:gridSpan w:val="2"/>
            <w:vMerge w:val="restart"/>
          </w:tcPr>
          <w:p>
            <w:pPr>
              <w:spacing w:after="0" w:line="20" w:lineRule="exact"/>
              <w:rPr>
                <w:sz w:val="1"/>
                <w:szCs w:val="1"/>
                <w:color w:val="auto"/>
              </w:rPr>
            </w:pPr>
          </w:p>
        </w:tc>
        <w:tc>
          <w:tcPr>
            <w:tcW w:w="160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0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Section 9.10</w:t>
            </w:r>
          </w:p>
        </w:tc>
        <w:tc>
          <w:tcPr>
            <w:tcW w:w="344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Entire Agreement</w:t>
            </w:r>
          </w:p>
        </w:tc>
        <w:tc>
          <w:tcPr>
            <w:tcW w:w="148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8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9.11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Remedies</w:t>
            </w:r>
          </w:p>
        </w:tc>
        <w:tc>
          <w:tcPr>
            <w:tcW w:w="800" w:type="dxa"/>
            <w:vAlign w:val="bottom"/>
          </w:tcPr>
          <w:p>
            <w:pPr>
              <w:spacing w:after="0"/>
              <w:rPr>
                <w:sz w:val="19"/>
                <w:szCs w:val="19"/>
                <w:color w:val="auto"/>
              </w:rPr>
            </w:pPr>
          </w:p>
        </w:tc>
        <w:tc>
          <w:tcPr>
            <w:tcW w:w="2580" w:type="dxa"/>
            <w:vAlign w:val="bottom"/>
            <w:gridSpan w:val="3"/>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top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0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Section 9.12</w:t>
            </w:r>
          </w:p>
        </w:tc>
        <w:tc>
          <w:tcPr>
            <w:tcW w:w="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52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0000EE"/>
                <w:highlight w:val="white"/>
              </w:rPr>
              <w:t>Seller Disclosure Schedule</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80" w:type="dxa"/>
            <w:vAlign w:val="bottom"/>
            <w:tcBorders>
              <w:top w:val="single" w:sz="8" w:color="0000EE"/>
              <w:bottom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Section 9.13</w:t>
            </w: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4"/>
              </w:rPr>
              <w:t>Mutual Drafting; Headings;</w:t>
            </w:r>
          </w:p>
        </w:tc>
        <w:tc>
          <w:tcPr>
            <w:tcW w:w="2580" w:type="dxa"/>
            <w:vAlign w:val="bottom"/>
            <w:tcBorders>
              <w:bottom w:val="single" w:sz="8" w:color="0000EE"/>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0000EE"/>
                <w:highlight w:val="white"/>
                <w:w w:val="96"/>
              </w:rPr>
              <w:t>Information Made Available</w:t>
            </w:r>
          </w:p>
        </w:tc>
        <w:tc>
          <w:tcPr>
            <w:tcW w:w="1600" w:type="dxa"/>
            <w:vAlign w:val="bottom"/>
          </w:tcPr>
          <w:p>
            <w:pPr>
              <w:spacing w:after="0"/>
              <w:rPr>
                <w:sz w:val="19"/>
                <w:szCs w:val="19"/>
                <w:color w:val="auto"/>
              </w:rPr>
            </w:pPr>
          </w:p>
        </w:tc>
        <w:tc>
          <w:tcPr>
            <w:tcW w:w="220" w:type="dxa"/>
            <w:vAlign w:val="bottom"/>
            <w:tcBorders>
              <w:top w:val="single" w:sz="8" w:color="0000EE"/>
              <w:bottom w:val="single" w:sz="8" w:color="0000EE"/>
            </w:tcBorders>
          </w:tcPr>
          <w:p>
            <w:pPr>
              <w:jc w:val="right"/>
              <w:spacing w:after="0" w:line="223" w:lineRule="exact"/>
              <w:rPr>
                <w:sz w:val="20"/>
                <w:szCs w:val="20"/>
                <w:color w:val="auto"/>
              </w:rPr>
            </w:pPr>
            <w:r>
              <w:rPr>
                <w:rFonts w:ascii="Times New Roman" w:cs="Times New Roman" w:eastAsia="Times New Roman" w:hAnsi="Times New Roman"/>
                <w:sz w:val="22"/>
                <w:szCs w:val="22"/>
                <w:color w:val="0000EE"/>
                <w:highlight w:val="white"/>
                <w:w w:val="90"/>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7"/>
              </w:rPr>
              <w:t>SCHEDULES</w:t>
            </w:r>
          </w:p>
        </w:tc>
        <w:tc>
          <w:tcPr>
            <w:tcW w:w="60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8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Schedule I</w:t>
            </w:r>
          </w:p>
        </w:tc>
        <w:tc>
          <w:tcPr>
            <w:tcW w:w="6520" w:type="dxa"/>
            <w:vAlign w:val="bottom"/>
            <w:gridSpan w:val="8"/>
          </w:tcPr>
          <w:p>
            <w:pPr>
              <w:ind w:left="740"/>
              <w:spacing w:after="0"/>
              <w:rPr>
                <w:sz w:val="20"/>
                <w:szCs w:val="20"/>
                <w:color w:val="auto"/>
              </w:rPr>
            </w:pPr>
            <w:r>
              <w:rPr>
                <w:rFonts w:ascii="Times New Roman" w:cs="Times New Roman" w:eastAsia="Times New Roman" w:hAnsi="Times New Roman"/>
                <w:sz w:val="22"/>
                <w:szCs w:val="22"/>
                <w:color w:val="auto"/>
              </w:rPr>
              <w:t>Purchased Assets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II</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Excluded Assets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III</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Assumed Liabilities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IV</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Excluded Liabilities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V</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Allocation</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VI</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Licensed Assets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VII</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Seller Letter</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Schedule VIII</w:t>
            </w:r>
          </w:p>
        </w:tc>
        <w:tc>
          <w:tcPr>
            <w:tcW w:w="6520" w:type="dxa"/>
            <w:vAlign w:val="bottom"/>
            <w:gridSpan w:val="8"/>
          </w:tcPr>
          <w:p>
            <w:pPr>
              <w:ind w:left="740"/>
              <w:spacing w:after="0" w:line="243" w:lineRule="exact"/>
              <w:rPr>
                <w:sz w:val="20"/>
                <w:szCs w:val="20"/>
                <w:color w:val="auto"/>
              </w:rPr>
            </w:pPr>
            <w:r>
              <w:rPr>
                <w:rFonts w:ascii="Times New Roman" w:cs="Times New Roman" w:eastAsia="Times New Roman" w:hAnsi="Times New Roman"/>
                <w:sz w:val="22"/>
                <w:szCs w:val="22"/>
                <w:color w:val="auto"/>
              </w:rPr>
              <w:t>Buyer Letter</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Seller Disclosure Schedule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6"/>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EXHIBITS</w:t>
            </w:r>
          </w:p>
        </w:tc>
        <w:tc>
          <w:tcPr>
            <w:tcW w:w="86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8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Exhibit A</w:t>
            </w:r>
          </w:p>
        </w:tc>
        <w:tc>
          <w:tcPr>
            <w:tcW w:w="652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Form of Assignment and Assumption Agreement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6520" w:type="dxa"/>
            <w:vAlign w:val="bottom"/>
            <w:gridSpan w:val="8"/>
          </w:tcPr>
          <w:p>
            <w:pPr>
              <w:ind w:left="100"/>
              <w:spacing w:after="0" w:line="243" w:lineRule="exact"/>
              <w:rPr>
                <w:sz w:val="20"/>
                <w:szCs w:val="20"/>
                <w:color w:val="auto"/>
              </w:rPr>
            </w:pPr>
            <w:r>
              <w:rPr>
                <w:rFonts w:ascii="Times New Roman" w:cs="Times New Roman" w:eastAsia="Times New Roman" w:hAnsi="Times New Roman"/>
                <w:sz w:val="22"/>
                <w:szCs w:val="22"/>
                <w:color w:val="auto"/>
              </w:rPr>
              <w:t>Form of Bill of Sale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6520" w:type="dxa"/>
            <w:vAlign w:val="bottom"/>
            <w:gridSpan w:val="8"/>
          </w:tcPr>
          <w:p>
            <w:pPr>
              <w:ind w:left="100"/>
              <w:spacing w:after="0" w:line="243" w:lineRule="exact"/>
              <w:rPr>
                <w:sz w:val="20"/>
                <w:szCs w:val="20"/>
                <w:color w:val="auto"/>
              </w:rPr>
            </w:pPr>
            <w:r>
              <w:rPr>
                <w:rFonts w:ascii="Times New Roman" w:cs="Times New Roman" w:eastAsia="Times New Roman" w:hAnsi="Times New Roman"/>
                <w:sz w:val="22"/>
                <w:szCs w:val="22"/>
                <w:color w:val="auto"/>
              </w:rPr>
              <w:t>Form of IP Assignment Agreement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Exhibit D</w:t>
            </w:r>
          </w:p>
        </w:tc>
        <w:tc>
          <w:tcPr>
            <w:tcW w:w="652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Form of Transition Services Agreement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-4284345</wp:posOffset>
            </wp:positionV>
            <wp:extent cx="4217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-4130040</wp:posOffset>
            </wp:positionV>
            <wp:extent cx="4217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-3975735</wp:posOffset>
            </wp:positionV>
            <wp:extent cx="4217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-3821430</wp:posOffset>
            </wp:positionV>
            <wp:extent cx="4217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-3667125</wp:posOffset>
            </wp:positionV>
            <wp:extent cx="4217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-3512820</wp:posOffset>
            </wp:positionV>
            <wp:extent cx="4217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-3358515</wp:posOffset>
            </wp:positionV>
            <wp:extent cx="4217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June 26, 2024 by and among COHERUS BIOSCIENCES, INC., a Delaware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HONG KONG KING-FRIEND INDUSTRIAL COMPANY LTD., a Hong Kong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Each of Seller and Buyer are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but not otherwise defined herein have the meanings set forth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WHEREAS, Buyer desires to purchase from Seller, and Seller desires to sell, transfer and assign to Buyer, the Purchased Assets, and in connection therewith Buyer will assume the Assumed Liabilities, all upon the terms and conditions set forth herein;</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covenants and agreements contained herein and for other good and valuable consideration, the receipt and sufficiency of which are hereby acknowledged, the Parties, intending to be legally bound, hereby agree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 defined term has its defined meaning throughout this Agreement and in each Exhibit and Schedule to this Agreement, regardless of whether it appears before or after the place where it is defined. As used in this Agreement, the following terms have the meanings specified below:</w:t>
      </w:r>
    </w:p>
    <w:p>
      <w:pPr>
        <w:spacing w:after="0" w:line="1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that directly or indirectly, through one or more intermediaries, controls, is controlled by or is under common control with, such specified Person. For purposes of this definition, “control” (and any similar term) means the power of one or more Persons to direct, or cause the direction of, the affairs of another Person by reason of ownership of voting stock or by Contract or otherwise.</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to such term in the Preamble hereto.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xml:space="preserve">” means the Assignment and Assumption Agreement to be executed and delivered by Seller to Buyer at the Closing,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Contracts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Basket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8.3(a)(ii)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 w:name="page10"/>
    <w:bookmarkEnd w:id="9"/>
    <w:p>
      <w:pPr>
        <w:jc w:val="both"/>
        <w:ind w:left="200" w:right="239"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the Bill of Sale to be executed and delivered by Seller to Buyer at the Closing,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w:t>
      </w:r>
      <w:r>
        <w:rPr>
          <w:rFonts w:ascii="Times New Roman" w:cs="Times New Roman" w:eastAsia="Times New Roman" w:hAnsi="Times New Roman"/>
          <w:sz w:val="22"/>
          <w:szCs w:val="22"/>
          <w:color w:val="auto"/>
        </w:rPr>
        <w:t>” means a Biologics License Application as described in 21 C.F.R. § 601.2 or successor provisions thereof, or an equivalent application in any applicable foreign jurisdiction.</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 Transfer Submission Date</w:t>
      </w:r>
      <w:r>
        <w:rPr>
          <w:rFonts w:ascii="Times New Roman" w:cs="Times New Roman" w:eastAsia="Times New Roman" w:hAnsi="Times New Roman"/>
          <w:sz w:val="22"/>
          <w:szCs w:val="22"/>
          <w:color w:val="auto"/>
        </w:rPr>
        <w:t>” means the date on which each Party submits (or if different dates, the later of the two dates) a letter to the FDA requesting transfer of the BLA of the Product from Seller to Buyer and requesting Buyer to become the new applicant for the Product (each, a “</w:t>
      </w:r>
      <w:r>
        <w:rPr>
          <w:rFonts w:ascii="Times New Roman" w:cs="Times New Roman" w:eastAsia="Times New Roman" w:hAnsi="Times New Roman"/>
          <w:sz w:val="22"/>
          <w:szCs w:val="22"/>
          <w:u w:val="single" w:color="auto"/>
          <w:color w:val="auto"/>
        </w:rPr>
        <w:t>Letter</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 Transfer Date</w:t>
      </w:r>
      <w:r>
        <w:rPr>
          <w:rFonts w:ascii="Times New Roman" w:cs="Times New Roman" w:eastAsia="Times New Roman" w:hAnsi="Times New Roman"/>
          <w:sz w:val="22"/>
          <w:szCs w:val="22"/>
          <w:color w:val="auto"/>
        </w:rPr>
        <w:t xml:space="preserve">” means the date on which the BLA is transferred;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within 30 days following the BLA Transfer Submission Date, the FDA informs the applicant that the change requires approval prior to distribution of the Product in accordance with paragraph (b) of 21 CFR 601.12, the BLA Transfer Date shall have the same meaning as BLA Transfer Confirmation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within 30 days following the BLA Transfer Submission Date, the FDA informs the applicant that any of the information required for the FDA to make the transfer is missing, the BLA Transfer Date shall mean the date that is 30 days from the date the FDA confirms they have received all required information to make the transfer.</w:t>
      </w:r>
    </w:p>
    <w:p>
      <w:pPr>
        <w:spacing w:after="0" w:line="17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 Transfer Confirmation Date</w:t>
      </w:r>
      <w:r>
        <w:rPr>
          <w:rFonts w:ascii="Times New Roman" w:cs="Times New Roman" w:eastAsia="Times New Roman" w:hAnsi="Times New Roman"/>
          <w:sz w:val="22"/>
          <w:szCs w:val="22"/>
          <w:color w:val="auto"/>
        </w:rPr>
        <w:t>” means the date on which the FDA approves the transfer of the BLA from Seller to Buyer.</w:t>
      </w:r>
    </w:p>
    <w:p>
      <w:pPr>
        <w:spacing w:after="0" w:line="158"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of Developing, Manufacturing, Commercializing, using, licensing and otherwise exploiting the Product.</w:t>
      </w:r>
    </w:p>
    <w:p>
      <w:pPr>
        <w:spacing w:after="0" w:line="158"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banks are required or authorized by Law to be closed in New York, New York.</w:t>
      </w:r>
    </w:p>
    <w:p>
      <w:pPr>
        <w:spacing w:after="0" w:line="158"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Relation</w:t>
      </w:r>
      <w:r>
        <w:rPr>
          <w:rFonts w:ascii="Times New Roman" w:cs="Times New Roman" w:eastAsia="Times New Roman" w:hAnsi="Times New Roman"/>
          <w:sz w:val="22"/>
          <w:szCs w:val="22"/>
          <w:color w:val="auto"/>
        </w:rPr>
        <w:t>” means any customer, supplier, lessee, lessor, licensee, licensor or other business relation.</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given to such term in the Preamble hereto.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to promote, market, advertise, distribute, sell, offer for sale, have sold and provide product support for the Product, and “</w:t>
      </w:r>
      <w:r>
        <w:rPr>
          <w:rFonts w:ascii="Times New Roman" w:cs="Times New Roman" w:eastAsia="Times New Roman" w:hAnsi="Times New Roman"/>
          <w:sz w:val="22"/>
          <w:szCs w:val="22"/>
          <w:u w:val="single" w:color="auto"/>
          <w:color w:val="auto"/>
        </w:rPr>
        <w:t>Commercializing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have correlative meanings.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Business</w:t>
      </w:r>
      <w:r>
        <w:rPr>
          <w:rFonts w:ascii="Times New Roman" w:cs="Times New Roman" w:eastAsia="Times New Roman" w:hAnsi="Times New Roman"/>
          <w:sz w:val="22"/>
          <w:szCs w:val="22"/>
          <w:color w:val="auto"/>
        </w:rPr>
        <w:t>” means any business involved in the Development, Manufacturing, or Commercialization of a therapeutic binding with specificity to or targeting tumor necrosis factor-alpha (“TNFa”) in any of the indications for which the Product is FDA approved.</w:t>
      </w:r>
    </w:p>
    <w:p>
      <w:pPr>
        <w:spacing w:after="0" w:line="1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Confidentiality Agreement by and between Buyer and Seller, dated March 1, 2024.</w:t>
      </w:r>
    </w:p>
    <w:p>
      <w:pPr>
        <w:spacing w:after="0" w:line="15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agreement, clearance, exemption, waiver, order, approval, authorization or other action of, or any registration or filing with or notice to or other action with respect to, any Governmental Authority or any other Person which is required for any of the execution, delivery or performance of this Agreement or any other Transaction Document, or the consummation of the Closing or any other transaction contemplated by this Agreement and the other Transaction Documents.</w:t>
      </w:r>
    </w:p>
    <w:p>
      <w:pPr>
        <w:spacing w:after="0" w:line="181"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means any legally enforceable written or oral lease, contract, subcontract, deed, mortgage, license, sublicense, commitment, purchase order, bond, debenture, note, option, warrant, warranty or other legally enforceable agreement, arrangement, understanding or instrument.</w:t>
      </w:r>
    </w:p>
    <w:p>
      <w:pPr>
        <w:spacing w:after="0" w:line="15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Protection Laws</w:t>
      </w:r>
      <w:r>
        <w:rPr>
          <w:rFonts w:ascii="Times New Roman" w:cs="Times New Roman" w:eastAsia="Times New Roman" w:hAnsi="Times New Roman"/>
          <w:sz w:val="22"/>
          <w:szCs w:val="22"/>
          <w:color w:val="auto"/>
        </w:rPr>
        <w:t>” means any applicable Laws relating to the Processing of Personal Information, data privacy, data security, data breach notification and the cross-border transfer of Personal Information.</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Protection Requirements</w:t>
      </w:r>
      <w:r>
        <w:rPr>
          <w:rFonts w:ascii="Times New Roman" w:cs="Times New Roman" w:eastAsia="Times New Roman" w:hAnsi="Times New Roman"/>
          <w:sz w:val="22"/>
          <w:szCs w:val="22"/>
          <w:color w:val="auto"/>
        </w:rPr>
        <w:t>” means all applicable (a) Data Protection Laws; (b) Privacy Policies; and (c) the terms of any agreements to which Seller is bound relating to the Processing of Personal Information.</w:t>
      </w:r>
    </w:p>
    <w:p>
      <w:pPr>
        <w:spacing w:after="0" w:line="17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means all activities related to the research and development of the Product, including, but not limited to, pre-clinical and other non-clinical testing, test method development and stability testing, toxicology, formulation, process development, qualification and validation, quality assurance/quality control, clinical trials, statistical analysis and report writing, the preparation and submission of applications for Regulatory Approval, regulatory affairs with respect to the foregoing and all other activities necessary or reasonably useful or otherwise requested or required by a Regulatory Authority as a condition or in support of obtaining or maintaining a Regulatory Approval for such Product. When used as a verb,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means to engage in Development.</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Claim Notice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Documentary Materials</w:t>
      </w:r>
      <w:r>
        <w:rPr>
          <w:rFonts w:ascii="Times New Roman" w:cs="Times New Roman" w:eastAsia="Times New Roman" w:hAnsi="Times New Roman"/>
          <w:sz w:val="22"/>
          <w:szCs w:val="22"/>
          <w:color w:val="auto"/>
        </w:rPr>
        <w:t>” means all books, documentation, records, information, files, data and plans (whether written, electronic or in any other medium), and similar items of Seller exclusively related to the Purchased Assets.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Encumbrances</w:t>
      </w:r>
      <w:r>
        <w:rPr>
          <w:rFonts w:ascii="Times New Roman" w:cs="Times New Roman" w:eastAsia="Times New Roman" w:hAnsi="Times New Roman"/>
          <w:sz w:val="21"/>
          <w:szCs w:val="21"/>
          <w:color w:val="auto"/>
        </w:rPr>
        <w:t>” means any charge, lien (statutory or otherwise), mortgage, lease, hypothecation, encumbrance, pledge, security interest, option, right of use, first offer or first refusal, preemptive right, community property interest, easement, servitude, restrictive covenant, encroachment, adverse claim, or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shall mean the United States Food and Drug Administration or any successor thereto.</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Permits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with respect to a Party, such Party’s intentional common law fraud under Delaware Law with respect to the making of representations and warranties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as applicable, excluding constructive fraud, unfair dealings fraud, promissory fraud or any form of fraud premised on recklessness or negligence.</w:t>
      </w:r>
    </w:p>
    <w:p>
      <w:pPr>
        <w:spacing w:after="0" w:line="18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consistently applied.</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national, supranational, federal, municipal, state, local or foreign governmental, administrative, taxing or regulatory authority, department, agency, commission or body (including any court or similar tribunal).</w:t>
      </w:r>
    </w:p>
    <w:p>
      <w:pPr>
        <w:spacing w:after="0" w:line="17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Health Care Laws</w:t>
      </w:r>
      <w:r>
        <w:rPr>
          <w:rFonts w:ascii="Times New Roman" w:cs="Times New Roman" w:eastAsia="Times New Roman" w:hAnsi="Times New Roman"/>
          <w:sz w:val="22"/>
          <w:szCs w:val="22"/>
          <w:color w:val="auto"/>
        </w:rPr>
        <w:t>” shall mean the Federal Food, Drug, and Cosmetic Act (21 U.S.C. §§ 301 et seq.), the Prescription Drug Marketing Act, the Generic Drug Enforcement Act of 1992 (21 U.S.C. §335a et seq.), the U.S. Patent Act (35 U.S.C. §1 et seq.), the federal Anti-Kickback Statute (42 U.S.C. § 1320a-7b(b)), the civil False Claims Act (31 U.S.C. §§ 3729 et seq.), the criminal False Claims Law (42 U.S.C. § 1320a-7b(a)), the exclusion laws (42 U.S.C. § 1320a-7), the civil monetary penalties law (42 U.S.C. § 1320a-7a); the laws or regulations that govern human subjects research, patient consent or authorization, privacy or use of information, and the like, including U.S. Health Insurance Portability and Accountability Act of 1996 (42 U.S.C. § 1320d et seq.) (“</w:t>
      </w: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as amended by the Health Information Technology for Economic and Clinical Health Act and the US Physician Payment Sunshine Act; the Good Manufacturing Practices, Good Clinical Practices, Good Laboratory Practices and ICH guidelines; and applicable requirements and official guidance of any relevant Governmental Authority, together with any rules, regulations, and compliance guidance promulgated under any of the foregoing, as well as foreign equivalents of any of the foregoing, in each case, as may be amended and as may be in effect from time to time and applicable to conduct under this Agreement.</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the meaning given to such term in Section 8.4.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has the meaning given to such term in Section 8.4.</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 Defense Notice</w:t>
      </w:r>
      <w:r>
        <w:rPr>
          <w:rFonts w:ascii="Times New Roman" w:cs="Times New Roman" w:eastAsia="Times New Roman" w:hAnsi="Times New Roman"/>
          <w:sz w:val="21"/>
          <w:szCs w:val="21"/>
          <w:color w:val="auto"/>
        </w:rPr>
        <w:t xml:space="preserve">” has the meaning given to such term in </w:t>
      </w:r>
      <w:r>
        <w:rPr>
          <w:rFonts w:ascii="Times New Roman" w:cs="Times New Roman" w:eastAsia="Times New Roman" w:hAnsi="Times New Roman"/>
          <w:sz w:val="21"/>
          <w:szCs w:val="21"/>
          <w:u w:val="single" w:color="auto"/>
          <w:color w:val="auto"/>
        </w:rPr>
        <w:t>Section 8.5(a)</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shall mean all rights, title and interest (whether statutory, common law or otherwise) in or relating to any intellectual property, under the Laws of any jurisdiction in the world, including all: (a) patents and patent applications, and all related national or international counterparts thereto, including any divisionals, continuations, continuations-in-part, reissues, reexaminations, substitutions provisionals, renewals, extensions, patents of addition, supplementary protection certificates, utility models, inventors’ certificates, or the like, and any foreign equivalents of any of the foregoing (including certificates of invention and any applications therefor) and all rights to claim priority from any of the foregoing; (b) trademarks, trade dress, service marks, certification marks, logos, slogans, design rights, names, corporate names, trade names, brand names and other similar designations of source or origin, together with the goodwill symbolized by any of the foregoing, and all applications, registrations, renewals and extensions of any of the foregoing; (c) copyrights and copyrightable subject matter, whether or not registered or published, and all applications, registrations, reversions, extensions and renewals of any of the foregoing, and all moral rights, however denominated; (d) trade secrets, and all other confidential or proprietary information, ideas, technology, software, compositions, discoveries, improvements, know-how, inventions, designs, processes, techniques, formulae, models, and methodologies, in each case, whether or not patentable or copyrightable; and (e) Internet domain names and social media accounts and addresses, and all registrations for any of the foregoing.</w:t>
      </w:r>
    </w:p>
    <w:p>
      <w:pPr>
        <w:spacing w:after="0" w:line="18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means all finished goods and products in-process of the Product owned by Seller, wherever located and whether in Seller’s warehouses, distribution facilities or otherwise.</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Assignment Agreement</w:t>
      </w:r>
      <w:r>
        <w:rPr>
          <w:rFonts w:ascii="Times New Roman" w:cs="Times New Roman" w:eastAsia="Times New Roman" w:hAnsi="Times New Roman"/>
          <w:sz w:val="22"/>
          <w:szCs w:val="22"/>
          <w:color w:val="auto"/>
        </w:rPr>
        <w:t xml:space="preserve">” means one or more Intellectual Property assignment agreement(s) to be executed and delivered by Seller to Buyer at the Closing,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Buyer</w:t>
      </w:r>
      <w:r>
        <w:rPr>
          <w:rFonts w:ascii="Times New Roman" w:cs="Times New Roman" w:eastAsia="Times New Roman" w:hAnsi="Times New Roman"/>
          <w:sz w:val="22"/>
          <w:szCs w:val="22"/>
          <w:color w:val="auto"/>
        </w:rPr>
        <w:t>” means, as to a particular matter, the actual knowledge and awareness, after reasonable inquiry, of Thomas Shea and Victoria Wohlfeil.</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xml:space="preserve">” means, as to a particular matter, the actual knowledge and awareness, after reasonable inquiry, of any individual set forth on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Seller Disclosure Schedule.</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provincial, local, municipal, foreign or other law, statute, legislation, constitution, principle of common law, resolution, ordinance, code, edict, decree, proclamation, treaty, convention, rule, regulation, ruling, directive, pronouncement, requirement, determination, decision or opinion of any Governmental Authority.</w:t>
      </w:r>
    </w:p>
    <w:p>
      <w:pPr>
        <w:spacing w:after="0" w:line="180"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Liability</w:t>
      </w:r>
      <w:r>
        <w:rPr>
          <w:rFonts w:ascii="Times New Roman" w:cs="Times New Roman" w:eastAsia="Times New Roman" w:hAnsi="Times New Roman"/>
          <w:sz w:val="21"/>
          <w:szCs w:val="21"/>
          <w:color w:val="auto"/>
        </w:rPr>
        <w:t>” means any debt, obligation, commitment, claim or liability of any nature, whether known or unknown, asserted or unasserted, absolute or contingent, accrued or unaccrued, liquidated or unliquidated, determined or determinable (including all adverse reactions, recalls, product and packaging complaints and other liabilities), or due or to become due.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Assets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200" w:right="29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Intellectual Property</w:t>
      </w:r>
      <w:r>
        <w:rPr>
          <w:rFonts w:ascii="Times New Roman" w:cs="Times New Roman" w:eastAsia="Times New Roman" w:hAnsi="Times New Roman"/>
          <w:sz w:val="22"/>
          <w:szCs w:val="22"/>
          <w:color w:val="auto"/>
        </w:rPr>
        <w:t>” means all Intellectual Property related to the Business and licensed to Seller by third parties pursuant to the Assumed Contracts.</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Patents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Rights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Litigation Conditions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shall mean all activities related to the production, manufacture, processing, testing, filling, finishing, packaging, labeling, and shipping and holding (prior to distribution) of the Product or any intermediate thereof, including quality assurance and quality control.</w:t>
      </w:r>
    </w:p>
    <w:p>
      <w:pPr>
        <w:spacing w:after="0" w:line="18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event, changes, condition, circumstance, development or effect that, individually or in the aggregate with all other events, changes, conditions, circumstances, developments and effects, has been, is, or would reasonably be expected to (a) be materially adverse to the Purchased Assets or the Assumed Liabilities or (b) prevent or materially impede or delay the consummation by Seller of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none of the following events, changes, conditions, circumstances, developments or effects (or the results thereof) shall be taken into account, individually or in the aggregate, in determining whether a “Material Adverse Effect” of the type described in clause (a) has occurred or would reasonably be expected to occur: (i) the announcement of the signing of this Agreement (including any action or inaction by the customers, suppliers, landlords, employees, consultants or competitors of Seller and its Affiliates as a result thereof), compliance with the express provisions of this Agreement or the consummation of the transactions contemplated hereby, (ii) failure of Seller or any of its Affiliates to meet any internal or published projections, forecasts, estimates or predictions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underlying causes of such failure shall not be excluded), (iii) changes or prospective changes in Law (including rules, regulations and administrative policies of the FDA) or GAAP; (iv) volcanoes, tsunamis, pandemics (including COVID-19, any COVID-19 Measures and any COVID-19 Response) or any escalation or material worsening of any pandemic, earthquakes, floods, storms, hurricanes, tornadoes or other natural disasters, (v) changes in general economic conditions, currency exchange rates or United States or international debt or equity markets, (vi) events or conditions generally affecting the industry or markets in which Seller Commercializes the Product, (vii) national or international political or social conditions or any national or international hostilities, acts of terror or acts of war (whether or not declared), or any escalation or worsening of any such conditions, hostilities, acts of terror or acts of war (whether or not declared);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in the case of clauses (iii) through (vii), such events, changes, conditions, circumstances, developments or effects shall be taken into account in determining whether any such material adverse effect has occurred solely to the extent that any such events, changes, conditions, circumstances, developments or effects have, or would reasonably be expected to have, a disproportionate adverse effect on the Purchased Assets, taken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jc w:val="both"/>
        <w:ind w:left="200" w:right="239"/>
        <w:spacing w:after="0" w:line="259" w:lineRule="auto"/>
        <w:rPr>
          <w:sz w:val="20"/>
          <w:szCs w:val="20"/>
          <w:color w:val="auto"/>
        </w:rPr>
      </w:pPr>
      <w:r>
        <w:rPr>
          <w:rFonts w:ascii="Times New Roman" w:cs="Times New Roman" w:eastAsia="Times New Roman" w:hAnsi="Times New Roman"/>
          <w:sz w:val="22"/>
          <w:szCs w:val="22"/>
          <w:color w:val="auto"/>
        </w:rPr>
        <w:t>as a whole, or the Assumed Liabilities, taken as a whole, relative to similar assets and Liabilities of other Persons operating in the industry or markets in which Seller operates.</w:t>
      </w:r>
    </w:p>
    <w:p>
      <w:pPr>
        <w:spacing w:after="0" w:line="157"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xml:space="preserve"> ” means any order, writ, judgment, injunction, decree, rule, ruling, directive, determination or award made, issued or entered by or with any Governmental Authority, whether preliminary, interlocutory or final.</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given to such term in the Preamble hereto.</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 U.S. patents and patent applications in any country or supranational jurisdiction worldwide; (b) any substitutions, divisionals, continuations, continuations in part, reissues, renewals, registrations, confirmations, and the like of any such patents or patent applications; (c) foreign counterparts of any of the foregoing; and (d) any and all extensions or restorations by existing or future extension or restoration mechanisms, including revalidations, reissues, re-examinations and extensions, including any supplementary protection certificates of any of the foregoing.</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shall mean franchises, grants, authorizations, registrations, licenses, permits, easements, variances, exceptions, certificates, consents, and approvals issued, granted or required by any Governmental Authority.</w:t>
      </w:r>
    </w:p>
    <w:p>
      <w:pPr>
        <w:spacing w:after="0" w:line="17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means: (a) liens for Taxes or other governmental charges not yet due and payable (or the validity of which are being contested in good faith by appropriate proceedings and for which appropriate reserves have been established in accordance with GAAP),</w:t>
      </w:r>
    </w:p>
    <w:p>
      <w:pPr>
        <w:spacing w:after="0" w:line="1" w:lineRule="exact"/>
        <w:rPr>
          <w:sz w:val="20"/>
          <w:szCs w:val="20"/>
          <w:color w:val="auto"/>
        </w:rPr>
      </w:pPr>
    </w:p>
    <w:p>
      <w:pPr>
        <w:jc w:val="both"/>
        <w:ind w:left="200" w:right="219" w:firstLine="9"/>
        <w:spacing w:after="0" w:line="230" w:lineRule="auto"/>
        <w:tabs>
          <w:tab w:leader="none" w:pos="5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and rights of set-off of landlords, banks, carriers, warehousemen, mechanics, repairmen, workmen, customs brokers or agencies, suppliers and materialmen, and other Encumbrances imposed by Law, in each case, incurred in the ordinary course of business,</w:t>
      </w:r>
    </w:p>
    <w:p>
      <w:pPr>
        <w:spacing w:after="0" w:line="1" w:lineRule="exact"/>
        <w:rPr>
          <w:rFonts w:ascii="Times New Roman" w:cs="Times New Roman" w:eastAsia="Times New Roman" w:hAnsi="Times New Roman"/>
          <w:sz w:val="22"/>
          <w:szCs w:val="22"/>
          <w:color w:val="auto"/>
        </w:rPr>
      </w:pPr>
    </w:p>
    <w:p>
      <w:pPr>
        <w:jc w:val="both"/>
        <w:ind w:left="200" w:right="219" w:firstLine="9"/>
        <w:spacing w:after="0" w:line="232" w:lineRule="auto"/>
        <w:tabs>
          <w:tab w:leader="none" w:pos="50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licenses of or other grants of rights to use Intellectual Property provided in the ordinary course of business, (d) Encumbrances arising from applicable Laws of general application which do not interfere with the current operation of the Business in any material respect, (e) Encumbrances arising out of conditional sale, title retention, consignment or similar arrangements for the sale of goods entered into in the ordinary course of business, (f) Encumbrances arising by operation of law under Article 2 of any state’s Uniform Commercial Code (or successor statute) in favor of a seller of goods or buyer of goods, and (g) the Encumbrances disclosed on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of the Seller Disclosure Schedule.</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limited partnership, limited liability company, syndicate, group, trust, association or other organization or entity or Governmental Authority. References to any Person include such Person’s successors and permitted assigns.</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means any information that is capable of identifying a natural person, and constitutes “personal data,” “personal information,” “personally identifiable information” or the equivalent under Data Protection Laws.</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(i) any Tax period ending on or before the Closing Date and (ii) with respect to a Tax period that commences on or before but ends after the Closing Date, the portion of such period up to and including the Closing Date.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Pre-Closing Taxes</w:t>
      </w:r>
      <w:r>
        <w:rPr>
          <w:rFonts w:ascii="Times New Roman" w:cs="Times New Roman" w:eastAsia="Times New Roman" w:hAnsi="Times New Roman"/>
          <w:sz w:val="21"/>
          <w:szCs w:val="21"/>
          <w:color w:val="auto"/>
        </w:rPr>
        <w:t>” means, without duplication, (a) any and all Taxes imposed on Seller for any taxable period, (b) any and all Taxes imposed by reason of the ownership of the Purchased Assets prior to the Closing, (c) any Transfer Taxes to be borne by Seller under this Agreement, and</w:t>
      </w:r>
    </w:p>
    <w:p>
      <w:pPr>
        <w:spacing w:after="0" w:line="2" w:lineRule="exact"/>
        <w:rPr>
          <w:sz w:val="20"/>
          <w:szCs w:val="20"/>
          <w:color w:val="auto"/>
        </w:rPr>
      </w:pPr>
    </w:p>
    <w:p>
      <w:pPr>
        <w:jc w:val="both"/>
        <w:ind w:left="200" w:right="219" w:firstLine="9"/>
        <w:spacing w:after="0" w:line="234" w:lineRule="auto"/>
        <w:tabs>
          <w:tab w:leader="none" w:pos="53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Taxes imposed on or payable by Buyer with respect to the Purchased Assets or Assumed Liabilities for a Pre-Closing Tax Period (excluding the portion of the Closing Date after the Closing) other than Taxes payable by Buyer pursuant to a Contract not primarily related to Taxes that is transferred to Buyer in accordance with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Policies</w:t>
      </w:r>
      <w:r>
        <w:rPr>
          <w:rFonts w:ascii="Times New Roman" w:cs="Times New Roman" w:eastAsia="Times New Roman" w:hAnsi="Times New Roman"/>
          <w:sz w:val="22"/>
          <w:szCs w:val="22"/>
          <w:color w:val="auto"/>
        </w:rPr>
        <w:t>” means all public facing and posted policies relating to Seller’s Processing of Personal Information.</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w:t>
      </w:r>
      <w:r>
        <w:rPr>
          <w:rFonts w:ascii="Times New Roman" w:cs="Times New Roman" w:eastAsia="Times New Roman" w:hAnsi="Times New Roman"/>
          <w:sz w:val="22"/>
          <w:szCs w:val="22"/>
          <w:color w:val="auto"/>
        </w:rPr>
        <w:t>” (and the corollary term “</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means, any operation or set of operations performed on Personal Information, whether or not by automated means, including, the collection, recording, organization, structuring, retrieval,, de-identification, re-identification, sharing, combination of, use, compilation, retention, storage, transmission, transfer, disclosure, distribution or erasure of Personal Information.</w:t>
      </w:r>
    </w:p>
    <w:p>
      <w:pPr>
        <w:spacing w:after="0" w:line="17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YUSIMRY</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(adalimumab-aqvh) or any biosimilar product for clinical use that is the YUSIMRY</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product, as further described in BLA No. 761216, or is deemed a biosimilar product or interchangeable product in that it (i) is highly similar and has no clinically meaningful differences from the Humira</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Reference Product as such products are described in BLA No. 125057, (ii) references a Humira</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product as a Reference Product, (iii) contains the same active ingredient (adalimumab) and is taken in generally the same way as the Humira® Reference Product, or (iv) can be substituted for the YUSIMRY</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product, as further described in BLA No. 761216, or for its Humira</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Reference Product, as such products are described in BLA No. 125057. For avoidance of doubt, “Product” includes all concentrations of YUSIMRY, including without limitation (x) a high-concentration, citrate-free formulation for various indications including chronic inflammatory conditions including psoriasis, psoriatic arthritis, hidradenitis suppurativa and (y) 10-20 mg lower concentration for pediatric use.</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Taxes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5.16(c)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Recent SEC Reports</w:t>
      </w:r>
      <w:r>
        <w:rPr>
          <w:rFonts w:ascii="Times New Roman" w:cs="Times New Roman" w:eastAsia="Times New Roman" w:hAnsi="Times New Roman"/>
          <w:sz w:val="22"/>
          <w:szCs w:val="22"/>
          <w:color w:val="auto"/>
        </w:rPr>
        <w:t xml:space="preserve">” has the meaning given to such term in the Preamble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Product</w:t>
      </w:r>
      <w:r>
        <w:rPr>
          <w:rFonts w:ascii="Times New Roman" w:cs="Times New Roman" w:eastAsia="Times New Roman" w:hAnsi="Times New Roman"/>
          <w:sz w:val="22"/>
          <w:szCs w:val="22"/>
          <w:color w:val="auto"/>
        </w:rPr>
        <w:t>” means the single biological product, already approved by FDA, against which a proposed biosimilar product is compared.</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IP</w:t>
      </w:r>
      <w:r>
        <w:rPr>
          <w:rFonts w:ascii="Times New Roman" w:cs="Times New Roman" w:eastAsia="Times New Roman" w:hAnsi="Times New Roman"/>
          <w:sz w:val="22"/>
          <w:szCs w:val="22"/>
          <w:color w:val="auto"/>
        </w:rPr>
        <w:t>” means all Seller IP that, as of the date of this Agreement, is registered, filed or issued under the authority of, with or by any Governmental Authority, including all patents, registered copyrights, and registered trademarks and all applications for any of the foregoing.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any authorization, approval, clearance or other action by, and/or notice to or filing with, any Regulatory Authority, whether U.S. or non-U.S., relating to the Product or the Commercialization, Development or Manufacture of the Product.</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Governmental Authority that has responsibility in its applicable jurisdiction over the development, manufacture, use, storage, import, transport, or other commercialization of pharmaceutical products or services in a given jurisdiction, including the FDA, and any Governmental Authority that has responsibility for the approval of the marketing and sale of pharmaceutical products or medical devices (including software).</w:t>
      </w:r>
    </w:p>
    <w:p>
      <w:pPr>
        <w:spacing w:after="0" w:line="17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 particular Person, any director, officer, employee, members, managers, shareholders, equityholders, advisers (legal, financial, or otherwise), accountants, auditors, consultants, investment bankers or other authorized representative of such Person.</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has the meaning given to such term in the Preamble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given to such term in the Preamble hereto.</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Disclosure Schedule</w:t>
      </w:r>
      <w:r>
        <w:rPr>
          <w:rFonts w:ascii="Times New Roman" w:cs="Times New Roman" w:eastAsia="Times New Roman" w:hAnsi="Times New Roman"/>
          <w:sz w:val="22"/>
          <w:szCs w:val="22"/>
          <w:color w:val="auto"/>
        </w:rPr>
        <w:t xml:space="preserve">” has the meaning given to such term in the Preamble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Financial Statements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of Seller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(Organization, Standing and Corporate Power),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(Authority Relative to this Agreement),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 xml:space="preserve"> (Title to Assets) and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(Brokers).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IP</w:t>
      </w:r>
      <w:r>
        <w:rPr>
          <w:rFonts w:ascii="Times New Roman" w:cs="Times New Roman" w:eastAsia="Times New Roman" w:hAnsi="Times New Roman"/>
          <w:sz w:val="22"/>
          <w:szCs w:val="22"/>
          <w:color w:val="auto"/>
        </w:rPr>
        <w:t>” means all Intellectual Property exclusively related to the Business (including the goodwill of Seller in such Intellectual Property) owned by Seller as of the Closing, and all right, title and interest of Seller in the Licensed Intellectual Property.</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SEC Reports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 any corporation or similar entity of which at least 50% of the securities or interests having, by their terms, ordinary voting power to elect members of the board of directors, or other persons performing similar functions with respect to such corporation or similar entity, is held, directly or indirectly by such Person and (b) any partnership, limited liability company or similar entity of which (i) such Person is a general partner or managing member or (ii) such Person possesses a 50% or greater interest in the total capitalization or total income of such partnership, limited liability company or similar entity.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U.S. federal, state, local or non-U.S. tax (including any income tax, franchise tax, service tax, capital gains tax, gross receipts tax, value-added tax, surtax, excise tax, ad valorem tax, transfer tax, stamp tax, sales tax, use tax, property tax, business tax, withholding tax or payroll tax), levy, tariff or duty (including any customs duty) (and any additions to tax, penalty or interest), in each case imposed by any Governmental Authority (to the extent the foregoing are taxes or in the nature of a tax).</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report, information return or other document (including any attachments thereto or amendments thereof) required to be filed with any Governmental Authority with respect to Taxes.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 Notice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8.5(a)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Assignment and Assumption Agreement, the IP Assignment Agreement, the Bill of Sale, the Transition Services Agreement and any other Contract to be entered into by the Parties in connection with the Closing.</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means the Transition Services Agreement to be executed and delivered by Buyer and Seller and/or one or more of their respective Affiliates at the Closing,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terms “hereby,” “hereto,” “hereunder” and any similar terms as used in this Agreement refer to this Agreement in its entirety and not only to the particular portion of this Agreement where the term is used. The terms “including,” “includes” or similar terms when used herein shall mean “including, without limitation.” The meaning of defined terms shall be equally applicable to the singular and plural forms of the defined terms, and the masculine gender shall include the feminine and neuter genders, and vice versa, as the context shall require. Any reference to any federal, state, provincial, local or foreign statute or Law shall be deemed also to refer to all rules and regulations promulgated thereunder, unless the context requires otherwise. Unless otherwise indicated, references to (a) Articles, Sections, Schedules and Exhibits refer to Articles, Sections, Schedules and Exhibits of and to this Agreement and (b) references to $ (dollars) are to United States Dollars. Reference to any document, agreement, instrument, certificate, Permit or Contract referenced in this Agreement shall be a reference to such document, agreement, instrument, certificate, Permit or Contract as it may have been, or may from time to time be, amended, modified, supplemented, novated, or waived, and include all schedules and exhibits to it. Each reference in this Agreement to any Law shall be deemed to include such Law and all rules and regulations made under it, in effect at the time in question and, as it or they may have been amended, re-enacted, replaced, supplemented or modified and, as applicable, is to corresponding provisions of any successor Law, unless such treatment would be contrary to the express terms of this Agreement.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Purchase and Sale of Assets</w:t>
      </w:r>
      <w:r>
        <w:rPr>
          <w:rFonts w:ascii="Times New Roman" w:cs="Times New Roman" w:eastAsia="Times New Roman" w:hAnsi="Times New Roman"/>
          <w:sz w:val="21"/>
          <w:szCs w:val="21"/>
          <w:color w:val="auto"/>
        </w:rPr>
        <w:t xml:space="preserve">. Upon the terms and subject to the satisfaction of the conditions contained in this Agreement, at the Closing, Seller shall sell, assign, convey, transfer and deliver to Buyer and Buyer shall, by Buyer’s payment of the Purchase Price and assumption of the Assumed Liabilities, purchase and acquire from Seller, all of Seller’s right, title and interest, free and clear of all Encumbrances (other than Permitted Encumbrances), in, to and under all of the assets, property, rights and claims of every kind and nature, whether real, personal or mixed, tangible or intangible, wherever located and whether now existing or hereafter acquired which exclusively relate to, or are exclusively used or exclusively held for use in connection with the Product, as set forth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u w:val="single" w:color="auto"/>
          <w:color w:val="auto"/>
        </w:rPr>
        <w:t>Purchased Assets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Purchased Assets shall not include any Excluded Assets or Excluded Liabilities.</w:t>
      </w:r>
    </w:p>
    <w:p>
      <w:pPr>
        <w:spacing w:after="0" w:line="17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Notwithstanding any provision herein to the contrary, Buyer acknowledges that Seller shall not sell, assign, convey, transfer or deliver to Buyer any assets of Seller other than the Purchased Assets and, the Parties acknowledge that, for the avoidance of doubt, the “Purchased Assets” do not include the assets, rights or interests of Seller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On the Closing Date, Buyer shall execute and deliver to Seller the Assignment and Assumption Agreement pursuant to which Buyer shall assume and agree to pay, perform and discharge as and when due the Liabilities set forth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xml:space="preserve">. Notwithstanding any provision herein to the contrary, Buyer shall not be the successor to Seller with respect to, and shall not assume or be obligated to pay, perform or otherwise discharge, any Liabilities, in each case, other than the Assumed Liabilities and the Parties acknowledge that, for the avoidance of doubt, the “Assumed Liabilities” do not include the Liabilities of Seller set forth on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(all such Liabilities that Buyer is not assuming being referred to collectively as the “</w:t>
      </w: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Any Pre-Closing Taxes shall be treated as Excluded Liabilities.</w:t>
      </w:r>
    </w:p>
    <w:p>
      <w:pPr>
        <w:spacing w:after="0" w:line="18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Assumption and Assignment of Certain Contracts</w:t>
      </w:r>
      <w:r>
        <w:rPr>
          <w:rFonts w:ascii="Times New Roman" w:cs="Times New Roman" w:eastAsia="Times New Roman" w:hAnsi="Times New Roman"/>
          <w:sz w:val="22"/>
          <w:szCs w:val="22"/>
          <w:color w:val="auto"/>
        </w:rPr>
        <w:t xml:space="preserve">. Subject to any Consent required for the assignment, conveyance or transfer thereof, all of Seller’s rights, title and interest in, to and under the Contracts, Permits, and other documents, commitments, arrangements or undertakings listed under the “Assumed Contracts” heading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Assumed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arising from and after the Closing Date shall be assigned, conveyed, transferred and delivered to Buyer.</w:t>
      </w:r>
    </w:p>
    <w:p>
      <w:pPr>
        <w:spacing w:after="0" w:line="18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Buyer Designation</w:t>
      </w:r>
      <w:r>
        <w:rPr>
          <w:rFonts w:ascii="Times New Roman" w:cs="Times New Roman" w:eastAsia="Times New Roman" w:hAnsi="Times New Roman"/>
          <w:sz w:val="22"/>
          <w:szCs w:val="22"/>
          <w:color w:val="auto"/>
        </w:rPr>
        <w:t>. On or before Closing, Buyer may designate one or more of its Affiliates to receive title to all or any portion of the Purchased Assets or to assume all or any portion of the Assumed Liabilities. Notwithstanding the foregoing, Buyer shall continue to be entitled to all of its rights and remedies, and shall not be released from any of its duties or obligations, under this Agreement as a result of or in connection with any such designation.</w:t>
      </w:r>
    </w:p>
    <w:p>
      <w:pPr>
        <w:spacing w:after="0" w:line="177"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The Purchase Price (plus the Assumed Liabilities and other relevant items, to the extent properly taken into account for Tax purposes) shall be allocated among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 Purchased Assets (the “</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as set forth on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The Parties agree to (and shall cause their affiliates to) file all Tax Returns consistently with the Allocation unless otherwise required by applicable Law.</w:t>
      </w:r>
    </w:p>
    <w:p>
      <w:pPr>
        <w:spacing w:after="0" w:line="174"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Licensed Rights</w:t>
      </w:r>
      <w:r>
        <w:rPr>
          <w:rFonts w:ascii="Times New Roman" w:cs="Times New Roman" w:eastAsia="Times New Roman" w:hAnsi="Times New Roman"/>
          <w:sz w:val="22"/>
          <w:szCs w:val="22"/>
          <w:color w:val="auto"/>
        </w:rPr>
        <w:t xml:space="preserve">. Upon the terms and subject to the satisfaction of the conditions contained in this Agreement, as of the Closing Date, Seller hereby grants to Buyer a fully paid, irrevocable, non-exclusive and sublicensable (subject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through multiple tiers, license (collectively, the “</w:t>
      </w:r>
      <w:r>
        <w:rPr>
          <w:rFonts w:ascii="Times New Roman" w:cs="Times New Roman" w:eastAsia="Times New Roman" w:hAnsi="Times New Roman"/>
          <w:sz w:val="22"/>
          <w:szCs w:val="22"/>
          <w:u w:val="single" w:color="auto"/>
          <w:color w:val="auto"/>
        </w:rPr>
        <w:t>Licensed Rights</w:t>
      </w:r>
      <w:r>
        <w:rPr>
          <w:rFonts w:ascii="Times New Roman" w:cs="Times New Roman" w:eastAsia="Times New Roman" w:hAnsi="Times New Roman"/>
          <w:sz w:val="22"/>
          <w:szCs w:val="22"/>
          <w:color w:val="auto"/>
        </w:rPr>
        <w:t>”) under Intellectual Property owned or controlled by Seller or licensed to Seller as of the Closing Date and included in the Excluded Assets that is related to the Product or Business (collectively, the “</w:t>
      </w:r>
      <w:r>
        <w:rPr>
          <w:rFonts w:ascii="Times New Roman" w:cs="Times New Roman" w:eastAsia="Times New Roman" w:hAnsi="Times New Roman"/>
          <w:sz w:val="22"/>
          <w:szCs w:val="22"/>
          <w:u w:val="single" w:color="auto"/>
          <w:color w:val="auto"/>
        </w:rPr>
        <w:t>Licensed Assets</w:t>
      </w:r>
      <w:r>
        <w:rPr>
          <w:rFonts w:ascii="Times New Roman" w:cs="Times New Roman" w:eastAsia="Times New Roman" w:hAnsi="Times New Roman"/>
          <w:sz w:val="22"/>
          <w:szCs w:val="22"/>
          <w:color w:val="auto"/>
        </w:rPr>
        <w:t xml:space="preserve">”), including the Patents set forth on </w:t>
      </w:r>
      <w:r>
        <w:rPr>
          <w:rFonts w:ascii="Times New Roman" w:cs="Times New Roman" w:eastAsia="Times New Roman" w:hAnsi="Times New Roman"/>
          <w:sz w:val="22"/>
          <w:szCs w:val="22"/>
          <w:u w:val="single" w:color="auto"/>
          <w:color w:val="auto"/>
        </w:rPr>
        <w:t>Schedule VI</w:t>
      </w:r>
      <w:r>
        <w:rPr>
          <w:rFonts w:ascii="Times New Roman" w:cs="Times New Roman" w:eastAsia="Times New Roman" w:hAnsi="Times New Roman"/>
          <w:sz w:val="22"/>
          <w:szCs w:val="22"/>
          <w:color w:val="auto"/>
        </w:rPr>
        <w:t xml:space="preserve"> and any other Patents related to the Product or Business (the “</w:t>
      </w:r>
      <w:r>
        <w:rPr>
          <w:rFonts w:ascii="Times New Roman" w:cs="Times New Roman" w:eastAsia="Times New Roman" w:hAnsi="Times New Roman"/>
          <w:sz w:val="22"/>
          <w:szCs w:val="22"/>
          <w:u w:val="single" w:color="auto"/>
          <w:color w:val="auto"/>
        </w:rPr>
        <w:t>Licensed Patents</w:t>
      </w:r>
      <w:r>
        <w:rPr>
          <w:rFonts w:ascii="Times New Roman" w:cs="Times New Roman" w:eastAsia="Times New Roman" w:hAnsi="Times New Roman"/>
          <w:sz w:val="22"/>
          <w:szCs w:val="22"/>
          <w:color w:val="auto"/>
        </w:rPr>
        <w:t>”), for Buyer to Develop, Manufacture or Commercialize the Purchased Assets. [***].</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 PRICE</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9" w:lineRule="auto"/>
        <w:tabs>
          <w:tab w:leader="none" w:pos="21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sale, transfer, conveyance, assignment and delivery of the Purchased Assets and the grant of the Licensed Rights to Buyer, subject to the terms and conditions of this Agreement, Buyer shall pay to Seller at the Closing an amount equal to Forty Million Dollars ($40,000,000)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and assume the Assumed Liabilities.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Buyer shall pay or caused to be paid to Seller, by wire transfer of immediately available funds to an account designated by Seller by delivery of written notice thereof to Buyer at least two (2) Business Days prior to the Closing, an amount in cash equal to the Purchase Price.</w:t>
      </w:r>
    </w:p>
    <w:p>
      <w:pPr>
        <w:spacing w:after="0" w:line="18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Buyer shall be entitled to deduct and withhold from the consideration or other amounts otherwise payable pursuant to this Agreement (including the Purchase Price) such amounts as it is required to deduct and withhold with respect to such payment under the Code, or any provision of state or local Law in the United States. To the extent that amounts are withheld by Buyer pursuant to the preceding sentence, such withheld amounts shall be treated for all purposes of this Agreement as having been paid to Seller in respect of which such deduction and withholding was made by Buyer. To the extent that Buyer is required under any non-U.S. Law to deduct and withhold any amount from the consideration or other amounts otherwise payable pursuant to this Agreement (including the Purchase Price), the Purchase Price shall be increased by such additional amount or amounts as is necessary to ensure that the net amount actually received by Seller will equal the full amount Seller would have received had no such withholding or deduction been made.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CLOSING</w:t>
      </w:r>
    </w:p>
    <w:p>
      <w:pPr>
        <w:spacing w:after="0" w:line="182"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Time and Place of the Closing</w:t>
      </w:r>
      <w:r>
        <w:rPr>
          <w:rFonts w:ascii="Times New Roman" w:cs="Times New Roman" w:eastAsia="Times New Roman" w:hAnsi="Times New Roman"/>
          <w:sz w:val="21"/>
          <w:szCs w:val="21"/>
          <w:color w:val="auto"/>
        </w:rPr>
        <w:t>. Pursuant to the terms and subject to the conditions of this Agreement, the closing of the transactions contemplated by this Agreement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ind w:left="200" w:right="21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remotely via the exchange of documents and signatures on the date hereof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Deliveries by Seller</w:t>
      </w:r>
      <w:r>
        <w:rPr>
          <w:rFonts w:ascii="Times New Roman" w:cs="Times New Roman" w:eastAsia="Times New Roman" w:hAnsi="Times New Roman"/>
          <w:sz w:val="22"/>
          <w:szCs w:val="22"/>
          <w:color w:val="auto"/>
        </w:rPr>
        <w:t>. At or prior to the Closing, Seller shall deliver or cause to be delivered the following to Buyer:</w:t>
      </w:r>
    </w:p>
    <w:p>
      <w:pPr>
        <w:spacing w:after="0" w:line="158" w:lineRule="exact"/>
        <w:rPr>
          <w:sz w:val="20"/>
          <w:szCs w:val="20"/>
          <w:color w:val="auto"/>
        </w:rPr>
      </w:pPr>
    </w:p>
    <w:p>
      <w:pPr>
        <w:ind w:left="2160" w:hanging="655"/>
        <w:spacing w:after="0"/>
        <w:tabs>
          <w:tab w:leader="none" w:pos="2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 duly executed by Seller;</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and Assumption Agreement, duly executed by Seller;</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IP Assignment Agreement, duly executed by Seller;</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Transition Services Agreement, duly executed by Seller and/or one or</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of its Affiliates;</w:t>
      </w:r>
    </w:p>
    <w:p>
      <w:pPr>
        <w:spacing w:after="0" w:line="18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and duly executed IRS Form W-9 from Seller; and</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copies of the resolutions duly adopted by Seller’s board of directors authorizing the execution, delivery and performance of this Agreement and the other Transaction Documents and the transactions contemplated hereby and thereby.</w:t>
      </w:r>
    </w:p>
    <w:p>
      <w:pPr>
        <w:spacing w:after="0" w:line="173"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Deliveries by Buyer</w:t>
      </w:r>
      <w:r>
        <w:rPr>
          <w:rFonts w:ascii="Times New Roman" w:cs="Times New Roman" w:eastAsia="Times New Roman" w:hAnsi="Times New Roman"/>
          <w:sz w:val="22"/>
          <w:szCs w:val="22"/>
          <w:color w:val="auto"/>
        </w:rPr>
        <w:t>. At or prior to the Closing, Buyer shall deliver or cause to be delivered the following to Seller:</w:t>
      </w:r>
    </w:p>
    <w:p>
      <w:pPr>
        <w:spacing w:after="0" w:line="158" w:lineRule="exact"/>
        <w:rPr>
          <w:sz w:val="20"/>
          <w:szCs w:val="20"/>
          <w:color w:val="auto"/>
        </w:rPr>
      </w:pPr>
    </w:p>
    <w:p>
      <w:pPr>
        <w:ind w:left="2160" w:hanging="655"/>
        <w:spacing w:after="0"/>
        <w:tabs>
          <w:tab w:leader="none" w:pos="2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copies of the resolutions duly adopted by Buyer’s board of directors authorizing the execution, delivery and performance of this Agreement and the other Transaction Documents and the transactions contemplated hereby and thereby; and</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and Assumption Agreement, the IP Assignment Agreement and the Transition Services Agreement, duly executed by Buyer.</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4.4 </w:t>
      </w:r>
      <w:r>
        <w:rPr>
          <w:rFonts w:ascii="Times New Roman" w:cs="Times New Roman" w:eastAsia="Times New Roman" w:hAnsi="Times New Roman"/>
          <w:sz w:val="21"/>
          <w:szCs w:val="21"/>
          <w:u w:val="single" w:color="auto"/>
          <w:color w:val="auto"/>
        </w:rPr>
        <w:t>Third Party Consents</w:t>
      </w:r>
      <w:r>
        <w:rPr>
          <w:rFonts w:ascii="Times New Roman" w:cs="Times New Roman" w:eastAsia="Times New Roman" w:hAnsi="Times New Roman"/>
          <w:sz w:val="21"/>
          <w:szCs w:val="21"/>
          <w:color w:val="auto"/>
        </w:rPr>
        <w:t xml:space="preserve">. To the extent that Seller’s rights under any Assumed Contract or any other Purchased Asset may not be assigned to Buyer without the Consent of another Person which has not been obtained prior to or at the Closing, this Agreement shall not constitute an agreement to assign the same if an attempted assignment would constitute a breach thereof or be unlawful, and Seller shall use its commercially reasonable efforts to obtain any such required consent(s) as promptly as possible;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efforts shall not require Seller or its Affiliates to expend any sum of money (other than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sum of money) to obtain each of them, incur any liability (other than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liability), commence any litigation or offer or grant any accommodation (financial or otherwise) to any third party. If any such Consent has not be obtained prior to the Closing or if any attempted assignment would be ineffective or would impair Buyer’s rights under the Purchased Asset in question such that Buyer would not in effect acquire the benefit of all such rights, Seller shall use its commercially reasonable efforts to cooperate with Buyer in any reasonable arrangement designed to provide substantially comparable benefits to Buyer, including, without limitation, through the Transition Services Agreement;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1" w:name="page22"/>
    <w:bookmarkEnd w:id="21"/>
    <w:p>
      <w:pPr>
        <w:jc w:val="both"/>
        <w:ind w:left="200" w:right="219"/>
        <w:spacing w:after="0" w:line="25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to the extent that Buyer is provided with benefits of any such Purchased Asset, Buyer shall perform the corresponding financial obligations to third parties thereunder.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Subject to (a) any information contained, or incorporated by reference, in any current, annual or quarterly report publicly filed with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by Seller since July 1, 2023 and prior to the date hereof, other than information contained in any risk factor or forward looking statement sections thereof (the “</w:t>
      </w:r>
      <w:r>
        <w:rPr>
          <w:rFonts w:ascii="Times New Roman" w:cs="Times New Roman" w:eastAsia="Times New Roman" w:hAnsi="Times New Roman"/>
          <w:sz w:val="22"/>
          <w:szCs w:val="22"/>
          <w:u w:val="single" w:color="auto"/>
          <w:color w:val="auto"/>
        </w:rPr>
        <w:t>Recent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xml:space="preserve">”) (it being understood that any matter disclosed in any Recent SEC Report will be deemed to be disclosed with respect to a representation or warranty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only to the extent that it specifically references the Product and is reasonably apparent from such disclosure in such Recent SEC Report on its face that it is applicable to such representation or warranty but including, for the avoidance of doubt, all financial statements and notes thereto related to the Product whether or not a specific reference to the Product is made therein), and (b) such exceptions as are disclosed in the disclosure schedule (the “</w:t>
      </w:r>
      <w:r>
        <w:rPr>
          <w:rFonts w:ascii="Times New Roman" w:cs="Times New Roman" w:eastAsia="Times New Roman" w:hAnsi="Times New Roman"/>
          <w:sz w:val="22"/>
          <w:szCs w:val="22"/>
          <w:u w:val="single" w:color="auto"/>
          <w:color w:val="auto"/>
        </w:rPr>
        <w:t>Seller Disclosure Schedule</w:t>
      </w:r>
      <w:r>
        <w:rPr>
          <w:rFonts w:ascii="Times New Roman" w:cs="Times New Roman" w:eastAsia="Times New Roman" w:hAnsi="Times New Roman"/>
          <w:sz w:val="22"/>
          <w:szCs w:val="22"/>
          <w:color w:val="auto"/>
        </w:rPr>
        <w:t>”) delivered by Seller to Buyer concurrently with the execution and delivery of this Agreement, Seller hereby represents and warrants to Buyer as follows:</w:t>
      </w:r>
    </w:p>
    <w:p>
      <w:pPr>
        <w:spacing w:after="0" w:line="182"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Organization, Standing and Corporate Power</w:t>
      </w:r>
      <w:r>
        <w:rPr>
          <w:rFonts w:ascii="Times New Roman" w:cs="Times New Roman" w:eastAsia="Times New Roman" w:hAnsi="Times New Roman"/>
          <w:sz w:val="22"/>
          <w:szCs w:val="22"/>
          <w:color w:val="auto"/>
        </w:rPr>
        <w:t>. Seller is a corporation duly organized, validly existing and in good standing under the laws of the State of Delaware and has all requisite corporate power and authority: (a) to conduct its business in the manner in which its business is currently being conducted; and (b) to own, lease and use its assets in the manner in which its assets are currently owned, leased and used. Seller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does not have, and would not reasonably be expected to have, a Material Adverse Effect.</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Authority Relative to this Agreement</w:t>
      </w:r>
      <w:r>
        <w:rPr>
          <w:rFonts w:ascii="Times New Roman" w:cs="Times New Roman" w:eastAsia="Times New Roman" w:hAnsi="Times New Roman"/>
          <w:sz w:val="21"/>
          <w:szCs w:val="21"/>
          <w:color w:val="auto"/>
        </w:rPr>
        <w:t>. Seller has all necessary corporate power and authority to execute and deliver this Agreement and the other Transaction Documents to which it is a party and to consummate the transactions contemplated hereby and thereby. The execution and delivery of this Agreement and the other Transaction Documents to which Seller is party and the consummation of the transactions contemplated hereby and thereby have been duly and validly authorized by the board of directors of Seller, and no other corporate or similar proceedings on the part of Seller are necessary to authorize this Agreement or the other Transaction Documents to which it is party or to consummate the transactions contemplated hereby or thereby. This Agreement has been duly and validly executed and delivered by Seller, and, upon their execution and delivery in accordance with the terms of this Agreement, each of the other Transaction Documents to which Seller is party will have been duly and validly executed and delivered by Seller, and assuming that this Agreement and the other Transaction Documents to which it is party constitute valid and binding agreements of Buyer to the extent that it is a party thereto, and, subject to the execution and delivery of such other Transaction Documents in accordance with the terms hereof, this Agreement and the other Transaction Documents constitute valid and binding agreements of Seller, enforceable against Seller in accordance with their terms, except as such enforceability may be limited by applicable bankruptcy, insolvency, moratorium or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ind w:left="200" w:right="219"/>
        <w:spacing w:after="0" w:line="259" w:lineRule="auto"/>
        <w:rPr>
          <w:sz w:val="20"/>
          <w:szCs w:val="20"/>
          <w:color w:val="auto"/>
        </w:rPr>
      </w:pPr>
      <w:r>
        <w:rPr>
          <w:rFonts w:ascii="Times New Roman" w:cs="Times New Roman" w:eastAsia="Times New Roman" w:hAnsi="Times New Roman"/>
          <w:sz w:val="22"/>
          <w:szCs w:val="22"/>
          <w:color w:val="auto"/>
        </w:rPr>
        <w:t>other similar Laws affecting or relating to enforcement of creditors’ rights generally or general principles of equity.</w:t>
      </w:r>
    </w:p>
    <w:p>
      <w:pPr>
        <w:spacing w:after="0" w:line="15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No Violation; Consents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of the Seller Disclosure Schedule, neither the execution and delivery of this Agreement or the other Transaction Documents by Seller nor the consummation by Seller of the transactions contemplated hereunder or thereunder will (with or without notice or lapse of time, or both) conflict with, result in any violation or breach of, or default under, result in the creation of any Encumbrance, or give rise to a right of, or result in, termination, amendment, cancellation, or acceleration of any obligation or to the loss of a benefit under (i) any provision of Seller’s Certificate of Incorporation or Bylaws (or similar organizational documents), (ii) any Assumed Contract or any other Contract to which Seller is a party and to which any of the Purchased Assets are subject, or (iii) subject to the matters referred to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5.3(b)</w:t>
      </w:r>
      <w:r>
        <w:rPr>
          <w:rFonts w:ascii="Times New Roman" w:cs="Times New Roman" w:eastAsia="Times New Roman" w:hAnsi="Times New Roman"/>
          <w:sz w:val="22"/>
          <w:szCs w:val="22"/>
          <w:color w:val="auto"/>
        </w:rPr>
        <w:t>, any Law applicable to Seller or its properties or assets, except, with respect to the foregoing clause (ii) as would not reasonably be expected to be, individually or in the aggregate, material to the Purchased Assets or the Business.</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Consent of any Governmental Authority or any other Person is required to be obtained by or with respect to Seller in connection with the execution and delivery of this Agreement and the other Transaction Documents by Seller, or the consummation by Seller of the transactions contemplated hereby and thereby, except for (i) the Consents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5.3(b)</w:t>
      </w:r>
      <w:r>
        <w:rPr>
          <w:rFonts w:ascii="Times New Roman" w:cs="Times New Roman" w:eastAsia="Times New Roman" w:hAnsi="Times New Roman"/>
          <w:sz w:val="22"/>
          <w:szCs w:val="22"/>
          <w:color w:val="auto"/>
        </w:rPr>
        <w:t xml:space="preserve"> of the Seller Disclosure Schedule (the “</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(ii) compliance with any applicable requirements of applicable securities Laws, and (iii) such other Consents where the failure to obtain such Consents would not reasonably be expected to have a Material Adverse Effect.</w:t>
      </w:r>
    </w:p>
    <w:p>
      <w:pPr>
        <w:spacing w:after="0" w:line="17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Legal Proceedings and Orders</w:t>
      </w:r>
      <w:r>
        <w:rPr>
          <w:rFonts w:ascii="Times New Roman" w:cs="Times New Roman" w:eastAsia="Times New Roman" w:hAnsi="Times New Roman"/>
          <w:sz w:val="22"/>
          <w:szCs w:val="22"/>
          <w:color w:val="auto"/>
        </w:rPr>
        <w:t xml:space="preserve">. Except as described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of the Seller Disclosure Schedule, there is no action, suit, claim, arbitration, proceeding (including any civil, criminal, administrative, investigative or appellate proceeding or any informal proceeding) or investigation pending or being heard by or before, or otherwise involving, any Governmental Authority or any arbitrator or arbitration panel (each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or Order and, to the Knowledge of Seller, no Person has threatened in writing to commence any Proceeding (a) that relates to the Purchased Assets or (b) that would reasonably be expected to have the effect of preventing, materially delaying, making illegal or otherwise materially interfering with any of the transactions contemplated by this Agreement or any other Transaction Document.</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xml:space="preserve">. Seller has operated the Business with respect to the Purchased Assets in compliance with all applicable Laws (including the use thereof), and during the past three (3) years, Seller has not received any written notices, or, to Seller’s Knowledge, any oral notices, of any violation with respect to such Laws, except for failures to be in compliance (and notices thereof) that individually or in the aggregate do not have or would not reasonably be expected to have a Material Adverse Effect or except as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of the Seller Disclosure Schedule.</w:t>
      </w:r>
    </w:p>
    <w:p>
      <w:pPr>
        <w:spacing w:after="0" w:line="183"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5.6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of the Seller Disclosure Schedule sets forth all Permits held by Seller that are necessary or required to enable Seller to conduct the Business or operate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3" w:name="page24"/>
    <w:bookmarkEnd w:id="23"/>
    <w:p>
      <w:pPr>
        <w:ind w:left="200" w:right="239"/>
        <w:spacing w:after="0" w:line="259" w:lineRule="auto"/>
        <w:rPr>
          <w:sz w:val="20"/>
          <w:szCs w:val="20"/>
          <w:color w:val="auto"/>
        </w:rPr>
      </w:pPr>
      <w:r>
        <w:rPr>
          <w:rFonts w:ascii="Times New Roman" w:cs="Times New Roman" w:eastAsia="Times New Roman" w:hAnsi="Times New Roman"/>
          <w:sz w:val="22"/>
          <w:szCs w:val="22"/>
          <w:color w:val="auto"/>
        </w:rPr>
        <w:t>Purchased Assets. Each such Permit is valid and in full force and effect, and Seller is in compliance in all material respects with the terms and requirements of such Permits.</w:t>
      </w:r>
    </w:p>
    <w:p>
      <w:pPr>
        <w:spacing w:after="0" w:line="15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Seller SEC Reports; 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filed all reports, schedules, forms, statements or other documents required to be filed by it under the United States Securities Act of 1933, as amended, and the rules and regulations promulgated thereunder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the United States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as the case may be, since January 1, 2022 (collectively, the “</w:t>
      </w:r>
      <w:r>
        <w:rPr>
          <w:rFonts w:ascii="Times New Roman" w:cs="Times New Roman" w:eastAsia="Times New Roman" w:hAnsi="Times New Roman"/>
          <w:sz w:val="22"/>
          <w:szCs w:val="22"/>
          <w:u w:val="single" w:color="auto"/>
          <w:color w:val="auto"/>
        </w:rPr>
        <w:t>Seller SEC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Each Seller SEC Report (i) as of its date, complied as to form in all material respects with the applicable requirements of the Securities Act or the Exchange Act, as the case may be, as in effect on the date so filed and (ii) did not, at the time it was filed (or, if subsequently amended or supplemented, at the time of such amendment or supplement),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consolidated financial statements of Seller contained in the Annual Report on Form 10-K for the fiscal year ended December 31, 2023 and in the Quarterly Report on Form 10-Q for the fiscal quarter ended March 31, 2024 filed with the SEC (collectively, the “</w:t>
      </w:r>
      <w:r>
        <w:rPr>
          <w:rFonts w:ascii="Times New Roman" w:cs="Times New Roman" w:eastAsia="Times New Roman" w:hAnsi="Times New Roman"/>
          <w:sz w:val="22"/>
          <w:szCs w:val="22"/>
          <w:u w:val="single" w:color="auto"/>
          <w:color w:val="auto"/>
        </w:rPr>
        <w:t>Seller Financial Statements</w:t>
      </w:r>
      <w:r>
        <w:rPr>
          <w:rFonts w:ascii="Times New Roman" w:cs="Times New Roman" w:eastAsia="Times New Roman" w:hAnsi="Times New Roman"/>
          <w:sz w:val="22"/>
          <w:szCs w:val="22"/>
          <w:color w:val="auto"/>
        </w:rPr>
        <w:t>”) was prepared in accordance with GAAP and presents fairly, in all material respects, the consolidated financial position of Seller as of the respective dates thereof and the consolidated statements of operations, stockholder’s equity and cash flows of Seller for the respective periods indicated therein (subject, in the case of unaudited financial statements, to normal period end adjustments).</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does not have any Liabilities of a nature (whether accrued, absolute, contingent or otherwise) that would be required by GAAP to be reflected on a consolidated balance sheet of Seller (or in the notes thereto), except for Liabilities (i) which individually or in the aggregate would not reasonably be expected to have a Material Adverse Effect, (ii) that were incurred after March 31, 2024 in the ordinary course of business, or (iii) that were disclosed or reserved against in the Seller Financial Statements (including the notes thereto).</w:t>
      </w:r>
    </w:p>
    <w:p>
      <w:pPr>
        <w:spacing w:after="0" w:line="18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Absence of Changes</w:t>
      </w:r>
      <w:r>
        <w:rPr>
          <w:rFonts w:ascii="Times New Roman" w:cs="Times New Roman" w:eastAsia="Times New Roman" w:hAnsi="Times New Roman"/>
          <w:sz w:val="21"/>
          <w:szCs w:val="21"/>
          <w:color w:val="auto"/>
        </w:rPr>
        <w:t xml:space="preserve">. Other than as described on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of Sellers Disclosure Schedule, since January 1, 2024, (a) Seller has conducted its business and operated its properties and assets in the ordinary course of business consistent with past practice, and (b) Seller has not (i) experienced a Material Adverse Effect or (ii) suffered any theft or material damage, destruction or casualty loss to any Purchased Asset or any material portion of any Purchased Asset (whether or not covered by insurance), or any substantial destruction of its books and records.</w:t>
      </w:r>
    </w:p>
    <w:p>
      <w:pPr>
        <w:spacing w:after="0" w:line="17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4" w:lineRule="auto"/>
        <w:tabs>
          <w:tab w:leader="none" w:pos="21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delivered or made available to Buyer a correct and complete copy of each of the Assumed Contracts and all amendments, side letters and exhibits and schedules relating to such Assumed Contracts. In addition: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 w:name="page25"/>
    <w:bookmarkEnd w:id="24"/>
    <w:p>
      <w:pPr>
        <w:jc w:val="both"/>
        <w:ind w:left="200" w:right="219" w:firstLine="1305"/>
        <w:spacing w:after="0" w:line="238"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5.8(b)</w:t>
      </w:r>
      <w:r>
        <w:rPr>
          <w:rFonts w:ascii="Times New Roman" w:cs="Times New Roman" w:eastAsia="Times New Roman" w:hAnsi="Times New Roman"/>
          <w:sz w:val="22"/>
          <w:szCs w:val="22"/>
          <w:color w:val="auto"/>
        </w:rPr>
        <w:t xml:space="preserve"> of Sellers Disclosure Schedule, none of the Assumed Contracts is under negotiation as of the date hereof. Seller has performed all material obligations required to be performed by it to date under the Assumed Contracts. No liquidated damages, penalties or similar remedies are currently imposed or, to the Knowledge of Seller, threatened against Seller under any of the Assumed Contracts.</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 xml:space="preserve"> of Sellers Disclosure Schedule, neither Seller nor, to the Knowledge of Seller, any other party, is in material breach or default under any of the Assumed Contracts.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5.9(d)</w:t>
      </w:r>
      <w:r>
        <w:rPr>
          <w:rFonts w:ascii="Times New Roman" w:cs="Times New Roman" w:eastAsia="Times New Roman" w:hAnsi="Times New Roman"/>
          <w:sz w:val="22"/>
          <w:szCs w:val="22"/>
          <w:color w:val="auto"/>
        </w:rPr>
        <w:t xml:space="preserve"> of Sellers Disclosure Schedule, the Assumed Contracts are legal, valid and binding agreements of Seller and are in full force and effect and are enforceable against Seller and, to the Knowledge of Seller, each other party thereto, in accordance with their terms, and will continue to be legal, valid, binding and enforceable and fully effective with respect to Buyer immediately following the Closing in accordance with their terms as in effect prior to the execution of this Agreement, except as such may be limited by applicable bankruptcy, insolvency, moratorium or other similar Laws affecting or relating to enforcement of creditors’ rights generally or general principles of equity.</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5.9(e)</w:t>
      </w:r>
      <w:r>
        <w:rPr>
          <w:rFonts w:ascii="Times New Roman" w:cs="Times New Roman" w:eastAsia="Times New Roman" w:hAnsi="Times New Roman"/>
          <w:sz w:val="22"/>
          <w:szCs w:val="22"/>
          <w:color w:val="auto"/>
        </w:rPr>
        <w:t xml:space="preserve"> of Sellers Disclosure Schedule, Seller has not received any written notice, or to the Knowledge of Seller, any oral notice, of intention to terminate any Assumed Contract or of any claim of material breach with respect to the performance obligations under any Assumed Contract.</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of the Seller Disclosure Schedule identifies as of the date hereof, (i) each item of Registered IP in which Seller has an ownership interest of any nature (whether exclusively, jointly with another Person or otherwise), (ii) the jurisdiction in which such item of Registered IP has been registered or filed and the applicable registration or serial number, and (iii) any other Person that has an ownership interest in such item of Registered IP and the nature of such ownership interest.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of the Seller Disclosure Schedule, (i) Seller owns or possesses valid rights to use all Seller IP necessary to conduct the Business as it is currently conducted and (ii) to the Knowledge of Seller, no Person has infringed, misappropriated or otherwise violated, and no Person is infringing, misappropriating or otherwise violating, any Seller IP owned by Seller.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date hereof, except as described in </w:t>
      </w:r>
      <w:r>
        <w:rPr>
          <w:rFonts w:ascii="Times New Roman" w:cs="Times New Roman" w:eastAsia="Times New Roman" w:hAnsi="Times New Roman"/>
          <w:sz w:val="22"/>
          <w:szCs w:val="22"/>
          <w:u w:val="single" w:color="auto"/>
          <w:color w:val="auto"/>
        </w:rPr>
        <w:t>Section 5.10(c)</w:t>
      </w:r>
      <w:r>
        <w:rPr>
          <w:rFonts w:ascii="Times New Roman" w:cs="Times New Roman" w:eastAsia="Times New Roman" w:hAnsi="Times New Roman"/>
          <w:sz w:val="22"/>
          <w:szCs w:val="22"/>
          <w:color w:val="auto"/>
        </w:rPr>
        <w:t xml:space="preserve"> of the Seller Disclosure Schedule, to the Knowledge of Seller, none of the Product, nor the Development, Manufacture or Commercialization of the Product (as it exists as of the date hereof) infringe the Intellectual Property of any other Person.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in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there are no actions against Seller that are pending or, to the Knowledge of Seller, threatened claiming that the operation of the Business as currently conducted infringes, misappropriates or violates any Person’s Intellectual Property.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5" w:name="page26"/>
    <w:bookmarkEnd w:id="25"/>
    <w:p>
      <w:pPr>
        <w:jc w:val="both"/>
        <w:ind w:left="200" w:right="219" w:firstLine="1305"/>
        <w:spacing w:after="0" w:line="247" w:lineRule="auto"/>
        <w:tabs>
          <w:tab w:leader="none" w:pos="214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current and former directors, officers, employees, contractors and consultants of Seller who contributed to the discovery, creation or development of any Seller IP (i) did so within the scope of his or her employment such that such Seller IP constituted a work made for hire and became the exclusive property of Seller or (ii) pursuant to a written agreement, assigned all of his or her rights in such Seller IP to Seller. No current or former directors, officers, employees, contractors or consultants of Seller have made or, to the Knowledge of Seller, threatened to make any claim or challenge against Seller or any of its Affiliates in connection with their contribution to the discovery, creation or development of any such Seller IP.</w:t>
      </w:r>
    </w:p>
    <w:p>
      <w:pPr>
        <w:spacing w:after="0" w:line="172" w:lineRule="exact"/>
        <w:rPr>
          <w:rFonts w:ascii="Times New Roman" w:cs="Times New Roman" w:eastAsia="Times New Roman" w:hAnsi="Times New Roman"/>
          <w:sz w:val="21"/>
          <w:szCs w:val="21"/>
          <w:color w:val="auto"/>
        </w:rPr>
      </w:pPr>
    </w:p>
    <w:p>
      <w:pPr>
        <w:jc w:val="both"/>
        <w:ind w:left="200" w:right="219" w:firstLine="1305"/>
        <w:spacing w:after="0" w:line="246" w:lineRule="auto"/>
        <w:tabs>
          <w:tab w:leader="none" w:pos="214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5.10(f)</w:t>
      </w:r>
      <w:r>
        <w:rPr>
          <w:rFonts w:ascii="Times New Roman" w:cs="Times New Roman" w:eastAsia="Times New Roman" w:hAnsi="Times New Roman"/>
          <w:sz w:val="21"/>
          <w:szCs w:val="21"/>
          <w:color w:val="auto"/>
        </w:rPr>
        <w:t xml:space="preserve"> of the Seller Disclosure Schedule sets forth a complete and accurate list as of the Closing Date of all Contracts pursuant to which any Seller IP is (x) licensed to Seller by any other Person or (y) licensed by Seller to any other Person, in each case of (x) and (y), other than (A) software licenses for commercially available off the shelf software, (B) employee proprietary inventions agreements (or similar employee agreements), or (C) non-exclusive licenses granted under customer contracts entered into in the ordinary course of business in connection with the commercial sale of the Product. Except as described in </w:t>
      </w:r>
      <w:r>
        <w:rPr>
          <w:rFonts w:ascii="Times New Roman" w:cs="Times New Roman" w:eastAsia="Times New Roman" w:hAnsi="Times New Roman"/>
          <w:sz w:val="21"/>
          <w:szCs w:val="21"/>
          <w:u w:val="single" w:color="auto"/>
          <w:color w:val="auto"/>
        </w:rPr>
        <w:t>Section 5.10(f)</w:t>
      </w:r>
      <w:r>
        <w:rPr>
          <w:rFonts w:ascii="Times New Roman" w:cs="Times New Roman" w:eastAsia="Times New Roman" w:hAnsi="Times New Roman"/>
          <w:sz w:val="21"/>
          <w:szCs w:val="21"/>
          <w:color w:val="auto"/>
        </w:rPr>
        <w:t>, all material obligations for payment of monies currently due and payable by Seller and other material obligations in connection with such Contracts have been satisfied in a timely manner.</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used commercially reasonable efforts to make such filings with Governmental Authorities and obtain grants and registrations as, in Seller’s discretion, may be reasonably necessary to preserve and protect all Registered IP owned or controlled by Seller.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used reasonable efforts and taken commercially reasonable steps designed to maintain in confidence its trade secrets and other material confidential information acquired, conceived, developed, collected, compiled, generated, reduced to practice, and owned by Seller and included in the Seller IP, including requiring all employees or other persons to whom such trade secrets and other material confidential information is disclosed to execute written agreements requiring the confidential treatment and non-disclosure of such trade secrets and other confidential information.</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Contracts that require Required Consents, the execution and delivery of this Agreement and the other Transaction Documents by Seller do not and will not, and the consummation of the transactions contemplated hereby and thereby and compliance by Seller with the provisions of this Agreement and any other Transaction Documents will not, conflict with, or result in any violation or breach of, or default (with or without notice or lapse of time, or both) under, or give rise to a right of, or result in, termination, cancellation or acceleration of any right or obligation or to the loss of a benefit under, or result in the creation of any Encumbrance in or upon or the transfer of, any material Seller IP owned or controlled by Seller.</w:t>
      </w:r>
    </w:p>
    <w:p>
      <w:pPr>
        <w:spacing w:after="0" w:line="17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Data Privacy and Security</w:t>
      </w:r>
      <w:r>
        <w:rPr>
          <w:rFonts w:ascii="Times New Roman" w:cs="Times New Roman" w:eastAsia="Times New Roman" w:hAnsi="Times New Roman"/>
          <w:sz w:val="22"/>
          <w:szCs w:val="22"/>
          <w:color w:val="auto"/>
        </w:rPr>
        <w:t>. During the past three (3) years and to the extent related to the Business, Seller: (a) has been in compliance with applicable Data Protection Requirements in all material respects; (b) has taken commercially reasonable steps designed to ensure that all Personal Information Processed by Seller is protected against loss and unauthorized access, use, modification or disclosure, and, to the Knowledge of Seller, there have been no incidents regarding the same that required notification of individuals, law enforcement, or any Governmental Authority under any applicable Data Protection Law, except as would not,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individually or in the aggregate, reasonably be expected to have a Material Adverse Effect; and (c) has not received written communication from any Governmental Authority that alleges that Seller is not in compliance with any Data Protection Laws.</w:t>
      </w:r>
    </w:p>
    <w:p>
      <w:pPr>
        <w:spacing w:after="0" w:line="174"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6" w:lineRule="auto"/>
        <w:tabs>
          <w:tab w:leader="none" w:pos="221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Seller is, and during the past three (3) years, has operated the Business with respect to the Purchased Assets, in compliance with all applicable Health Care Laws in all material respects, (ii) during the past three (3) years, Seller has not received any written notification of any pending or, to the Knowledge of Seller, threatened, Proceeding from any Governmental Authority, including the FDA, alleging non-compliance by Seller under any Health Care Laws with respect to the Purchased Assets, and (iii) during the past three (3) years, neither Seller, nor to the Knowledge of Seller, any of its employees, officers or directors, has been excluded, suspended or debarred from participation in any federal health care program (as defined in 42 U.S.C. § 1320a-7b(f)) or human clinical research or, to the Knowledge of Seller, is subject to a Proceeding that could reasonably be expected to result in debarment, suspension, or exclusion.</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holds such Permits of the FDA required for the conduct of the Business as currently conducted (collectively, the “</w:t>
      </w:r>
      <w:r>
        <w:rPr>
          <w:rFonts w:ascii="Times New Roman" w:cs="Times New Roman" w:eastAsia="Times New Roman" w:hAnsi="Times New Roman"/>
          <w:sz w:val="22"/>
          <w:szCs w:val="22"/>
          <w:u w:val="single" w:color="auto"/>
          <w:color w:val="auto"/>
        </w:rPr>
        <w:t>FDA Permits</w:t>
      </w:r>
      <w:r>
        <w:rPr>
          <w:rFonts w:ascii="Times New Roman" w:cs="Times New Roman" w:eastAsia="Times New Roman" w:hAnsi="Times New Roman"/>
          <w:sz w:val="22"/>
          <w:szCs w:val="22"/>
          <w:color w:val="auto"/>
        </w:rPr>
        <w:t>”) and all such FDA Permits are in full force and effect.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during the past three (3) years, (i) all reports, documents, claims and notices required to be filed, maintained, or furnished to the FDA by Seller in connection with the Business or the Purchased Assets have been so filed, maintained or furnished, and (ii) all such reports, documents, claims and notices were complete and correct in all material respects on the date filed (or were corrected in or supplemented by a subsequent filing).</w:t>
      </w:r>
    </w:p>
    <w:p>
      <w:pPr>
        <w:spacing w:after="0" w:line="170" w:lineRule="exact"/>
        <w:rPr>
          <w:rFonts w:ascii="Times New Roman" w:cs="Times New Roman" w:eastAsia="Times New Roman" w:hAnsi="Times New Roman"/>
          <w:sz w:val="21"/>
          <w:szCs w:val="21"/>
          <w:color w:val="auto"/>
        </w:rPr>
      </w:pPr>
    </w:p>
    <w:p>
      <w:pPr>
        <w:jc w:val="both"/>
        <w:ind w:left="200" w:right="239" w:firstLine="1305"/>
        <w:spacing w:after="0" w:line="261" w:lineRule="auto"/>
        <w:tabs>
          <w:tab w:leader="none" w:pos="214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clinical and pre-clinical studies conducted or sponsored by or on behalf of Seller with respect to the Purchased Assets have been and, if still pending, are being conducted compliance with all applicable Health Care Laws and FDA Permits in all material respects.</w:t>
      </w:r>
    </w:p>
    <w:p>
      <w:pPr>
        <w:spacing w:after="0" w:line="15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Title to Assets; Sufficiency of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4" w:lineRule="auto"/>
        <w:tabs>
          <w:tab w:leader="none" w:pos="21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of the Seller Disclosure Schedule, Seller has good and marketable title to, or has good and valid leasehold interests in, all tangible personal property that is included in the Purchased Assets (other than the Excluded Assets), free and clear of all Encumbrances other than Permitted Encumbrances, and Seller has the power to sell, assign, transfer and deliver to Buyer the Purchased Assets, free and clear of all Encumbrances other than Permitted Encumbrances. To the Knowledge of Seller, there are no adverse claims of ownership to the Purchased Assets. Seller has not received any written notice, or to the Knowledge of Seller, oral notice, that any Person has asserted a claim of ownership or right of possession or use in or to any of the Purchased Assets.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(i) the Excluded Assets and (ii) the assets, properties and rights used to perform the services that are the subject of the Transition Services Agreement, the Purchased Assets (A) constitute all of the interests, assets and rights of Seller acquired or otherwise made, used, or required for the operation of the Business, (B) constitute all of the interests, assets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7" w:name="page28"/>
    <w:bookmarkEnd w:id="27"/>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and rights of Seller used or held for use in connection with the Business, and (C) when utilized by a labor force substantially similar to that employed by Seller and its Affiliates in connection with the conduct of the Business as of the date hereof, are sufficient for the continued conduct of the Business after the Closing in substantially the same manner as conducted prior to the Closing and constitute all of the rights, property and assets necessary to conduct the Business as currently conducted in all material respects. None of the Excluded Assets are material to the Business.</w:t>
      </w:r>
    </w:p>
    <w:p>
      <w:pPr>
        <w:spacing w:after="0" w:line="182"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Seller has the insurance of the types and in the amounts set forth in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of the Seller Disclosure Schedule maintained in connection with the operation of, or held by or for the benefit of, the Business, any of the Purchased Assets or any of the Assumed Liabilities (the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The Insurance Policies are in full force and effect and all premiums due and payable under such Insurance Policies have been paid on a timely basis. There is no material claim relating to the Purchased Assets or the Business pending under Seller’s Insurance Policies as to which coverage has been denied by the underwriters of such policies. Seller is in compliance in all material respects with the terms of such policies. To the Knowledge of Seller, Seller has not received any notice of threatened termination of, or material premium increase with respect to the Insurance Policies.</w:t>
      </w:r>
    </w:p>
    <w:p>
      <w:pPr>
        <w:spacing w:after="0" w:line="17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of the Seller Disclosure Schedule, no Person is entitled to any brokerage, financial advisory, finder’s or similar fee or commission payable by Seller in connection with the transactions contemplated by this Agreement. Seller is solely responsible for any and all fees in connection with the arrangements set forth in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of the Seller Disclosure Schedule.</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5.16</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200" w:right="219" w:firstLine="1305"/>
        <w:spacing w:after="0" w:line="258" w:lineRule="auto"/>
        <w:tabs>
          <w:tab w:leader="none" w:pos="21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Encumbrances for Taxes (other than Permitted Encumbrances) on any of the Purchased Assets.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actual or proposed Tax deficiencies, assessments or adjustments with respect to Seller relating to the Purchased Assets, which have not been finally resolved.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Seller has timely and properly filed all material Tax Returns required to be filed by it with respect to Taxes imposed on the Purchased Assets, taking into account any extension of time to file obtained by or on behalf of Seller, (ii) all such Tax Returns are accurate and complete in all material respects, and (iii) Seller has paid all Taxes required to be paid by Seller relating to the Purchased Assets, whether or not shown on such Tax Returns, including all real property, personal property and other ad valorem Taxes with respect to the Purchased Assets (the “</w:t>
      </w:r>
      <w:r>
        <w:rPr>
          <w:rFonts w:ascii="Times New Roman" w:cs="Times New Roman" w:eastAsia="Times New Roman" w:hAnsi="Times New Roman"/>
          <w:sz w:val="22"/>
          <w:szCs w:val="22"/>
          <w:u w:val="single" w:color="auto"/>
          <w:color w:val="auto"/>
        </w:rPr>
        <w:t>Property Taxes</w:t>
      </w:r>
      <w:r>
        <w:rPr>
          <w:rFonts w:ascii="Times New Roman" w:cs="Times New Roman" w:eastAsia="Times New Roman" w:hAnsi="Times New Roman"/>
          <w:sz w:val="22"/>
          <w:szCs w:val="22"/>
          <w:color w:val="auto"/>
        </w:rPr>
        <w:t>”) that are due on or prior to the Closing Date.</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with respect to the Purchased Assets, withheld or collected, and timely paid to the appropriate Governmental Authority, all Taxes required to be withheld and collected.</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of the Seller Disclosure Schedule sets forth a complete and accurate record or count of the Inventory held by Seller as of the date set forth therein and consists of a quantity and quality usable and salable in the ordinary course of business. Except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8" w:name="page29"/>
    <w:bookmarkEnd w:id="28"/>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as would not, individually or in the aggregate, reasonably be expected to be material to the Purchased Assets or the Business, all Inventory (a) complies with all applicable specifications, good manufacturing processes and Laws and (b) has, as of the Closing Date, a remaining shelf life of no less than twelve (12) months. No Inventory has been pledged as collateral or is held on a consignment basis.</w:t>
      </w:r>
    </w:p>
    <w:p>
      <w:pPr>
        <w:spacing w:after="0" w:line="17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5.18 </w:t>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 xml:space="preserve">. Except for the representations and warranties contained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Seller acknowledges that neither Buyer nor any other Person acting on behalf of Buyer makes any express or implied representation or warranty with respect to Buyer, or with respect to any information provided to Seller or any of its Affiliates or any Representative of Seller, and Buyer hereby disclaims any other representations or warranties made by Buyer or any other Person with respect to the execution and delivery of this Agreement or the transactions contemplated hereby. Seller has not relied on any representation, warranty or other statement by any Person acting on behalf of Buyer, other than the representations and warranties of Buyer expressly contained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Seller acknowledges and agrees that the representations and warranties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are made solely by Buyer, and no Affiliate of Seller, Representative of Buyer or other Person shall have any responsibility or Liability related thereto.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Buyer hereby represents and warrants to Seller as follows:</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Buyer is a corporation duly organized, validly existing and in good standing under the Laws of the State of Delaware.</w:t>
      </w:r>
    </w:p>
    <w:p>
      <w:pPr>
        <w:spacing w:after="0" w:line="158"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Authority Relative to this Agreement</w:t>
      </w:r>
      <w:r>
        <w:rPr>
          <w:rFonts w:ascii="Times New Roman" w:cs="Times New Roman" w:eastAsia="Times New Roman" w:hAnsi="Times New Roman"/>
          <w:sz w:val="22"/>
          <w:szCs w:val="22"/>
          <w:color w:val="auto"/>
        </w:rPr>
        <w:t>. Buyer has all necessary corporate power and authority to execute and deliver this Agreement and the other Transaction Documents to which it is party and to consummate the transactions contemplated hereby and thereby. The execution and delivery of this Agreement and the other Transaction Documents to which Buyer is party and the consummation of the transactions contemplated hereby and thereby have been duly and validly authorized by the board of directors of Buyer, and no other corporate proceedings on the part of Buyer are necessary to authorize this Agreement or the other Transaction Documents to which it is party or to consummate the transactions contemplated hereby or thereby. This Agreement has been duly and validly executed and delivered by Buyer, and, upon their execution and delivery in accordance with the terms of this Agreement, each of the other Transaction Documents to which Buyer is a party will have been duly and validly executed and delivered by Buyer, and, assuming that this Agreement and such other Transaction Documents to which it is party constitute valid and binding agreements of Seller to the extent that it is a party thereto, and, subject to the execution and delivery of such other Transaction Documents in accordance with the terms hereof, this Agreement and the other Transaction Documents constitute valid and binding agreements of Buyer, enforceable against Buyer in accordance with their terms, except as such enforceability may be limited by applicable bankruptcy, insolvency, moratorium or other similar Laws affecting or relating to enforcement of creditors’ rights generally or general principles of equity.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No Violation; Consents</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left="200" w:right="219" w:firstLine="1305"/>
        <w:spacing w:after="0" w:line="248" w:lineRule="auto"/>
        <w:tabs>
          <w:tab w:leader="none" w:pos="214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or the other Transaction documents by Buyer, nor the consummation by Buyer of the transactions contemplated hereunder or thereunder will (with or without notice or lapse of time, or both) conflict with or result in any breach of (i) any provision of Buyer’s Certificate of Incorporation or Bylaws (or similar organizational documents) or (ii) subject to the matters referred to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6.3(b)</w:t>
      </w:r>
      <w:r>
        <w:rPr>
          <w:rFonts w:ascii="Times New Roman" w:cs="Times New Roman" w:eastAsia="Times New Roman" w:hAnsi="Times New Roman"/>
          <w:sz w:val="21"/>
          <w:szCs w:val="21"/>
          <w:color w:val="auto"/>
        </w:rPr>
        <w:t>, any Law applicable to Buyer, except as would not reasonably be expected to materially and adversely impact Buyer’s ability to consummate the transactions contemplated by this Agreement.</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8" w:lineRule="auto"/>
        <w:tabs>
          <w:tab w:leader="none" w:pos="21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of any Governmental Authority or any other Person is required to be obtained by or with respect to Buyer in connection with the execution and delivery of this Agreement and the other Transaction Documents by Buyer, or the consummation by Buyer of the transactions contemplated hereby and thereby, except for compliance with any applicable requirements of applicable securities Laws.</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Legal Proceedings and Orders</w:t>
      </w:r>
      <w:r>
        <w:rPr>
          <w:rFonts w:ascii="Times New Roman" w:cs="Times New Roman" w:eastAsia="Times New Roman" w:hAnsi="Times New Roman"/>
          <w:sz w:val="22"/>
          <w:szCs w:val="22"/>
          <w:color w:val="auto"/>
        </w:rPr>
        <w:t>. There is no Proceeding or Order, and, to the Knowledge of Buyer, no Person has threatened in writing to commence any Proceeding that would reasonably be expected to have the effect of preventing, materially delaying, making illegal or otherwise materially interfering with any of the transactions contemplated by this Agreement or any other Transaction Document.</w:t>
      </w:r>
    </w:p>
    <w:p>
      <w:pPr>
        <w:spacing w:after="0" w:line="177"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No Person is entitled to any brokerage, financial advisory, finder’s or similar fee or commission payable by Buyer or any of its Affiliates in connection with the transactions contemplated by this Agreement.</w:t>
      </w:r>
    </w:p>
    <w:p>
      <w:pPr>
        <w:spacing w:after="0" w:line="173"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Financial Capacity</w:t>
      </w:r>
      <w:r>
        <w:rPr>
          <w:rFonts w:ascii="Times New Roman" w:cs="Times New Roman" w:eastAsia="Times New Roman" w:hAnsi="Times New Roman"/>
          <w:sz w:val="22"/>
          <w:szCs w:val="22"/>
          <w:color w:val="auto"/>
        </w:rPr>
        <w:t>. Buyer has adequate financial resources to consummate the transactions contemplated hereby.</w:t>
      </w:r>
    </w:p>
    <w:p>
      <w:pPr>
        <w:spacing w:after="0" w:line="158"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No Additional Representations</w:t>
      </w:r>
      <w:r>
        <w:rPr>
          <w:rFonts w:ascii="Times New Roman" w:cs="Times New Roman" w:eastAsia="Times New Roman" w:hAnsi="Times New Roman"/>
          <w:sz w:val="22"/>
          <w:szCs w:val="22"/>
          <w:color w:val="auto"/>
        </w:rPr>
        <w:t xml:space="preserve">. Except for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Buyer acknowledges that neither Seller nor any other Person acting on behalf of Seller makes any express or implied representation or warranty with respect to Seller, the Purchased Assets or the Business, or with respect to any information provided to Buyer or any of its Affiliates or any Representative of Buyer, and Seller hereby disclaims any other representations or warranties made by Seller or any other Person with respect to the execution and delivery of this Agreement, the Purchased Assets, the Business or the transactions contemplated hereby. Buyer has not relied on any representation, warranty or other statement by any Person acting on behalf of Seller, other than the representations and warranties of Seller expressly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Buyer acknowledges and agrees that the representations and warranties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are made solely by Seller, and no Affiliate of Seller, Representative of Seller or other Person shall have any responsibility or Liability related thereto.</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COVENANTS OF THE PARTIES</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Maintenance of Records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5"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the Closing Date and the seven (7) year anniversary of the Closing Date, Seller and its Representatives shall have reasonable access to all of the books and records of Seller directly or indirectly delivered to Buyer at Closing, including all Documentary Materials and all other information pertaining to the Purchased Assets to the extent that such books, records and information relate to any period prior to the Closing Date. Such access shall be afforded by Buyer upon receipt of reasonable advance notice and during normal business hours, and Buyer shall permit Seller and its Representatives, at Seller’s own expense, to make such reasonable copies of such books, records and information as they may reasonably request</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the Closing Date and the seven (7) year anniversary of the Closing Date, Buyer and its Representatives shall have reasonable access to all of the books and records of Seller to the extent that such books, records and information relate to the Purchased Assets or the Business, including all information that is not exclusively related to the Business or the Purchased Assets and that Buyer reasonably needs (i) to comply with reporting, disclosure, filing or other requirements imposed on Buyer by a Governmental Authority having jurisdiction over Buyer in connection with, related to, based upon or arising from the Purchased Assets, the Business or transactions contemplated by this Agreement, (ii) for use in any judicial, regulatory, administrative or other Proceeding or in order to satisfy Tax, audit, accounting, claims, regulatory, litigation or other similar requirements in connection with, related to, based upon or arising from the Purchased Assets, the Business or the transactions contemplated by this Agreement, (iii) for use in any Proceeding relating to the infringement of the Intellectual Property rights of another Person, or (iv) to comply with its obligations under this Agreement. Such access shall be afforded by Seller upon receipt of reasonable advance notice and during normal business hours, and Seller shall permit Buyer and its Representatives, at Buyer’s own expense, to make such reasonable copies of such books, records and information as they may reasonably request.</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32"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no Party shall be required to provide access to or disclose information where such access or disclosure (y) is related to any claim against a Party or such Party’s Affiliates by the requesting Party or its Affiliates or (z) would violate any applicable Law or waive any attorney-client or other similar privilege, and each Party may redact information regarding itself or its Affiliates or otherwise not relating to the other Party and its Affiliates, the Purchased Assets or the Business, and, in the event such provision of information could reasonably be expected to violate any applicable Law or Contract or waive any attorney-client or other similar privilege, the Parties shall take commercially reasonable measures to make substitute disclosure arrangements in a manner reasonably appropriate under the circumstances in which the restrictions of this sentence apply. Any information owned by a Party that is provided to a requesting Party pursuant to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deemed to remain the property of the providing Party. Unless specifically set forth herein, nothing contained in this Agreement shall be construed as granting or conferring rights of license or otherwise in any such information. No Party shall have any Liability to any other party in the event that any information exchanged or provided in good faith pursuant to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is found to be inaccurate. No Party shall have any Liability to any other Party if any information is destroyed or lost after commercially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reasonable efforts by such Party to retain such information in accordance with its regular document retention policy.</w:t>
      </w:r>
    </w:p>
    <w:p>
      <w:pPr>
        <w:spacing w:after="0" w:line="15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to the extent otherwise specifically provided herein, all costs and expenses incurred in connection with this Agreement and the transactions contemplated hereby shall be borne by the Party incurring such costs and expenses.</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55" w:lineRule="auto"/>
        <w:tabs>
          <w:tab w:leader="none" w:pos="214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on or after the Closing Date, Seller shall execute and deliver such other instruments of transfer to Buyer as are reasonably necessary and as Buyer may reasonably request in order to more effectively vest in Buyer all of Seller’s right, title and interest to the Purchased Assets, free and clear of all Encumbrances (other than Permitted Encumbrances).</w:t>
      </w:r>
    </w:p>
    <w:p>
      <w:pPr>
        <w:spacing w:after="0" w:line="161"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if either Buyer or Seller becomes aware that any of the Purchased Assets or Assumed Liabilities have not been transferred to Buyer or that any of the Excluded Assets or Excluded Liabilities have been transferred to Buyer, such Party shall promptly notify the other Party and the Parties shall, as soon as reasonably practicable, use commercially reasonable efforts to transfer such assets or Liabilities, subject to obtaining any necessary prior third party consent or approval, to: (i) Buyer, in the case of any Purchased Assets or Assumed Liabilities which were not transferred at the Closing or (ii) Seller, in the case of any Excluded Asset or Excluded Liabilities which were transferred at the Closing.</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in the event that the Parties jointly agree that any assets or Liabilities, including (i) mail, payment of receivables or other communications, exclusively used in or exclusively relating to the Business or the Purchased Assets and (ii) Contracts that are exclusively related to the Business, have not, but should have, been included in the Purchased Assets, Assumed Liabilities or conveyed to Buyer at Closing (“</w:t>
      </w:r>
      <w:r>
        <w:rPr>
          <w:rFonts w:ascii="Times New Roman" w:cs="Times New Roman" w:eastAsia="Times New Roman" w:hAnsi="Times New Roman"/>
          <w:sz w:val="22"/>
          <w:szCs w:val="22"/>
          <w:u w:val="single" w:color="auto"/>
          <w:color w:val="auto"/>
        </w:rPr>
        <w:t>Omitted Assets</w:t>
      </w:r>
      <w:r>
        <w:rPr>
          <w:rFonts w:ascii="Times New Roman" w:cs="Times New Roman" w:eastAsia="Times New Roman" w:hAnsi="Times New Roman"/>
          <w:sz w:val="22"/>
          <w:szCs w:val="22"/>
          <w:color w:val="auto"/>
        </w:rPr>
        <w:t>”), subject to obtaining any Consent required for the assignment, conveyance or transfer thereof, Seller shall use commercially reasonable efforts to transfer and assign, or cause to be transferred and assigned, such Omitted Assets or the applicable rights or obligations thereunder to Buyer or its designated assignee. Pending such transfer, to the extent permitted by Law, Seller shall use commercially reasonable efforts to hold such Omitted Assets and provide to Buyer or its designated assignee all of the benefits (including any amounts paid to Seller or its Affiliates in respect thereof) associated with the ownership thereof, and Seller shall cause such Omitted Assets to be used or retained as may be reasonably instructed by Buyer. For the avoidance of doubt, the Parties acknowledge and agree that there is no right of offset with respect to such funds or property, whether in connection with a dispute under this Agreement or any other Transaction Document or otherwise.</w:t>
      </w:r>
    </w:p>
    <w:p>
      <w:pPr>
        <w:spacing w:after="0" w:line="191"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Closing, in the event that the Parties jointly agree that any assets or Liabilities, including mail, payment of receivables or other communications, previously used in or relating to the Excluded Assets, have, but should not have, been included in the Purchased Assets, Assumed Liabilities or conveyed at Closing (“</w:t>
      </w:r>
      <w:r>
        <w:rPr>
          <w:rFonts w:ascii="Times New Roman" w:cs="Times New Roman" w:eastAsia="Times New Roman" w:hAnsi="Times New Roman"/>
          <w:sz w:val="21"/>
          <w:szCs w:val="21"/>
          <w:u w:val="single" w:color="auto"/>
          <w:color w:val="auto"/>
        </w:rPr>
        <w:t>Errant Assets</w:t>
      </w:r>
      <w:r>
        <w:rPr>
          <w:rFonts w:ascii="Times New Roman" w:cs="Times New Roman" w:eastAsia="Times New Roman" w:hAnsi="Times New Roman"/>
          <w:sz w:val="21"/>
          <w:szCs w:val="21"/>
          <w:color w:val="auto"/>
        </w:rPr>
        <w:t>”), Buyer shall use commercially reasonable efforts to transfer, or cause to be transferred, such Errant Assets to Seller or its designated assignee. Pending such transfer, to the extent permitted by Law, Buyer shall use commercially reasonable efforts to hold such Errant Assets and provide to Seller or its designated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assignee all of the benefits (including any amounts paid to Buyer or its Affiliates in respect thereof) associated with the ownership thereof, and Buyer shall cause such Errant Assets to be used or retained as may be reasonably instructed by Seller. For the avoidance of doubt, the Parties acknowledge and agree that there is no right of offset with respect to such funds or property, whether in connection with a dispute under this Agreement or any other Transaction Document or otherwise.</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u w:val="single" w:color="auto"/>
          <w:color w:val="auto"/>
        </w:rPr>
        <w:t>Public Statements</w:t>
      </w:r>
      <w:r>
        <w:rPr>
          <w:rFonts w:ascii="Times New Roman" w:cs="Times New Roman" w:eastAsia="Times New Roman" w:hAnsi="Times New Roman"/>
          <w:sz w:val="21"/>
          <w:szCs w:val="21"/>
          <w:color w:val="auto"/>
        </w:rPr>
        <w:t xml:space="preserve">. The Parties shall consult with each other before issuing any press release or making any public statement or other public communication with respect to the Agreement or the transactions contemplated hereby. No Party shall issue any such press release or make any such public statement or public communication without the prior consent of the other Party, which shall not be unreasonably withheld, except as may be required or requested by any Governmental Authority (including the SEC) or otherwise reasonably necessary to satisfy requirements under applicable Law or obligations pursuant to any listing agreement with any national securities exchange or stock market, in which case the Party required or requested to make the release or announcement shall, to the extent legally permissible and reasonably practicable, use reasonable best efforts to allow the other Party reasonable time to comment on such release or announcement in advance of such issuance;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of the Parties may make internal announcements to their respective employees regarding the transactions contemplated by this Agreement and Seller may, without such consultation or consent, make such disclosures and communications in response to inquiries from the press or analysts, or via presentations, publicly available conference calls and other forums to employees, customers, suppliers and investors to the extent such communications are consistent in substance with previous public communications that have been reviewed and previously approved by the Parties.</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7.5</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sales, use, goods and services, property transfer or gains, harmonized sales, documentary, stamp, registration, recording, value added, or similar Tax payable in connection with the sale or transfer of the Purchased Assets and the assumption of the Assumed Liabilities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be borne fifty percent (50%) by Buyer and fifty percent (50%) by Seller. The Party that is required by applicable law to file the Tax Returns or related filings with respect to any applicable Transfer Taxes shall prepare and file all necessary Tax Returns or other documents with respect to all such Transfer Taxes. To the extent either Party actually pays all of the relevant Transfer Taxes to the relevant Governmental Authority when due, the paying Party shall be entitled to reimbursement by the non-paying Party for the non-paying Party’s share of such Transfer Taxes. The Parties shall cooperate as reasonably requested in preparing and filing all required Tax Returns with respect to any Transfer Taxes and to minimize such Transfer Taxes, including making information available to assist Seller and Buyer in applying for any available exemption from such Transfer Taxes.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Property Taxes that are due after the Closing Date shall be paid by Buyer, and such Taxes shall be apportioned between Buyer and Seller based on the number of days in such taxable period included in the Pre-Closing Tax Period and the number of days in the entire taxable period. Seller shall pay Buyer an amount equal to any such Taxes paid by Buyer which are attributable to the Pre-Closing Tax Period, and Buyer shall pay Seller an amount equal to any such Taxes paid by Seller which are not attributable to the Pre-Closing Tax Period.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jc w:val="both"/>
        <w:ind w:left="200" w:right="219" w:firstLine="1305"/>
        <w:spacing w:after="0" w:line="236" w:lineRule="auto"/>
        <w:tabs>
          <w:tab w:leader="none" w:pos="21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agrees to furnish or cause to be furnished to Seller and Seller’s Representatives and Seller agrees to furnish or cause to be furnished to Buyer and Buyer’s Representatives, in each case, upon reasonable request, as promptly as practicable, such information and assistance as is reasonably necessary for the filing of Tax Returns, the making of any election relating to Taxes, the preparation for any audit by any taxing authority and the prosecution or defense of any claim, suit or Proceeding relating to any Tax.</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7.6</w:t>
      </w:r>
      <w:r>
        <w:rPr>
          <w:sz w:val="20"/>
          <w:szCs w:val="20"/>
          <w:color w:val="auto"/>
        </w:rPr>
        <w:tab/>
      </w:r>
      <w:r>
        <w:rPr>
          <w:rFonts w:ascii="Times New Roman" w:cs="Times New Roman" w:eastAsia="Times New Roman" w:hAnsi="Times New Roman"/>
          <w:sz w:val="21"/>
          <w:szCs w:val="21"/>
          <w:u w:val="single" w:color="auto"/>
          <w:color w:val="auto"/>
        </w:rPr>
        <w:t>Transfer of Purchased Assets; Payments Received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4" w:lineRule="auto"/>
        <w:tabs>
          <w:tab w:leader="none" w:pos="2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will make all necessary arrangements for Buyer to take possession of the Purchased Assets and, at Buyer’s sole cost and expense, to transfer same to a location operated by Buyer, as promptly as practicable following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Inventory that constitutes finished goods, such transfer shall occur promptly following the BLA Transfer Confirmation Date. Notwithstanding any transfer of Purchased Assets that occurs following Closing, all right, title and interest to, and liability arising from, the Purchased Assets shall be transferred from Seller to Buyer as of the Closing and Seller shall have no liability for any risk of loss, nor any requirement to provide insurance coverage, with respect to such Purchased Assets, except as expressly provided in the Transition Services Agreement.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Seller shall transfer all Documentary Materials to Buyer, at no additional cost to Buyer, as soon as reasonably practicable following the Closing.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on the one hand, and Buyer, on the other hand, each agree that, after the Closing, each will hold and will promptly transfer and deliver to the other, from time to time as and when received by such Party or its Affiliates, any cash, checks with appropriate endorsements or other property that such party or its Affiliates may receive on or after the Closing which properly belongs to Buyer or Seller, respectively, or their respective Affiliates.</w:t>
      </w:r>
    </w:p>
    <w:p>
      <w:pPr>
        <w:spacing w:after="0" w:line="17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BLA Transfer</w:t>
      </w:r>
      <w:r>
        <w:rPr>
          <w:rFonts w:ascii="Times New Roman" w:cs="Times New Roman" w:eastAsia="Times New Roman" w:hAnsi="Times New Roman"/>
          <w:sz w:val="22"/>
          <w:szCs w:val="22"/>
          <w:color w:val="auto"/>
        </w:rPr>
        <w:t xml:space="preserve">. Each of Buyer and Seller shall submit a Letter to the FDA within [***] after the Closing Date. Seller agrees to submit information to the FDA as required by 21 CFR 314.72 transferring all rights to Buyer, substantially in the form of the document as provided in </w:t>
      </w:r>
      <w:r>
        <w:rPr>
          <w:rFonts w:ascii="Times New Roman" w:cs="Times New Roman" w:eastAsia="Times New Roman" w:hAnsi="Times New Roman"/>
          <w:sz w:val="22"/>
          <w:szCs w:val="22"/>
          <w:u w:val="single" w:color="auto"/>
          <w:color w:val="auto"/>
        </w:rPr>
        <w:t>Schedule VII</w:t>
      </w:r>
      <w:r>
        <w:rPr>
          <w:rFonts w:ascii="Times New Roman" w:cs="Times New Roman" w:eastAsia="Times New Roman" w:hAnsi="Times New Roman"/>
          <w:sz w:val="22"/>
          <w:szCs w:val="22"/>
          <w:color w:val="auto"/>
        </w:rPr>
        <w:t xml:space="preserve">. Buyer agrees to submit information to the FDA as required by 21 CFR 314.72 committing to agreements, promises, and conditions made by Seller and contained in the BLA and specifying the date the change of ownership is effective, substantially in the form of the document as provided in </w:t>
      </w:r>
      <w:r>
        <w:rPr>
          <w:rFonts w:ascii="Times New Roman" w:cs="Times New Roman" w:eastAsia="Times New Roman" w:hAnsi="Times New Roman"/>
          <w:sz w:val="22"/>
          <w:szCs w:val="22"/>
          <w:u w:val="single" w:color="auto"/>
          <w:color w:val="auto"/>
        </w:rPr>
        <w:t>Schedule VIII</w:t>
      </w:r>
      <w:r>
        <w:rPr>
          <w:rFonts w:ascii="Times New Roman" w:cs="Times New Roman" w:eastAsia="Times New Roman" w:hAnsi="Times New Roman"/>
          <w:sz w:val="22"/>
          <w:szCs w:val="22"/>
          <w:color w:val="auto"/>
        </w:rPr>
        <w:t>. Buyer may designate its wholly-owned Subsidiary as its U.S. agent for purposes of submitting the Letter to the FDA.</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7.8</w:t>
      </w:r>
      <w:r>
        <w:rPr>
          <w:sz w:val="20"/>
          <w:szCs w:val="20"/>
          <w:color w:val="auto"/>
        </w:rPr>
        <w:tab/>
      </w:r>
      <w:r>
        <w:rPr>
          <w:rFonts w:ascii="Times New Roman" w:cs="Times New Roman" w:eastAsia="Times New Roman" w:hAnsi="Times New Roman"/>
          <w:sz w:val="21"/>
          <w:szCs w:val="21"/>
          <w:u w:val="single" w:color="auto"/>
          <w:color w:val="auto"/>
        </w:rPr>
        <w:t>Certain Acknowledgements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51" w:lineRule="auto"/>
        <w:tabs>
          <w:tab w:leader="none" w:pos="214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OF THIS AGREEMENT, SELLER MAKES NO EXPRESS WARRANTY, NO WARRANTY OF MERCHANTABILITY, NO WARRANTY OF FITNESS FOR A PARTICULAR PURPOSE, AND NO IMPLIED OR STATUTORY WARRANTY WHATSOEVER WITH RESPECT TO ANY REAL OR PERSONAL PROPERTY OR ANY FIXTURES OR THE PURCHASED ASSETS.</w:t>
      </w:r>
    </w:p>
    <w:p>
      <w:pPr>
        <w:spacing w:after="0" w:line="168" w:lineRule="exact"/>
        <w:rPr>
          <w:rFonts w:ascii="Times New Roman" w:cs="Times New Roman" w:eastAsia="Times New Roman" w:hAnsi="Times New Roman"/>
          <w:sz w:val="21"/>
          <w:szCs w:val="21"/>
          <w:color w:val="auto"/>
        </w:rPr>
      </w:pPr>
    </w:p>
    <w:p>
      <w:pPr>
        <w:ind w:left="200" w:right="239" w:firstLine="1305"/>
        <w:spacing w:after="0" w:line="282" w:lineRule="auto"/>
        <w:tabs>
          <w:tab w:leader="none" w:pos="214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acknowledges and agrees that it (i) has had an opportunity to discuss the Business and the Purchased Assets with the management of Seller and has been afforded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opportunity to ask questions of and receive answers from management of Seller, (ii) has had reasonable access to the books and records of Seller, and (iii) has conducted its own independent investigation of Seller, the Business, the Purchased Assets, the Assumed Liabilities and the transactions contemplated hereby. In connection with the investigation by Buyer, Buyer has received from Seller certain projections, forward-looking statements and other forecasts and certain business plan information. Buyer acknowledges and agrees neither Seller nor any other Person will have or be subject to any Liability or indemnification obligation to Buyer or any other Person resulting from the distribution to, or use by, Buyer or any of its Affiliates or any of Buyer’s Representatives of any information provided to Buyer or any of its Affiliates or any of Buyer’s Representatives by Seller or any of Seller’s Representatives, including any information, documents, projections, forward-looking statements, forecasts or business plans or any other material made available in any “data room,” any confidential information memoranda or any management presentations in expectation of or in connection with the transactions contemplated by this Agreement.</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7.9</w:t>
      </w:r>
      <w:r>
        <w:rPr>
          <w:sz w:val="20"/>
          <w:szCs w:val="20"/>
          <w:color w:val="auto"/>
        </w:rPr>
        <w:tab/>
      </w:r>
      <w:r>
        <w:rPr>
          <w:rFonts w:ascii="Times New Roman" w:cs="Times New Roman" w:eastAsia="Times New Roman" w:hAnsi="Times New Roman"/>
          <w:sz w:val="21"/>
          <w:szCs w:val="21"/>
          <w:u w:val="single" w:color="auto"/>
          <w:color w:val="auto"/>
        </w:rPr>
        <w:t>Non-Competition; Non-Solicitation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2" w:lineRule="auto"/>
        <w:tabs>
          <w:tab w:leader="none" w:pos="214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five (5) years after the Closing Date (the “</w:t>
      </w:r>
      <w:r>
        <w:rPr>
          <w:rFonts w:ascii="Times New Roman" w:cs="Times New Roman" w:eastAsia="Times New Roman" w:hAnsi="Times New Roman"/>
          <w:sz w:val="21"/>
          <w:szCs w:val="21"/>
          <w:u w:val="single" w:color="auto"/>
          <w:color w:val="auto"/>
        </w:rPr>
        <w:t>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xml:space="preserve">”), except for the services rendered under the Transition Services Agreement, Seller shall not, and shall cause its controlled Affiliates not to, directly or indirectly through any entity, as a principal, employee, partner, owner, manager, member, officer, director, agent, contractor, consultant or otherwise, (i) participate or engage in, render services for, assist or provide financial resources to any Competing Business, (ii) own or otherwise have an interest in, manage, operate or control any Person participating or engaged in a Competing Business, or (iii) enable, assist or license or grant any right that facilitates, any Person’s participation or engagement in any Competing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herein shall (A) preclude Seller or its Affiliates from engaging in any business with a Person that participates in, engages in or owns a Competing Business so long as Seller does not participate or engage in, render services for, assist or provide financial resources to such Competing Business at any time during which Seller does business with such Person, (B) preclude Seller or its Affiliates from owning five percent (5%) or less of the outstanding stock or other securities of any Person, (C) subject to clause (A) above, preclude Seller or its Affiliates from acquiring and, after such acquisition, owning an interest in any Person (or its successor) that is engaged in any Competing Business and operating such Competing Business if such Competing Business generated less than fifteen percent (15%) of such Person’s consolidated annual revenues in the last completed fiscal year of such Person, in which case Seller or its applicable Affiliate shall use commercially reasonable efforts to divest itself of such rights in the Competing Business (either through an outright sale to a third party or through a license to a third party so long as Seller and its Affiliates retain only residual financial rights and do not exercise or have the ability to exercise any role or influence over the conduct of the Competing Business) within [***] from the closing of acquisition and, during such [***] period, the ownership of or other activities relating to such Competing Business shall not be in violation of this </w:t>
      </w:r>
      <w:r>
        <w:rPr>
          <w:rFonts w:ascii="Times New Roman" w:cs="Times New Roman" w:eastAsia="Times New Roman" w:hAnsi="Times New Roman"/>
          <w:sz w:val="21"/>
          <w:szCs w:val="21"/>
          <w:u w:val="single" w:color="auto"/>
          <w:color w:val="auto"/>
        </w:rPr>
        <w:t>Section 7.9(a)</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7.9(a)</w:t>
      </w:r>
      <w:r>
        <w:rPr>
          <w:rFonts w:ascii="Times New Roman" w:cs="Times New Roman" w:eastAsia="Times New Roman" w:hAnsi="Times New Roman"/>
          <w:sz w:val="21"/>
          <w:szCs w:val="21"/>
          <w:color w:val="auto"/>
        </w:rPr>
        <w:t xml:space="preserve"> shall not apply to any Person who becomes an Affiliate of Seller by virtue of the consummation of any transaction or series of related transactions following the Closing pursuant to which such Person (or group of Persons) acquires, directly or indirectly, beneficial ownership of more than 50% of the outstanding stock or other securities of Seller (or, if Seller is not the surviving entity in such transaction or series of related transactions, the outstanding stock or other securities of such surviving entity), whether such transaction(s)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200" w:right="219"/>
        <w:spacing w:after="0" w:line="253" w:lineRule="auto"/>
        <w:rPr>
          <w:sz w:val="20"/>
          <w:szCs w:val="20"/>
          <w:color w:val="auto"/>
        </w:rPr>
      </w:pPr>
      <w:r>
        <w:rPr>
          <w:rFonts w:ascii="Times New Roman" w:cs="Times New Roman" w:eastAsia="Times New Roman" w:hAnsi="Times New Roman"/>
          <w:sz w:val="21"/>
          <w:szCs w:val="21"/>
          <w:color w:val="auto"/>
        </w:rPr>
        <w:t xml:space="preserve">effected by merger, consolidation, recapitalization, sale or transfer of the Seller’s outstanding stock or other securities or other similar form of business combination;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a period of five</w:t>
      </w:r>
    </w:p>
    <w:p>
      <w:pPr>
        <w:spacing w:after="0" w:line="1" w:lineRule="exact"/>
        <w:rPr>
          <w:sz w:val="20"/>
          <w:szCs w:val="20"/>
          <w:color w:val="auto"/>
        </w:rPr>
      </w:pPr>
    </w:p>
    <w:p>
      <w:pPr>
        <w:jc w:val="both"/>
        <w:ind w:left="200" w:right="219" w:firstLine="9"/>
        <w:spacing w:after="0" w:line="232" w:lineRule="auto"/>
        <w:tabs>
          <w:tab w:leader="none" w:pos="5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after the Closing Date, Seller shall, and shall cause such acquiring third party and their respective Affiliates to, adopt and enforce commercially reasonable procedures, processes, policies and systems designed to (1) ensure that no personnel who were employees of Seller or its pre-acquisition Affiliates working on a day-to-day basis on activities relating to the Product (which, for purposes of this clause (1), does not include members of management) participate in any Competing Business, and (2) prevent the use or incorporation of any of the Intellectual Property included in the Purchased Assets or Confidential Information of Seller or its pre-acquisition Affiliates in connection with any Competing Business.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Seller shall not, and shall cause its controlled Affiliates not to solicit, induce or attempt to induce any Business Relation of the Business to cease doing business with the Business, or in any way divert, reduce, or take away any of such Business Relation’s business or patronage with the Business, or in any way interfere with the relationship between any such Business Relation and the Business.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Restricted Period, Seller shall not and shall cause its controlled Affiliates not to, directly or indirectly, solicit, induce, retain or employ or otherwise attempt to induce, retain or employ any person known by Seller to be an employee of the Business as operated by Buyer after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 on solicitation shall not apply to generalized searches by use of advertising or recruiting efforts (including the use of search firms) which are not specifically targeted at Buyer or any of its Affiliates or any employee of the Business; and provided further that the restrictions set forth in this </w:t>
      </w:r>
      <w:r>
        <w:rPr>
          <w:rFonts w:ascii="Times New Roman" w:cs="Times New Roman" w:eastAsia="Times New Roman" w:hAnsi="Times New Roman"/>
          <w:sz w:val="22"/>
          <w:szCs w:val="22"/>
          <w:u w:val="single" w:color="auto"/>
          <w:color w:val="auto"/>
        </w:rPr>
        <w:t>Section 7.9(c)</w:t>
      </w:r>
      <w:r>
        <w:rPr>
          <w:rFonts w:ascii="Times New Roman" w:cs="Times New Roman" w:eastAsia="Times New Roman" w:hAnsi="Times New Roman"/>
          <w:sz w:val="22"/>
          <w:szCs w:val="22"/>
          <w:color w:val="auto"/>
        </w:rPr>
        <w:t xml:space="preserve"> shall not be applicable to any person whose employment or service with Buyer or its Affiliates is terminated by Buyer or its Affiliates after the Closing if such termination has been effective for at least six (6) months.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Restricted Period, Buyer shall not and shall cause its controlled Affiliates not to, directly or indirectly, solicit, induce, retain or employ or otherwise attempt to induce, retain or employ any person known by Buyer to be an employee of Seller as of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 on solicitation shall not apply to generalized searches by use of advertising or recruiting efforts (including the use of search firms) which are not specifically targeted at Seller or any of its Affiliates or any of their respective employees; and provided further that the restrictions set forth in this </w:t>
      </w:r>
      <w:r>
        <w:rPr>
          <w:rFonts w:ascii="Times New Roman" w:cs="Times New Roman" w:eastAsia="Times New Roman" w:hAnsi="Times New Roman"/>
          <w:sz w:val="22"/>
          <w:szCs w:val="22"/>
          <w:u w:val="single" w:color="auto"/>
          <w:color w:val="auto"/>
        </w:rPr>
        <w:t>Section 7.9(d)</w:t>
      </w:r>
      <w:r>
        <w:rPr>
          <w:rFonts w:ascii="Times New Roman" w:cs="Times New Roman" w:eastAsia="Times New Roman" w:hAnsi="Times New Roman"/>
          <w:sz w:val="22"/>
          <w:szCs w:val="22"/>
          <w:color w:val="auto"/>
        </w:rPr>
        <w:t xml:space="preserve"> shall not be applicable to any person whose employment or service with Seller or its Affiliates is terminated by Seller or its Affiliates after the Closing if such termination has been effective for at least six (6) months.</w:t>
      </w:r>
    </w:p>
    <w:p>
      <w:pPr>
        <w:spacing w:after="0" w:line="18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During the Restricted Period, Seller will hold, and will direct each of its Affiliates and Representatives to hold, in strict confidence from any other Person all confidential and proprietary information and documents relating to the Purchased Assets and the Business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except that Seller shall be permitted to disclose Confidential Information: (a) as may be reasonably required to enforce Seller’s rights under this Agreement; (b) as is required to be disclosed by order of a court of competent jurisdiction, administrative body or other Governmental Authority, or by subpoena, summons or legal process, or by law, rule or regulation; (c) to Seller’s authorized directors, officers, representatives, employees, auditors, attorneys or other agents who have a reasonable need to know such</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Confidential Information, in each case, who are informed of the obligations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and directed to abide hereby as if such Persons were the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shall be liable for any disclosure by such Persons in violation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“Confidential Information” shall not include any information (i) which becomes generally available to the public through no fault of Seller or is disclosed in a prospectus or other documents available for dissemination to the public or (ii) information that is or becomes available to Seller or its Subsidiaries from a third party who is not, to the Knowledge of Seller at the time of receipt, bound by a confidentiality agreement with, or other contractual, legal or fiduciary obligations of confidentiality to, Buyer or any of its Affiliates or any other Person with respect to such information.</w:t>
      </w:r>
    </w:p>
    <w:p>
      <w:pPr>
        <w:spacing w:after="0" w:line="18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7.11 </w:t>
      </w:r>
      <w:r>
        <w:rPr>
          <w:rFonts w:ascii="Times New Roman" w:cs="Times New Roman" w:eastAsia="Times New Roman" w:hAnsi="Times New Roman"/>
          <w:sz w:val="21"/>
          <w:szCs w:val="21"/>
          <w:u w:val="single" w:color="auto"/>
          <w:color w:val="auto"/>
        </w:rPr>
        <w:t>Bulk Sales</w:t>
      </w:r>
      <w:r>
        <w:rPr>
          <w:rFonts w:ascii="Times New Roman" w:cs="Times New Roman" w:eastAsia="Times New Roman" w:hAnsi="Times New Roman"/>
          <w:sz w:val="21"/>
          <w:szCs w:val="21"/>
          <w:color w:val="auto"/>
        </w:rPr>
        <w:t>. The Parties hereby waive compliance with the provisions of any bulk sales, bulk transfer or similar Laws of any jurisdiction that may otherwise be applicable with respect to the sale of any or all of the Purchased Assets to Buyer, it being understood that any Liabilities arising out of the failure of Seller to comply with the requirements and provisions of any bulk sales, bulk transfer or similar Laws of any jurisdiction shall be treated as Excluded Liabilities.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SURVIVAL AND INDEMNIFICATION</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Subject to the terms, conditions and limitations set forth in this Agreement, the representations and warranties of the Parties in this Agreement shall survive the Closing and continue in full force and effect (a) in the case of representations and warranties other than the Seller Fundamental Representations, on the date that is twelve (12) months after the Closing Date and (b) in the case of each of the Seller Fundamental Representations, until sixty (60) days following the expiration of the applicable statute of limitations. The covenants in this Agreement shall survive in accordance with their terms. Notwithstanding the foregoing, any claims asserted by an Indemnified Party in writing by notice to the applicable Party from whom indemnification is sought prior to the expiration date of the applicable survival period shall not thereafter be barred by the expiration of such survival period and such claims shall survive, but only for purposes of the resolution of the matter covered in such notice, until finally resolved.</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6" w:lineRule="auto"/>
        <w:tabs>
          <w:tab w:leader="none" w:pos="21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conditions and limitations set forth in this Agreement, Seller shall indemnify Buyer and its Affiliates and their respective directors, managers, officers, employees, agents, representatives, successors and assigns (collectively, the “</w:t>
      </w:r>
      <w:r>
        <w:rPr>
          <w:rFonts w:ascii="Times New Roman" w:cs="Times New Roman" w:eastAsia="Times New Roman" w:hAnsi="Times New Roman"/>
          <w:sz w:val="21"/>
          <w:szCs w:val="21"/>
          <w:u w:val="single" w:color="auto"/>
          <w:color w:val="auto"/>
        </w:rPr>
        <w:t>Buyer 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against, and shall hold the Buyer Indemnified Parties harmless from and against, any and all Liabilities, obligations, demands, claims, actions, causes of action, assessments, losses, costs, damages, deficiencies, judgments, Taxes, fines or expenses (whether or not arising out of Third Party Claims), including interest, penalties, reasonable fees and expenses of attorneys, accountants and other consultants and experts and all reasonable amounts paid in investigation, defense or settlement of any of the foregoing (hereinafter referred to collectively as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incurred or sustained by, or imposed upon, the Buyer Indemnified Parties based upon or arising out of:</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ind w:left="200" w:right="219" w:firstLine="1953"/>
        <w:spacing w:after="0" w:line="258" w:lineRule="auto"/>
        <w:tabs>
          <w:tab w:leader="none" w:pos="279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inaccuracy in or breach of any of the representations or warranties of Seller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w:t>
      </w:r>
    </w:p>
    <w:p>
      <w:pPr>
        <w:spacing w:after="0" w:line="158"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Seller of, or any failure by Seller to perform, any of its covenants or obligations under this Agreement;</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by Seller;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Asset or Excluded Liability.</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conditions and limitations set forth in this Agreement, Buyer shall indemnify Seller and its Affiliates and their respective directors, managers, officers, employees, agents, representatives, successors and assigns (collectively, the “</w:t>
      </w:r>
      <w:r>
        <w:rPr>
          <w:rFonts w:ascii="Times New Roman" w:cs="Times New Roman" w:eastAsia="Times New Roman" w:hAnsi="Times New Roman"/>
          <w:sz w:val="22"/>
          <w:szCs w:val="22"/>
          <w:u w:val="single" w:color="auto"/>
          <w:color w:val="auto"/>
        </w:rPr>
        <w:t>Seller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against, and shall hold the Seller Indemnified Parties harmless from and against, any and all Losses incurred or sustained by, or imposed upon, the Seller Indemnified Parties based upon or arising out of:</w:t>
      </w:r>
    </w:p>
    <w:p>
      <w:pPr>
        <w:spacing w:after="0" w:line="181"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inaccuracy in or breach of any of the representations and warranties made by Buyer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Buyer of, or any failure by Buyer to perform, any of its covenants or obligations under this Agreement;</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Liability;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by Buyer.</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Limits and Qualifications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Seller nor Buyer shall be liable under </w:t>
      </w:r>
      <w:r>
        <w:rPr>
          <w:rFonts w:ascii="Times New Roman" w:cs="Times New Roman" w:eastAsia="Times New Roman" w:hAnsi="Times New Roman"/>
          <w:sz w:val="22"/>
          <w:szCs w:val="22"/>
          <w:u w:val="single" w:color="auto"/>
          <w:color w:val="auto"/>
        </w:rPr>
        <w:t>Section 8.2(a)(i)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8.2(b)(i)</w:t>
      </w:r>
      <w:r>
        <w:rPr>
          <w:rFonts w:ascii="Times New Roman" w:cs="Times New Roman" w:eastAsia="Times New Roman" w:hAnsi="Times New Roman"/>
          <w:sz w:val="22"/>
          <w:szCs w:val="22"/>
          <w:color w:val="auto"/>
        </w:rPr>
        <w:t>, respectively:</w:t>
      </w:r>
    </w:p>
    <w:p>
      <w:pPr>
        <w:spacing w:after="0" w:line="182" w:lineRule="exact"/>
        <w:rPr>
          <w:rFonts w:ascii="Times New Roman" w:cs="Times New Roman" w:eastAsia="Times New Roman" w:hAnsi="Times New Roman"/>
          <w:sz w:val="22"/>
          <w:szCs w:val="22"/>
          <w:color w:val="auto"/>
        </w:rPr>
      </w:pPr>
    </w:p>
    <w:p>
      <w:pPr>
        <w:jc w:val="both"/>
        <w:ind w:left="860" w:right="219" w:firstLine="1293"/>
        <w:spacing w:after="0" w:line="238" w:lineRule="auto"/>
        <w:tabs>
          <w:tab w:leader="none" w:pos="280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any individual claims or series of claims having the same nature or origin, where the aggregate Losses relating to such claims or series of claims are less than $23,000, and such claims or series of claims with Losses relating thereto of less than such amount will not be aggregated or counted for purposes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8.3(a)(ii)</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860" w:right="219" w:firstLine="1293"/>
        <w:spacing w:after="0" w:line="255" w:lineRule="auto"/>
        <w:tabs>
          <w:tab w:leader="none" w:pos="280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and until the aggregate Losses for which it would be liable under this Agreement exceed $400,000 (the “</w:t>
      </w:r>
      <w:r>
        <w:rPr>
          <w:rFonts w:ascii="Times New Roman" w:cs="Times New Roman" w:eastAsia="Times New Roman" w:hAnsi="Times New Roman"/>
          <w:sz w:val="21"/>
          <w:szCs w:val="21"/>
          <w:u w:val="single" w:color="auto"/>
          <w:color w:val="auto"/>
        </w:rPr>
        <w:t>Basket</w:t>
      </w:r>
      <w:r>
        <w:rPr>
          <w:rFonts w:ascii="Times New Roman" w:cs="Times New Roman" w:eastAsia="Times New Roman" w:hAnsi="Times New Roman"/>
          <w:sz w:val="21"/>
          <w:szCs w:val="21"/>
          <w:color w:val="auto"/>
        </w:rPr>
        <w:t>”), at which point Seller or Buyer, as applicable, shall be required to pay or be liable for all Losses from the first dollar (including the amount of the Basket) arising out of or resulting from the applicable breach;</w:t>
      </w:r>
    </w:p>
    <w:p>
      <w:pPr>
        <w:spacing w:after="0" w:line="200" w:lineRule="exact"/>
        <w:rPr>
          <w:sz w:val="20"/>
          <w:szCs w:val="20"/>
          <w:color w:val="auto"/>
        </w:rPr>
      </w:pPr>
    </w:p>
    <w:p>
      <w:pPr>
        <w:spacing w:after="0" w:line="205" w:lineRule="exact"/>
        <w:rPr>
          <w:sz w:val="20"/>
          <w:szCs w:val="20"/>
          <w:color w:val="auto"/>
        </w:rPr>
      </w:pPr>
    </w:p>
    <w:p>
      <w:pPr>
        <w:jc w:val="both"/>
        <w:ind w:left="200" w:right="239"/>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limitations set forth in this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shall not apply to any Losses in connection with, incident to, resulting from or arising out of, directly or indirectly, any inaccuracy in or breach of the Seller Fundamental Representations, or in the case of any Losses based upon Fraud.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both"/>
        <w:ind w:left="200" w:right="219" w:firstLine="1305"/>
        <w:spacing w:after="0" w:line="235" w:lineRule="auto"/>
        <w:tabs>
          <w:tab w:leader="none" w:pos="21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all Losses for which the Buyer Indemnified Parties shall be entitled to indemnification under </w:t>
      </w:r>
      <w:r>
        <w:rPr>
          <w:rFonts w:ascii="Times New Roman" w:cs="Times New Roman" w:eastAsia="Times New Roman" w:hAnsi="Times New Roman"/>
          <w:sz w:val="22"/>
          <w:szCs w:val="22"/>
          <w:u w:val="single" w:color="auto"/>
          <w:color w:val="auto"/>
        </w:rPr>
        <w:t>Section 8.2(a)(i)</w:t>
      </w:r>
      <w:r>
        <w:rPr>
          <w:rFonts w:ascii="Times New Roman" w:cs="Times New Roman" w:eastAsia="Times New Roman" w:hAnsi="Times New Roman"/>
          <w:sz w:val="22"/>
          <w:szCs w:val="22"/>
          <w:color w:val="auto"/>
        </w:rPr>
        <w:t xml:space="preserve"> or the Seller Indemnified Parties shall be entitled to indemnification under </w:t>
      </w:r>
      <w:r>
        <w:rPr>
          <w:rFonts w:ascii="Times New Roman" w:cs="Times New Roman" w:eastAsia="Times New Roman" w:hAnsi="Times New Roman"/>
          <w:sz w:val="22"/>
          <w:szCs w:val="22"/>
          <w:u w:val="single" w:color="auto"/>
          <w:color w:val="auto"/>
        </w:rPr>
        <w:t>Section 8.2(b)(i)</w:t>
      </w:r>
      <w:r>
        <w:rPr>
          <w:rFonts w:ascii="Times New Roman" w:cs="Times New Roman" w:eastAsia="Times New Roman" w:hAnsi="Times New Roman"/>
          <w:sz w:val="22"/>
          <w:szCs w:val="22"/>
          <w:color w:val="auto"/>
        </w:rPr>
        <w:t xml:space="preserve">, as appliable, shall not exceed an amount equal to $4,000,000;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limitations set forth in this </w:t>
      </w:r>
      <w:r>
        <w:rPr>
          <w:rFonts w:ascii="Times New Roman" w:cs="Times New Roman" w:eastAsia="Times New Roman" w:hAnsi="Times New Roman"/>
          <w:sz w:val="22"/>
          <w:szCs w:val="22"/>
          <w:u w:val="single" w:color="auto"/>
          <w:color w:val="auto"/>
        </w:rPr>
        <w:t>Section 8.3(b)</w:t>
      </w:r>
      <w:r>
        <w:rPr>
          <w:rFonts w:ascii="Times New Roman" w:cs="Times New Roman" w:eastAsia="Times New Roman" w:hAnsi="Times New Roman"/>
          <w:sz w:val="22"/>
          <w:szCs w:val="22"/>
          <w:color w:val="auto"/>
        </w:rPr>
        <w:t xml:space="preserve"> shall not apply to any Losses in connection with, incident to, resulting from or arising out of, directly or indirectly, any inaccuracy in or breach of the Seller Fundamental Representations, or in the case of any Losses based upon Fraud.</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all Losses for which the Buyer Indemnified Parties or the Seller Indemnified Parties shall be entitled to indemnification under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shall not exceed the Purchase Price.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(i) whether there has been a breach or non-compliance of any representation, warranty, covenant or obligation under this Agreement, and</w:t>
      </w:r>
    </w:p>
    <w:p>
      <w:pPr>
        <w:spacing w:after="0" w:line="1" w:lineRule="exact"/>
        <w:rPr>
          <w:rFonts w:ascii="Times New Roman" w:cs="Times New Roman" w:eastAsia="Times New Roman" w:hAnsi="Times New Roman"/>
          <w:sz w:val="22"/>
          <w:szCs w:val="22"/>
          <w:color w:val="auto"/>
        </w:rPr>
      </w:pPr>
    </w:p>
    <w:p>
      <w:pPr>
        <w:jc w:val="both"/>
        <w:ind w:left="200" w:right="219" w:firstLine="9"/>
        <w:spacing w:after="0" w:line="233" w:lineRule="auto"/>
        <w:tabs>
          <w:tab w:leader="none" w:pos="5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calculating the amount of any Losses arising from such breach or non-compliance, the representations, warranties, covenants and obligations set forth in this Agreement shall be read without regard to any materiality, material adverse effect, Material Adverse Effect or similar qualifications that may be contained therein as if such qualification were deleted from such representation or warranty.</w:t>
      </w:r>
    </w:p>
    <w:p>
      <w:pPr>
        <w:spacing w:after="0" w:line="179"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the limitations set forth in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shall not apply in the event of Fraud.</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shall have any Liability under this Agreement for punitive damages, except to the extent the other Party is obligated to pay such damages to a third party.</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Seller pursuant to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or by Buyer pursuant to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as applicable, in respect of any Loss shall be limited to the amount of any liability or damage that remains after deducting therefrom any insurance proceeds and any indemnity, contribution or other similar payment received or reasonably expected to be received by Buyer or Seller, as applicable, in respect of any such claim. If an Indemnified Party receives any payment in respect of any Losses after it has already received an indemnification payment on account of its claim, then it shall promptly reimburse Seller (in case of a claim by any Buyer Indemnified Party) or Buyer (in case of a claim by any Seller Indemnified Party), as appliable, for the amount of such payment (net of any costs, expenses or losses incurred in connection with such payment) to the extent that such amount was not already deducted from the indemnification payment made by Seller (in case of a claim by any Buyer Indemnified Party) or Buyer (in case of a claim by any Seller Indemnified Party), as appliable.</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Indemnified Party shall take all commercially reasonable steps to mitigate any Loss upon becoming aware of any event or circumstance that would be reasonably expected to, or does, give rise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of any Seller Indemnified Party and Buyer Indemnified Party, as applicable, to so mitigate shall only reduce the rights of such Seller Indemnified Party and Buyer Indemnified Party, as applicable, to recover Losses under any indemnification provision of this Agreement to the extent the Losses would have been avoided by such mitigation.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jc w:val="both"/>
        <w:ind w:left="200" w:right="219" w:firstLine="1305"/>
        <w:spacing w:after="0" w:line="238" w:lineRule="auto"/>
        <w:tabs>
          <w:tab w:leader="none" w:pos="21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fact that any Person may have the right to assert claims for indemnification under or in respect of more than one provision of this Agreement or any of the Transactions Documents related to any fact, event, condition or circumstance, no Person will be entitled to recover the amount of any Losses suffered by such Person more than once under this Agreement in respect of such fact, event, condition or circumstance.</w:t>
      </w:r>
    </w:p>
    <w:p>
      <w:pPr>
        <w:spacing w:after="0" w:line="177"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Claims Not Involving Third Parties</w:t>
      </w:r>
      <w:r>
        <w:rPr>
          <w:rFonts w:ascii="Times New Roman" w:cs="Times New Roman" w:eastAsia="Times New Roman" w:hAnsi="Times New Roman"/>
          <w:sz w:val="22"/>
          <w:szCs w:val="22"/>
          <w:color w:val="auto"/>
        </w:rPr>
        <w:t>. If any Buyer Indemnified Party or Seller Indemnified Party (any such Person being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desires to make a claim for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arising from any matter not involving a third party, such Indemnified Party shall notify Buyer (in the case of a claim by any Seller Indemnified Party) or Seller (in the case of a claim by any Buyer Indemnified Party) (in any such case,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of the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in writing promptly, describing the Direct Claim in reasonable detail, including (i) the basis for such claim to the extent of the facts then known to the Indemnified Party, and (ii) if known, the estimated amount or, if applicable, method of computation of the amount of such claim (all of the foregoing, the “</w:t>
      </w:r>
      <w:r>
        <w:rPr>
          <w:rFonts w:ascii="Times New Roman" w:cs="Times New Roman" w:eastAsia="Times New Roman" w:hAnsi="Times New Roman"/>
          <w:sz w:val="22"/>
          <w:szCs w:val="22"/>
          <w:u w:val="single" w:color="auto"/>
          <w:color w:val="auto"/>
        </w:rPr>
        <w:t>Claim Information</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Direct Claim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so notify shall not relieve the Indemnifying Party of its obligations hereunder, except to the extent that the Indemnifying Party is actually and materially prejudiced thereby. The Indemnified Party shall reasonably cooperate and assist the Indemnifying Party in determining the validity of any claim for indemnity by the Indemnified Party and in otherwise resolving such matters. The Indemnified Party and the Indemnifying Party shall, for not less than [***] following delivery of the Direct Claim Notice, negotiate in good faith to resolve the claim, and the Indemnified Party shall not commence a Proceedings with respect to such claim prior to the end of such period.</w:t>
      </w:r>
    </w:p>
    <w:p>
      <w:pPr>
        <w:spacing w:after="0" w:line="19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u w:val="single" w:color="auto"/>
          <w:color w:val="auto"/>
        </w:rPr>
        <w:t>Third Party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2" w:lineRule="auto"/>
        <w:tabs>
          <w:tab w:leader="none" w:pos="21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Indemnified Party desires to make a claim for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arising from a claim by a third party, such Indemnified Party shall notify the Indemnifying Party of the claim (the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in writing promptly after receiving notice of any third party Proceeding, describing the Third Party Claim in reasonable detail, including the Claim Information (the “</w:t>
      </w:r>
      <w:r>
        <w:rPr>
          <w:rFonts w:ascii="Times New Roman" w:cs="Times New Roman" w:eastAsia="Times New Roman" w:hAnsi="Times New Roman"/>
          <w:sz w:val="22"/>
          <w:szCs w:val="22"/>
          <w:u w:val="single" w:color="auto"/>
          <w:color w:val="auto"/>
        </w:rPr>
        <w:t>Third Party Claim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so notify shall not relieve the Indemnifying Party of its obligations hereunder, except to the extent that the Indemnifying Party is actually and materially prejudiced thereby. The Indemnifying Party shall have the right at such Person’s own expense to assume the control of the defense of any Third Party Claims (including, at its own expense, employment of counsel who must be reasonably satisfactory to the Indemnified Party (the “</w:t>
      </w:r>
      <w:r>
        <w:rPr>
          <w:rFonts w:ascii="Times New Roman" w:cs="Times New Roman" w:eastAsia="Times New Roman" w:hAnsi="Times New Roman"/>
          <w:sz w:val="22"/>
          <w:szCs w:val="22"/>
          <w:u w:val="single" w:color="auto"/>
          <w:color w:val="auto"/>
        </w:rPr>
        <w:t>Indemnifying Party Defense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order for Seller to assume control of the defense of a Third Party Claim: (i) the Third Party Claim must not seek an injunction or other equitable relief against the Indemnified Party (A) as the primary remedy or (B) the outcome of which could reasonably be expected to materially and adversely affect the ability of the Indemnified Party to conduct its or its Affiliates’ businesses; and (ii) the Third Party Claim must not relate to or arise in connection with any criminal Proceeding (the conditions set forth in clauses (i) through (ii) are, collectively, the “</w:t>
      </w:r>
      <w:r>
        <w:rPr>
          <w:rFonts w:ascii="Times New Roman" w:cs="Times New Roman" w:eastAsia="Times New Roman" w:hAnsi="Times New Roman"/>
          <w:sz w:val="22"/>
          <w:szCs w:val="22"/>
          <w:u w:val="single" w:color="auto"/>
          <w:color w:val="auto"/>
        </w:rPr>
        <w:t>Litigation Conditions</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Indemnifying Party shall have exercised its right to assume such control, the Indemnified Party will cooperate with and make available to the Indemnifying Party such assistance, documents and other materials as the Indemnifying Party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In addition, the Indemnified Party may, in such Person’s sole discretion and at such Person’s own expense, employ counsel to represent such Person (in addition to counsel employed by the Indemnifying Party) in any such matter, and in such event counsel selected by the Indemnifying Party shall cooperate with such counsel of the Indemnified Party in such defense, compromise or settlement,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of the Litigation Conditions cease to be met, then the Indemnified Party may assume control of the defense, and all reasonable and documented costs or expenses paid or incurred by such Person in connection with such defense shall constitute Losses to be indemnified by the Indemnifying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Indemnifying Party assumes control of such defense and the Indemnified Party reasonably concludes on written advice of outside counsel that there exists a conflict of interest between the Indemnifying Party and the Indemnified Party that cannot be waived with respect to the Third Party Claim, then the Indemnifying Party will pay all of the reasonable and documented costs and fees of such counsel.</w:t>
      </w:r>
    </w:p>
    <w:p>
      <w:pPr>
        <w:spacing w:after="0" w:line="185" w:lineRule="exact"/>
        <w:rPr>
          <w:sz w:val="20"/>
          <w:szCs w:val="20"/>
          <w:color w:val="auto"/>
        </w:rPr>
      </w:pPr>
    </w:p>
    <w:p>
      <w:pPr>
        <w:jc w:val="both"/>
        <w:ind w:left="200" w:right="219" w:firstLine="1305"/>
        <w:spacing w:after="0" w:line="235" w:lineRule="auto"/>
        <w:tabs>
          <w:tab w:leader="none" w:pos="21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Indemnifying Party delivers an Indemnifying Party Defense Notice and the Litigation Conditions are, and continue to be, satisfied, the Indemnifying Party will have the right to conduct such defense and to settle the claim without the prior consent of the Indemnified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Indemnifying Party shall not consent to the entry of any judgment or enter into any settlement or compromise with respect to such Third Party Claim without the prior written consent of the Indemnified Party (such consent not to be unreasonably withheld, conditioned or delayed) if:</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judgment, settlement or compromise does not include, as an unconditional term thereof, the giving by each claimant or plaintiff to each Indemnified Party of a complete release from all liability with respect to such claim;</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judgment, settlement or compromise requires the admission by any Indemnified Party of any violation of Law on its part;</w:t>
      </w:r>
    </w:p>
    <w:p>
      <w:pPr>
        <w:spacing w:after="0" w:line="158"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such judgment, settlement or compromise, injunctive or other equitable relief of any nature would be imposed against any Indemnified Party; or</w:t>
      </w:r>
    </w:p>
    <w:p>
      <w:pPr>
        <w:spacing w:after="0" w:line="158" w:lineRule="exact"/>
        <w:rPr>
          <w:rFonts w:ascii="Times New Roman" w:cs="Times New Roman" w:eastAsia="Times New Roman" w:hAnsi="Times New Roman"/>
          <w:sz w:val="22"/>
          <w:szCs w:val="22"/>
          <w:color w:val="auto"/>
        </w:rPr>
      </w:pPr>
    </w:p>
    <w:p>
      <w:pPr>
        <w:jc w:val="both"/>
        <w:ind w:left="200" w:right="239" w:firstLine="1953"/>
        <w:spacing w:after="0" w:line="244"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does not pay all Losses incurred in connection with the entry of any judgement or the entry into any settlement or compromise with respect to such Third Party Claim.</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Indemnifying Party fails to give the Indemnifying Party Defense Notice within [***] after receiving notice of the Third Party Claim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8.5(a)</w:t>
      </w:r>
      <w:r>
        <w:rPr>
          <w:rFonts w:ascii="Times New Roman" w:cs="Times New Roman" w:eastAsia="Times New Roman" w:hAnsi="Times New Roman"/>
          <w:sz w:val="21"/>
          <w:szCs w:val="21"/>
          <w:color w:val="auto"/>
        </w:rPr>
        <w:t xml:space="preserve">, the Indemnifying Party will be deemed to have elected not to conduct the defense of the Third Party Claim and all reasonable and documented costs or expenses paid or incurred by the Indemnified Party in connection with such defense shall constitute Losses. In such event, the Indemnified Party will have the right to conduct such defense;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Indemnified Party shall not compromise and settle such claim without the prior written consent of the Indemnifying Party, which consent shall not be unreasonably withheld, conditioned or delayed, if the Indemnified Party is seeking or will seek indemnification hereunder with respect to such matter.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Adjustment to Purchase Price</w:t>
      </w:r>
      <w:r>
        <w:rPr>
          <w:rFonts w:ascii="Times New Roman" w:cs="Times New Roman" w:eastAsia="Times New Roman" w:hAnsi="Times New Roman"/>
          <w:sz w:val="22"/>
          <w:szCs w:val="22"/>
          <w:color w:val="auto"/>
        </w:rPr>
        <w:t>. The Parties agree that any indemnification payment shall be treated for tax purposes as an adjustment to the Purchase Price to the extent permitted by applicable Law.</w:t>
      </w:r>
    </w:p>
    <w:p>
      <w:pPr>
        <w:spacing w:after="0" w:line="174"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Exercise of Remedies by Indemnitees other than the Parties</w:t>
      </w:r>
      <w:r>
        <w:rPr>
          <w:rFonts w:ascii="Times New Roman" w:cs="Times New Roman" w:eastAsia="Times New Roman" w:hAnsi="Times New Roman"/>
          <w:sz w:val="22"/>
          <w:szCs w:val="22"/>
          <w:color w:val="auto"/>
        </w:rPr>
        <w:t>. No Buyer Indemnified Party (other than Buyer or any successor thereto or assign thereof) shall be permitted to assert any indemnification claim or exercise any other remedy under this Agreement unless Buyer (or any successor thereto or assign thereof) shall have consented to the assertion of such indemnification claim or the exercise of such other remedy. No Seller Indemnified Party (other than Seller or any successor thereto or assign thereof) shall be permitted to assert any indemnification claim or exercise any other remedy under this Agreement unless Seller (or any successor thereto or assign thereof) shall have consented to the assertion of such indemnification claim or the exercise of such other remedy.</w:t>
      </w:r>
    </w:p>
    <w:p>
      <w:pPr>
        <w:spacing w:after="0" w:line="183"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8.8 </w:t>
      </w: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xml:space="preserve">. Except for (a) Fraud or (b) equitable remedies including specific performance pursuant to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the respective rights of the Parties under this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shall be the sole and exclusive rights and remedies available to the Parties with respect to the matters set forth in this Agreement and the other Transaction Documents (other than the Transition Services Agreement), and each of the Parties hereby absolutely agrees and covenants not to seek any remedy at law or equity relating to the transactions contemplated by this Agreement and the other Transaction Documents (other than the Transition Services Agreement) other than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Notwithstanding the remedies available to the Parties hereunder, the right of the Parties to pursue an action for any other remedies or relief under the Transition Services Agreement against the counterparties thereto will not be limited hereby. Subject to any services delivered pursuant to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the Parties shall have no right to pursue a claim for indemnifiable Losses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with respect to the Transition Services Agreement.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18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Amendment and Modification</w:t>
      </w:r>
      <w:r>
        <w:rPr>
          <w:rFonts w:ascii="Times New Roman" w:cs="Times New Roman" w:eastAsia="Times New Roman" w:hAnsi="Times New Roman"/>
          <w:sz w:val="22"/>
          <w:szCs w:val="22"/>
          <w:color w:val="auto"/>
        </w:rPr>
        <w:t>. This Agreement may be amended, modified or supplemented only by a written instrument signed on behalf of each of Seller and Buyer.</w:t>
      </w:r>
    </w:p>
    <w:p>
      <w:pPr>
        <w:spacing w:after="0" w:line="15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under, or otherwise made in connection with, this Agreement shall be in writing and shall be deemed to have been duly given or made (a) when delivered in person, (b) upon confirmation of receipt when transmitted by email, (c) upon receipt after dispatch by registered or certified mail, postage prepaid, or (d) on the next Business Day if transmitted by national overnight courier (with confirmation of delivery), in each case, addressed as follows:</w:t>
      </w:r>
    </w:p>
    <w:p>
      <w:pPr>
        <w:spacing w:after="0" w:line="181" w:lineRule="exact"/>
        <w:rPr>
          <w:sz w:val="20"/>
          <w:szCs w:val="20"/>
          <w:color w:val="auto"/>
        </w:rPr>
      </w:pPr>
    </w:p>
    <w:p>
      <w:pPr>
        <w:ind w:left="2160" w:hanging="655"/>
        <w:spacing w:after="0"/>
        <w:tabs>
          <w:tab w:leader="none" w:pos="2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Seller, to:</w:t>
      </w:r>
    </w:p>
    <w:p>
      <w:pPr>
        <w:spacing w:after="0" w:line="206" w:lineRule="exact"/>
        <w:rPr>
          <w:rFonts w:ascii="Times New Roman" w:cs="Times New Roman" w:eastAsia="Times New Roman" w:hAnsi="Times New Roman"/>
          <w:sz w:val="22"/>
          <w:szCs w:val="22"/>
          <w:color w:val="auto"/>
        </w:rPr>
      </w:pPr>
    </w:p>
    <w:p>
      <w:pPr>
        <w:ind w:left="2160" w:right="457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Coherus BioSciences, Inc. 333 Twin Dolphin Drive Redwood City, CA 94065 Attention: CEO</w:t>
      </w: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ind w:left="2160"/>
        <w:spacing w:after="0"/>
        <w:rPr>
          <w:sz w:val="20"/>
          <w:szCs w:val="20"/>
          <w:color w:val="auto"/>
        </w:rPr>
      </w:pPr>
      <w:r>
        <w:rPr>
          <w:rFonts w:ascii="Times New Roman" w:cs="Times New Roman" w:eastAsia="Times New Roman" w:hAnsi="Times New Roman"/>
          <w:sz w:val="22"/>
          <w:szCs w:val="22"/>
          <w:color w:val="auto"/>
        </w:rPr>
        <w:t>with a mandated copy (which shall not constitute notice) to:</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140 Scott Drive</w:t>
      </w:r>
    </w:p>
    <w:p>
      <w:pPr>
        <w:ind w:left="2160"/>
        <w:spacing w:after="0" w:line="230" w:lineRule="auto"/>
        <w:rPr>
          <w:sz w:val="20"/>
          <w:szCs w:val="20"/>
          <w:color w:val="auto"/>
        </w:rPr>
      </w:pPr>
      <w:r>
        <w:rPr>
          <w:rFonts w:ascii="Times New Roman" w:cs="Times New Roman" w:eastAsia="Times New Roman" w:hAnsi="Times New Roman"/>
          <w:sz w:val="22"/>
          <w:szCs w:val="22"/>
          <w:color w:val="auto"/>
        </w:rPr>
        <w:t>Menlo Park, CA 94025</w:t>
      </w:r>
    </w:p>
    <w:p>
      <w:pPr>
        <w:ind w:left="2160"/>
        <w:spacing w:after="0" w:line="231" w:lineRule="auto"/>
        <w:rPr>
          <w:sz w:val="20"/>
          <w:szCs w:val="20"/>
          <w:color w:val="auto"/>
        </w:rPr>
      </w:pPr>
      <w:r>
        <w:rPr>
          <w:rFonts w:ascii="Times New Roman" w:cs="Times New Roman" w:eastAsia="Times New Roman" w:hAnsi="Times New Roman"/>
          <w:sz w:val="22"/>
          <w:szCs w:val="22"/>
          <w:color w:val="auto"/>
        </w:rPr>
        <w:t>Attention: Benjamin A. Potter;</w:t>
      </w:r>
    </w:p>
    <w:p>
      <w:pPr>
        <w:ind w:left="2800"/>
        <w:spacing w:after="0" w:line="230" w:lineRule="auto"/>
        <w:rPr>
          <w:sz w:val="20"/>
          <w:szCs w:val="20"/>
          <w:color w:val="auto"/>
        </w:rPr>
      </w:pPr>
      <w:r>
        <w:rPr>
          <w:rFonts w:ascii="Times New Roman" w:cs="Times New Roman" w:eastAsia="Times New Roman" w:hAnsi="Times New Roman"/>
          <w:sz w:val="22"/>
          <w:szCs w:val="22"/>
          <w:color w:val="auto"/>
        </w:rPr>
        <w:t>Josh Dubofsky</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2160" w:hanging="655"/>
        <w:spacing w:after="0"/>
        <w:tabs>
          <w:tab w:leader="none" w:pos="21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Buyer, to:</w:t>
      </w:r>
    </w:p>
    <w:p>
      <w:pPr>
        <w:spacing w:after="0" w:line="206" w:lineRule="exact"/>
        <w:rPr>
          <w:rFonts w:ascii="Times New Roman" w:cs="Times New Roman" w:eastAsia="Times New Roman" w:hAnsi="Times New Roman"/>
          <w:sz w:val="22"/>
          <w:szCs w:val="22"/>
          <w:color w:val="auto"/>
        </w:rPr>
      </w:pPr>
    </w:p>
    <w:p>
      <w:pPr>
        <w:ind w:left="2160" w:right="253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Hong Kong King-Friend Industrial Company Ltd. Suite 2808, 28/F, Exchange Tower</w:t>
      </w:r>
    </w:p>
    <w:p>
      <w:pPr>
        <w:spacing w:after="0" w:line="1" w:lineRule="exact"/>
        <w:rPr>
          <w:rFonts w:ascii="Times New Roman" w:cs="Times New Roman" w:eastAsia="Times New Roman" w:hAnsi="Times New Roman"/>
          <w:sz w:val="22"/>
          <w:szCs w:val="22"/>
          <w:color w:val="auto"/>
        </w:rPr>
      </w:pPr>
    </w:p>
    <w:p>
      <w:pPr>
        <w:ind w:left="2160" w:right="177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Wang Chiu Road, Kowloon Bay, Kowloon, Hong Kong Attention: Li Yue, Director</w:t>
      </w:r>
    </w:p>
    <w:p>
      <w:pPr>
        <w:spacing w:after="0" w:line="205" w:lineRule="exact"/>
        <w:rPr>
          <w:rFonts w:ascii="Times New Roman" w:cs="Times New Roman" w:eastAsia="Times New Roman" w:hAnsi="Times New Roman"/>
          <w:sz w:val="22"/>
          <w:szCs w:val="22"/>
          <w:color w:val="auto"/>
        </w:rPr>
      </w:pP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copy sent via mail and email to:</w:t>
      </w:r>
    </w:p>
    <w:p>
      <w:pPr>
        <w:spacing w:after="0" w:line="233" w:lineRule="exact"/>
        <w:rPr>
          <w:rFonts w:ascii="Times New Roman" w:cs="Times New Roman" w:eastAsia="Times New Roman" w:hAnsi="Times New Roman"/>
          <w:sz w:val="22"/>
          <w:szCs w:val="22"/>
          <w:color w:val="auto"/>
        </w:rPr>
      </w:pP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Meitheal Pharmaceuticals, Inc.</w:t>
      </w:r>
    </w:p>
    <w:p>
      <w:pPr>
        <w:spacing w:after="0" w:line="14" w:lineRule="exact"/>
        <w:rPr>
          <w:rFonts w:ascii="Times New Roman" w:cs="Times New Roman" w:eastAsia="Times New Roman" w:hAnsi="Times New Roman"/>
          <w:sz w:val="22"/>
          <w:szCs w:val="22"/>
          <w:color w:val="auto"/>
        </w:rPr>
      </w:pPr>
    </w:p>
    <w:p>
      <w:pPr>
        <w:ind w:left="2160" w:right="403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8700 W. Bryn Mawr, Suite 600S Chicago, IL 60631 Attention: Thomas Shea, CEO;</w:t>
      </w:r>
    </w:p>
    <w:p>
      <w:pPr>
        <w:spacing w:after="0" w:line="1" w:lineRule="exact"/>
        <w:rPr>
          <w:rFonts w:ascii="Times New Roman" w:cs="Times New Roman" w:eastAsia="Times New Roman" w:hAnsi="Times New Roman"/>
          <w:sz w:val="22"/>
          <w:szCs w:val="22"/>
          <w:color w:val="auto"/>
        </w:rPr>
      </w:pPr>
    </w:p>
    <w:p>
      <w:pPr>
        <w:ind w:left="2160" w:right="2899" w:firstLine="918"/>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Victoria Wohlfeil, General Counsel Email: [***]</w:t>
      </w:r>
    </w:p>
    <w:p>
      <w:pPr>
        <w:spacing w:after="0" w:line="205" w:lineRule="exact"/>
        <w:rPr>
          <w:rFonts w:ascii="Times New Roman" w:cs="Times New Roman" w:eastAsia="Times New Roman" w:hAnsi="Times New Roman"/>
          <w:sz w:val="22"/>
          <w:szCs w:val="22"/>
          <w:color w:val="auto"/>
        </w:rPr>
      </w:pPr>
    </w:p>
    <w:p>
      <w:pPr>
        <w:ind w:left="2160" w:right="101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mandated copy by mail and email (which shall not constitute notice) to:</w:t>
      </w:r>
    </w:p>
    <w:p>
      <w:pPr>
        <w:spacing w:after="0" w:line="185" w:lineRule="exact"/>
        <w:rPr>
          <w:rFonts w:ascii="Times New Roman" w:cs="Times New Roman" w:eastAsia="Times New Roman" w:hAnsi="Times New Roman"/>
          <w:sz w:val="22"/>
          <w:szCs w:val="22"/>
          <w:color w:val="auto"/>
        </w:rPr>
      </w:pPr>
    </w:p>
    <w:p>
      <w:pPr>
        <w:ind w:left="2160" w:right="415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Katten Muchin Rosenman LLP 525 W. Monroe Street Chicago, Illinois 60661 Attention: Brian Sodikoff;</w:t>
      </w:r>
    </w:p>
    <w:p>
      <w:pPr>
        <w:ind w:left="30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Roger J. Griesmeyer</w:t>
      </w:r>
    </w:p>
    <w:p>
      <w:pPr>
        <w:ind w:left="2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this Agreement nor any of the rights, interests or obligations hereunder shall be assigned by any Party (whether by operation of law or otherwise) without the prior written consent of the other Parties, and any such assignment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Buyer may assign or delegate this Agreement or any or all of its rights or obligations hereunder to an Affiliate without the prior written consent of Seller. No assignment by any Party shall relieve such Party of any of its obligations hereunder. Subject to the foregoing, this Agreement and all of the provisions hereof shall be binding upon, inure to the benefit of and be enforceable by the Parties and their respective successors and permitted assigns.</w:t>
      </w:r>
    </w:p>
    <w:p>
      <w:pPr>
        <w:spacing w:after="0" w:line="17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is held to be invalid, illegal or incapable of being enforced by any present or future Law, all other terms,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3" w:name="page44"/>
    <w:bookmarkEnd w:id="43"/>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conditions and provisions of this Agreement shall nevertheless remain in full force and effect so long as the economic or legal substance of the transactions contemplated hereby is not affected in any manner materially adverse to any Party. Upon a determination that any term or other provision of this Agreement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Acknowledgement and Release</w:t>
      </w:r>
      <w:r>
        <w:rPr>
          <w:rFonts w:ascii="Times New Roman" w:cs="Times New Roman" w:eastAsia="Times New Roman" w:hAnsi="Times New Roman"/>
          <w:sz w:val="22"/>
          <w:szCs w:val="22"/>
          <w:color w:val="auto"/>
        </w:rPr>
        <w:t>. Each Party acknowledges that Seller and Buyer are the sole Persons bound by, or liable with respect to, the obligations and Liabilities under this Agreement and the other Transaction Documents, and that, except in cases of Fraud, no Affiliate of a Party or any subsidiaries or any current or former officer, director, stockholder, agent, attorney, employee, representative, advisor or consultant of a Party or any other Person shall be bound by, or liable with respect to, any aspect of this Agreement and the other Transaction Documents.</w:t>
      </w:r>
    </w:p>
    <w:p>
      <w:pPr>
        <w:spacing w:after="0" w:line="18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claims and causes of action arising out of, based upon, or related to this Agreement or the negotiation, execution or performance hereof, shall be governed by, and construed, interpreted and enforced in accordance with, the Laws of the State of Delaware, without regard to choice or conflict of law principles that would result in the application of any Laws other than the Laws of the State of Delaware.</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9.7</w:t>
      </w:r>
      <w:r>
        <w:rPr>
          <w:sz w:val="20"/>
          <w:szCs w:val="20"/>
          <w:color w:val="auto"/>
        </w:rPr>
        <w:tab/>
      </w:r>
      <w:r>
        <w:rPr>
          <w:rFonts w:ascii="Times New Roman" w:cs="Times New Roman" w:eastAsia="Times New Roman" w:hAnsi="Times New Roman"/>
          <w:sz w:val="21"/>
          <w:szCs w:val="21"/>
          <w:u w:val="single" w:color="auto"/>
          <w:color w:val="auto"/>
        </w:rPr>
        <w:t>Submission to Jurisdiction; WAIVER OF JURY TRIAL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2"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irrevocably submits to the exclusive jurisdiction of (i) the Delaware Chancery Court and (ii) if the Delaware Chancery Court shall be unavailable, any other court of the State of Delaware or, in the case of claims to which the federal courts have exclusive subject matter jurisdiction, any federal court of the United States of America sitting in the State of Delaware, for the purposes of any Proceeding arising out of or relating to this Agreement or any transaction contemplated hereby (and agrees not to commence any Proceeding relating hereto except in such courts). Each of the Parties further agrees that service of any process, summons, notice or document hand delivered or sent by U.S. registered mail to such Party’s respective address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be effective service of process for any Proceeding in Delaware with respect to any matters to which it has submitted to jurisdiction as set forth in the immediately preceding sentence. Each of the Parties irrevocably and unconditionally waives any objection it may now or hereafter have to the laying of venue of any Proceeding arising out of or relating to this Agreement or the transactions contemplated hereby in (i) the Delaware Chancery Court and (ii) if the Delaware Chancery Court shall be unavailable, any other court of the State of Delaware or, in the case of claims to which the federal courts have exclusive subject matter jurisdiction, any federal court of the United States of America sitting in the State of Delaware, and hereby further irrevocably and unconditionally waives and agrees not to plead or claim in any such court that any such Proceeding brought in any such court has been brought in an inconvenient forum. Notwithstanding the foregoing, each Party agrees that a final judgment in any Proceeding so brought shall be conclusive and may be enforced by suit on the judgment in any jurisdiction or in any other manner provided in law or in equity.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jc w:val="both"/>
        <w:ind w:left="200" w:right="219" w:firstLine="1305"/>
        <w:spacing w:after="0" w:line="236"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IRREVOCABLY WAIVES TO THE FULLEST EXTENT PERMITTED BY APPLICABLE LAW ANY AND ALL RIGHT SUCH PARTY MAY HAVE TO TRIAL BY JURY IN ANY ACTION, CLAIM, SUIT OR PROCEEDING BETWEEN THE PARTIES HERETO ARISING OUT OF, BASED UPON OR RELATING TO THIS AGREEMENT OR THE NEGOTIATION, EXECUTION OR PERFORMANCE HEREOF.</w:t>
      </w:r>
    </w:p>
    <w:p>
      <w:pPr>
        <w:spacing w:after="0" w:line="182"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to the extent signed and delivered by means of a photographic, photostatic, facsimile, portable document format (.pdf), or similar reproduction of such signed writing using a facsimile machine or electronic mail, shall be treated in all manner and respects as an original agreement and shall be considered to have the same binding legal effect as if it were the original signed version thereof delivered in person. At the request of any Party, the other Party shall re-execute original forms and deliver them to the other Party. No party hereto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Party forever waives any such defense.</w:t>
      </w:r>
    </w:p>
    <w:p>
      <w:pPr>
        <w:spacing w:after="0" w:line="17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Incorporation of Schedules and Exhibits</w:t>
      </w:r>
      <w:r>
        <w:rPr>
          <w:rFonts w:ascii="Times New Roman" w:cs="Times New Roman" w:eastAsia="Times New Roman" w:hAnsi="Times New Roman"/>
          <w:sz w:val="22"/>
          <w:szCs w:val="22"/>
          <w:color w:val="auto"/>
        </w:rPr>
        <w:t>. All Schedules and all Exhibits attached hereto and referred to herein are hereby incorporated herein by reference and made a part of this Agreement for all purposes as if fully set forth herein.</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all Schedules and all Exhibits) and the Confidentiality Agreement constitute the entire agreement among the Parties with respect to the subject matter hereof and supersede all prior agreements and understandings among the Parties with respect thereto.</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Parties agree that irreparable damage would occur in the event that any provision of this Agreement were not performed in accordance with its specific terms or was otherwise breached and that monetary damages may not be an adequate remedy for any breach or threatened breach of any of the provisions of this Agreement. It is accordingly agreed that the Parties shall be entitled to an injunction or injunctions to prevent breaches of this Agreement and to enforce specifically the terms and provisions of this Agreement, and any such injunction shall be in addition to any other remedy to which any Party is entitled, at law or in equity.</w:t>
      </w:r>
    </w:p>
    <w:p>
      <w:pPr>
        <w:spacing w:after="0" w:line="178" w:lineRule="exact"/>
        <w:rPr>
          <w:sz w:val="20"/>
          <w:szCs w:val="20"/>
          <w:color w:val="auto"/>
        </w:rPr>
      </w:pPr>
    </w:p>
    <w:p>
      <w:pPr>
        <w:ind w:left="860"/>
        <w:spacing w:after="0"/>
        <w:tabs>
          <w:tab w:leader="none" w:pos="2140" w:val="left"/>
          <w:tab w:leader="none" w:pos="4840" w:val="left"/>
        </w:tabs>
        <w:rPr>
          <w:sz w:val="20"/>
          <w:szCs w:val="20"/>
          <w:color w:val="auto"/>
        </w:rPr>
      </w:pPr>
      <w:r>
        <w:rPr>
          <w:rFonts w:ascii="Times New Roman" w:cs="Times New Roman" w:eastAsia="Times New Roman" w:hAnsi="Times New Roman"/>
          <w:sz w:val="22"/>
          <w:szCs w:val="22"/>
          <w:color w:val="auto"/>
        </w:rPr>
        <w:t>Section 9.12</w:t>
      </w:r>
      <w:r>
        <w:rPr>
          <w:sz w:val="20"/>
          <w:szCs w:val="20"/>
          <w:color w:val="auto"/>
        </w:rPr>
        <w:tab/>
      </w:r>
      <w:r>
        <w:rPr>
          <w:rFonts w:ascii="Times New Roman" w:cs="Times New Roman" w:eastAsia="Times New Roman" w:hAnsi="Times New Roman"/>
          <w:sz w:val="22"/>
          <w:szCs w:val="22"/>
          <w:u w:val="single" w:color="auto"/>
          <w:color w:val="auto"/>
        </w:rPr>
        <w:t>Seller Disclosure Schedule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It is expressly understood and agreed that</w:t>
      </w:r>
    </w:p>
    <w:p>
      <w:pPr>
        <w:spacing w:after="0" w:line="14" w:lineRule="exact"/>
        <w:rPr>
          <w:sz w:val="20"/>
          <w:szCs w:val="20"/>
          <w:color w:val="auto"/>
        </w:rPr>
      </w:pPr>
    </w:p>
    <w:p>
      <w:pPr>
        <w:jc w:val="both"/>
        <w:ind w:left="200" w:right="219" w:firstLine="9"/>
        <w:spacing w:after="0" w:line="232" w:lineRule="auto"/>
        <w:tabs>
          <w:tab w:leader="none" w:pos="5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disclosure of any fact or item in any section of the Seller Disclosure Schedule shall be deemed disclosure with respect to any other Section under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relevance of the disclosure to such other Section is reasonably apparent on the face of the disclosure, and (b) the mere inclusion of an item in the Seller Disclosure Schedule as an exception to a representation or warranty shall not be deemed an admission that such item represents a material exception or material fact, event or circumstance or that such item has had or would be reasonably likely to have a Material Adverse Effect.</w:t>
      </w:r>
    </w:p>
    <w:p>
      <w:pPr>
        <w:spacing w:after="0" w:line="181"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9.13 </w:t>
      </w:r>
      <w:r>
        <w:rPr>
          <w:rFonts w:ascii="Times New Roman" w:cs="Times New Roman" w:eastAsia="Times New Roman" w:hAnsi="Times New Roman"/>
          <w:sz w:val="21"/>
          <w:szCs w:val="21"/>
          <w:u w:val="single" w:color="auto"/>
          <w:color w:val="auto"/>
        </w:rPr>
        <w:t>Mutual Drafting; Headings; Information Made Available</w:t>
      </w:r>
      <w:r>
        <w:rPr>
          <w:rFonts w:ascii="Times New Roman" w:cs="Times New Roman" w:eastAsia="Times New Roman" w:hAnsi="Times New Roman"/>
          <w:sz w:val="21"/>
          <w:szCs w:val="21"/>
          <w:color w:val="auto"/>
        </w:rPr>
        <w:t>. The Parties participated jointly in the negotiation and drafting of this Agreement and the language used in this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Agreement shall be deemed to be the language chosen by the Parties to express their mutual intent. If an ambiguity or question of intent or interpretation arises, then this Agreement will accordingly be construed as drafted jointly by the Parties, and no presumption or burden of proof will arise favoring or disfavoring any Party by virtue of the authorship of any of the provisions of this Agreement. The descriptive headings and table of contents contained in this Agreement are included for convenience of reference only and shall not affect in any way the meaning or interpretation of this Agreement. To the extent this Agreement refers to any document, agreement, instrument, certificate, Permit or Contract to be made available (or delivered or provided) to Buyer or its Representatives, Seller shall be deemed to have satisfied such obligation if Seller or any of its Representatives has made a true and complete electronic copy (including all amendments, supplements and other modifications thereto, and all assignments, guaranties, side letters and other documents related thereto) such document, agreement, instrument, certificate, Permit or Contract available to Buyer or any of its Representatives in an electronic data room at least [***] prior to the Closing Date which remains accessible to Buyer on the Closing Date.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ind w:left="200" w:right="39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Asset Purchase Agreement to be executed as of the date first written above.</w:t>
      </w:r>
    </w:p>
    <w:p>
      <w:pPr>
        <w:spacing w:after="0" w:line="15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COHERUS BIOSCIENCES, INC.</w:t>
      </w: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-13335</wp:posOffset>
            </wp:positionV>
            <wp:extent cx="10318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Dennis M. Lanfear</w:t>
      </w:r>
    </w:p>
    <w:p>
      <w:pPr>
        <w:ind w:left="41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8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HONG KONG KING-FRIEND INDUSTRIAL</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COMPANY LTD.</w:t>
      </w:r>
    </w:p>
    <w:p>
      <w:pPr>
        <w:spacing w:after="0" w:line="200" w:lineRule="exact"/>
        <w:rPr>
          <w:sz w:val="20"/>
          <w:szCs w:val="20"/>
          <w:color w:val="auto"/>
        </w:rPr>
      </w:pPr>
    </w:p>
    <w:p>
      <w:pPr>
        <w:spacing w:after="0" w:line="25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/s/ Eric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-13335</wp:posOffset>
            </wp:positionV>
            <wp:extent cx="14954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9542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Eric Tang</w:t>
      </w:r>
    </w:p>
    <w:p>
      <w:pPr>
        <w:ind w:left="410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PURCHASED ASSETS</w:t>
      </w:r>
    </w:p>
    <w:p>
      <w:pPr>
        <w:spacing w:after="0" w:line="200" w:lineRule="exact"/>
        <w:rPr>
          <w:sz w:val="20"/>
          <w:szCs w:val="20"/>
          <w:color w:val="auto"/>
        </w:rPr>
      </w:pPr>
    </w:p>
    <w:p>
      <w:pPr>
        <w:spacing w:after="0" w:line="2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EXCLUDED ASSETS</w:t>
      </w:r>
    </w:p>
    <w:p>
      <w:pPr>
        <w:spacing w:after="0" w:line="2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III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ASSUMED LIABILITIES</w:t>
      </w:r>
    </w:p>
    <w:p>
      <w:pPr>
        <w:spacing w:after="0" w:line="2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IV</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EXCLUDED LIABILITIES</w:t>
      </w:r>
    </w:p>
    <w:p>
      <w:pPr>
        <w:spacing w:after="0" w:line="2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SCHEDULE V</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ALLOCATION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VI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LICENSED ASSETS</w:t>
      </w:r>
    </w:p>
    <w:p>
      <w:pPr>
        <w:spacing w:after="0" w:line="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SCHEDULE VII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SELLER LETTER</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VIII</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BUYER LETTER</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5" w:name="page56"/>
    <w:bookmarkEnd w:id="55"/>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158115</wp:posOffset>
            </wp:positionV>
            <wp:extent cx="1354455"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544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Coherus BioSciences Announces Divestture of YUSIMRY</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(adalimumab-aqvh) in a $40 Million Upfront All Cash Transacton</w:t>
      </w:r>
    </w:p>
    <w:p>
      <w:pPr>
        <w:spacing w:after="0" w:line="23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Transacton aligns with Coherus’ strategic focus on oncology –</w:t>
      </w:r>
    </w:p>
    <w:p>
      <w:pPr>
        <w:spacing w:after="0" w:line="219" w:lineRule="exact"/>
        <w:rPr>
          <w:sz w:val="20"/>
          <w:szCs w:val="20"/>
          <w:color w:val="auto"/>
        </w:rPr>
      </w:pPr>
    </w:p>
    <w:p>
      <w:pPr>
        <w:ind w:right="180"/>
        <w:spacing w:after="0" w:line="236" w:lineRule="auto"/>
        <w:rPr>
          <w:sz w:val="20"/>
          <w:szCs w:val="20"/>
          <w:color w:val="auto"/>
        </w:rPr>
      </w:pPr>
      <w:r>
        <w:rPr>
          <w:rFonts w:ascii="Calibri" w:cs="Calibri" w:eastAsia="Calibri" w:hAnsi="Calibri"/>
          <w:sz w:val="20"/>
          <w:szCs w:val="20"/>
          <w:b w:val="1"/>
          <w:bCs w:val="1"/>
          <w:color w:val="auto"/>
        </w:rPr>
        <w:t xml:space="preserve">REDWOOD CITY, Calif., June 27, 2024 </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Coherus BioSciences, Inc</w:t>
      </w:r>
      <w:r>
        <w:rPr>
          <w:rFonts w:ascii="Calibri" w:cs="Calibri" w:eastAsia="Calibri" w:hAnsi="Calibri"/>
          <w:sz w:val="20"/>
          <w:szCs w:val="20"/>
          <w:color w:val="auto"/>
        </w:rPr>
        <w:t>. (Coherus, Nasdaq: CHRS) today announced it agreed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divest YUSIMRY (adalimumab-aqvh) to Hong Kong King-Friend Industrial Co. Ltd. (HKF) for up-front all-cash consideraton of $40 million. The closing of the transacton occurred on June 26, 2024. Meitheal Pharmaceutcals, Inc. (Meitheal), a wholly owned subsidiary of HKF, will contnue to commercialize YUSIMRY in the U.S.</w:t>
      </w:r>
    </w:p>
    <w:p>
      <w:pPr>
        <w:spacing w:after="0" w:line="228"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“With the divesture of YUSIMRY, Coherus reinforces its strategic focus on oncology,” said Denny Lanfear, Coherus Chairman and Chief Executve Ofcer. “The proceeds from the sale of YUSIMRY will bolster our cash positon, advance our eforts to become a sustainable and growing oncology company and efciently allocate our resources for maximum value creaton.”</w:t>
      </w:r>
    </w:p>
    <w:p>
      <w:pPr>
        <w:spacing w:after="0" w:line="228" w:lineRule="exact"/>
        <w:rPr>
          <w:sz w:val="20"/>
          <w:szCs w:val="20"/>
          <w:color w:val="auto"/>
        </w:rPr>
      </w:pPr>
    </w:p>
    <w:p>
      <w:pPr>
        <w:ind w:right="280"/>
        <w:spacing w:after="0" w:line="236" w:lineRule="auto"/>
        <w:rPr>
          <w:sz w:val="20"/>
          <w:szCs w:val="20"/>
          <w:color w:val="auto"/>
        </w:rPr>
      </w:pPr>
      <w:r>
        <w:rPr>
          <w:rFonts w:ascii="Calibri" w:cs="Calibri" w:eastAsia="Calibri" w:hAnsi="Calibri"/>
          <w:sz w:val="20"/>
          <w:szCs w:val="20"/>
          <w:color w:val="auto"/>
        </w:rPr>
        <w:t>Coherus’ oncology assets include LOQTORZI® (toripalimab-tpzi), an FDA-approved, next-generaton PD-1 inhibitor, the UDENYCA® (pegflgrastm-cbqv) franchise, with three FDA-approved presentatons; and an innovatve clinical-stage, immuno-oncology portolio focused on the tumor microenvironment.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Latham &amp; Watkins LLP provided Coherus with legal counsel regarding the transacton.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Coherus BioSciences</w:t>
      </w:r>
    </w:p>
    <w:p>
      <w:pPr>
        <w:spacing w:after="0" w:line="225" w:lineRule="exact"/>
        <w:rPr>
          <w:sz w:val="20"/>
          <w:szCs w:val="20"/>
          <w:color w:val="auto"/>
        </w:rPr>
      </w:pPr>
    </w:p>
    <w:p>
      <w:pPr>
        <w:ind w:right="720"/>
        <w:spacing w:after="0" w:line="236" w:lineRule="auto"/>
        <w:rPr>
          <w:sz w:val="20"/>
          <w:szCs w:val="20"/>
          <w:color w:val="auto"/>
        </w:rPr>
      </w:pPr>
      <w:r>
        <w:rPr>
          <w:rFonts w:ascii="Calibri" w:cs="Calibri" w:eastAsia="Calibri" w:hAnsi="Calibri"/>
          <w:sz w:val="20"/>
          <w:szCs w:val="20"/>
          <w:color w:val="auto"/>
        </w:rPr>
        <w:t>Coherus is a commercial-stage biopharmaceutcal company focused on the research, development and commercializaton of innovatve immunotherapies to treat cancer. Coherus is developing an innovatve immuno-oncology pipeline that is expected to be synergistc with its proven commercial capabilites in oncology.</w:t>
      </w:r>
    </w:p>
    <w:p>
      <w:pPr>
        <w:spacing w:after="0" w:line="225" w:lineRule="exact"/>
        <w:rPr>
          <w:sz w:val="20"/>
          <w:szCs w:val="20"/>
          <w:color w:val="auto"/>
        </w:rPr>
      </w:pPr>
    </w:p>
    <w:p>
      <w:pPr>
        <w:ind w:right="100"/>
        <w:spacing w:after="0"/>
        <w:rPr>
          <w:sz w:val="20"/>
          <w:szCs w:val="20"/>
          <w:color w:val="auto"/>
        </w:rPr>
      </w:pPr>
      <w:r>
        <w:rPr>
          <w:rFonts w:ascii="Calibri" w:cs="Calibri" w:eastAsia="Calibri" w:hAnsi="Calibri"/>
          <w:sz w:val="20"/>
          <w:szCs w:val="20"/>
          <w:color w:val="auto"/>
        </w:rPr>
        <w:t>Coherus’ immuno-oncology pipeline includes multple antbody immunotherapy candidates focused on enhancing the innate and adaptve immune responses to enable a robust anttumor immunologic response and enhance outcomes for patents with cancer. Casdozokitug is a novel IL-27 antagonistc antbody currently being evaluated in two ongoing clinical studies: a Phase 1/2 study in advanced solid tumors and a Phase 2 study in hepatocellular carcinoma. CHS-114 is a highly selectve, compettvely positoned, cytolytc ant-CCR8 antbody currently in a Phase 1 study in patents with advanced solid tumors. CHS-1000 is a preclinical candidate targetng immune-suppressive mechanisms via the novel pathway ILT4.</w:t>
      </w:r>
    </w:p>
    <w:p>
      <w:pPr>
        <w:spacing w:after="0" w:line="200" w:lineRule="exact"/>
        <w:rPr>
          <w:sz w:val="20"/>
          <w:szCs w:val="20"/>
          <w:color w:val="auto"/>
        </w:rPr>
      </w:pPr>
    </w:p>
    <w:p>
      <w:pPr>
        <w:spacing w:after="0" w:line="252"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color w:val="auto"/>
        </w:rPr>
        <w:t>Coherus markets LOQTORZI® (toripalimab-tpzi), a novel next-generaton PD-1 inhibitor, and UDENYCA® (pegflgrastm-cbqv), a biosimilar of Neulasta.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655955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5" w:right="999" w:bottom="1440" w:gutter="0" w:footer="0" w:header="0"/>
        </w:sectPr>
      </w:pPr>
    </w:p>
    <w:bookmarkStart w:id="56" w:name="page57"/>
    <w:bookmarkEnd w:id="56"/>
    <w:p>
      <w:pPr>
        <w:spacing w:after="0"/>
        <w:rPr>
          <w:sz w:val="20"/>
          <w:szCs w:val="20"/>
          <w:color w:val="auto"/>
        </w:rPr>
      </w:pPr>
      <w:r>
        <w:rPr>
          <w:rFonts w:ascii="Calibri" w:cs="Calibri" w:eastAsia="Calibri" w:hAnsi="Calibri"/>
          <w:sz w:val="20"/>
          <w:szCs w:val="20"/>
          <w:color w:val="auto"/>
        </w:rPr>
        <w:t>Neulasta® is a registered trademark of Amgen, Inc.</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225"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color w:val="auto"/>
        </w:rPr>
        <w:t>Except for the historical informaton contained herein, the maters set forth in this press release are forward-looking statements within the meaning of the “safe harbor” provisions of the Private Securites Litgaton Reform Act of 1995, including, but not limited to, statements regarding Coherus’ ability to identfy synergies between its I-O pipeline and its commercial operatons; Coherus’ expectatons for the use of the proceeds from the sale of YUSIMRY and Coherus’ statements about its ability to create value in the future.</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color w:val="auto"/>
        </w:rPr>
        <w:t>Such forward-looking statements involve substantal risks and uncertaintes that could cause Coherus’ actual results, performance or achievements to difer signifcantly from any future results, performance or achievements expressed or implied by the forward-looking statements. Such risks and uncertaintes include, among others, the risks and uncertaintes inherent in the clinical drug development process; risks related to Coherus’ existng and potental collaboraton partners; risks of Coherus’ compettve positon; the risks and uncertaintes of the regulatory approval process, including the speed of regulatory review and the tming of Coherus’ regulatory flings; the risk of FDA review issues; the risks of competton; the risk that Coherus is unable to complete commercial transactons and other maters that could afect the availability or commercial potental of Coherus’ products and product candidates; and the risks and uncertaintes of possible litgaton. All forward-looking statements contained in this press release speak only as of the date of this press release. Coherus undertakes no obligaton to update or revise any forward-looking statements. For a further descripton of the signifcant risks and uncertaintes that could cause actual results to difer from those expressed in these forward-looking statements, as well as risks relatng to Coherus’ business in general, see Coherus’ quarterly fling on Form 10-Q for the fscal quarter ended March 31, 2024 fled with the Securites and Exchange Commission on May 9, 2024, including the secton therein captoned “Risk Factors” and in other documents Coherus fles with the Securites and Exchange Commission.</w:t>
      </w:r>
    </w:p>
    <w:p>
      <w:pPr>
        <w:spacing w:after="0" w:line="200" w:lineRule="exact"/>
        <w:rPr>
          <w:sz w:val="20"/>
          <w:szCs w:val="20"/>
          <w:color w:val="auto"/>
        </w:rPr>
      </w:pPr>
    </w:p>
    <w:p>
      <w:pPr>
        <w:spacing w:after="0" w:line="243" w:lineRule="exact"/>
        <w:rPr>
          <w:sz w:val="20"/>
          <w:szCs w:val="20"/>
          <w:color w:val="auto"/>
        </w:rPr>
      </w:pPr>
    </w:p>
    <w:p>
      <w:pPr>
        <w:jc w:val="both"/>
        <w:ind w:right="220"/>
        <w:spacing w:after="0" w:line="236" w:lineRule="auto"/>
        <w:rPr>
          <w:sz w:val="20"/>
          <w:szCs w:val="20"/>
          <w:color w:val="auto"/>
        </w:rPr>
      </w:pPr>
      <w:r>
        <w:rPr>
          <w:rFonts w:ascii="Calibri" w:cs="Calibri" w:eastAsia="Calibri" w:hAnsi="Calibri"/>
          <w:sz w:val="20"/>
          <w:szCs w:val="20"/>
          <w:color w:val="auto"/>
        </w:rPr>
        <w:t>UDENYCA® and LOQTORZI®, whether or not appearing in large print or with the trademark symbol, are trademarks of Coherus, its afliates, related companies or its licensors or joint venture partners unless otherwise noted. Trademarks and trade names of other companies appearing in this press release are, to the knowledge of Coherus, the property of their respectve owners.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Coherus BioSciences Contact Informaton: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For investors:</w:t>
      </w:r>
    </w:p>
    <w:p>
      <w:pPr>
        <w:spacing w:after="0" w:line="238" w:lineRule="auto"/>
        <w:rPr>
          <w:sz w:val="20"/>
          <w:szCs w:val="20"/>
          <w:color w:val="auto"/>
        </w:rPr>
      </w:pPr>
      <w:r>
        <w:rPr>
          <w:rFonts w:ascii="Calibri" w:cs="Calibri" w:eastAsia="Calibri" w:hAnsi="Calibri"/>
          <w:sz w:val="20"/>
          <w:szCs w:val="20"/>
          <w:color w:val="auto"/>
        </w:rPr>
        <w:t>Jami Taylor, MBA, IRC</w:t>
      </w:r>
    </w:p>
    <w:p>
      <w:pPr>
        <w:spacing w:after="0"/>
        <w:rPr>
          <w:sz w:val="20"/>
          <w:szCs w:val="20"/>
          <w:color w:val="auto"/>
        </w:rPr>
      </w:pPr>
      <w:r>
        <w:rPr>
          <w:rFonts w:ascii="Calibri" w:cs="Calibri" w:eastAsia="Calibri" w:hAnsi="Calibri"/>
          <w:sz w:val="20"/>
          <w:szCs w:val="20"/>
          <w:color w:val="auto"/>
        </w:rPr>
        <w:t>Head of Investor Relatons</w:t>
      </w:r>
    </w:p>
    <w:p>
      <w:pPr>
        <w:spacing w:after="0" w:line="238" w:lineRule="auto"/>
        <w:rPr>
          <w:sz w:val="20"/>
          <w:szCs w:val="20"/>
          <w:color w:val="auto"/>
        </w:rPr>
      </w:pPr>
      <w:r>
        <w:rPr>
          <w:rFonts w:ascii="Calibri" w:cs="Calibri" w:eastAsia="Calibri" w:hAnsi="Calibri"/>
          <w:sz w:val="20"/>
          <w:szCs w:val="20"/>
          <w:color w:val="auto"/>
        </w:rPr>
        <w:t>IR@coherus.com</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For media:</w:t>
      </w:r>
    </w:p>
    <w:p>
      <w:pPr>
        <w:spacing w:after="0" w:line="238" w:lineRule="auto"/>
        <w:rPr>
          <w:sz w:val="20"/>
          <w:szCs w:val="20"/>
          <w:color w:val="auto"/>
        </w:rPr>
      </w:pPr>
      <w:r>
        <w:rPr>
          <w:rFonts w:ascii="Calibri" w:cs="Calibri" w:eastAsia="Calibri" w:hAnsi="Calibri"/>
          <w:sz w:val="20"/>
          <w:szCs w:val="20"/>
          <w:color w:val="auto"/>
        </w:rPr>
        <w:t>Jodi Sievers</w:t>
      </w:r>
    </w:p>
    <w:p>
      <w:pPr>
        <w:spacing w:after="0"/>
        <w:rPr>
          <w:sz w:val="20"/>
          <w:szCs w:val="20"/>
          <w:color w:val="auto"/>
        </w:rPr>
      </w:pPr>
      <w:r>
        <w:rPr>
          <w:rFonts w:ascii="Calibri" w:cs="Calibri" w:eastAsia="Calibri" w:hAnsi="Calibri"/>
          <w:sz w:val="20"/>
          <w:szCs w:val="20"/>
          <w:color w:val="auto"/>
        </w:rPr>
        <w:t>VP, Corporate Communicatons</w:t>
      </w:r>
    </w:p>
    <w:p>
      <w:pPr>
        <w:spacing w:after="0" w:line="238" w:lineRule="auto"/>
        <w:rPr>
          <w:sz w:val="20"/>
          <w:szCs w:val="20"/>
          <w:color w:val="auto"/>
        </w:rPr>
      </w:pPr>
      <w:r>
        <w:rPr>
          <w:rFonts w:ascii="Calibri" w:cs="Calibri" w:eastAsia="Calibri" w:hAnsi="Calibri"/>
          <w:sz w:val="20"/>
          <w:szCs w:val="20"/>
          <w:color w:val="auto"/>
        </w:rPr>
        <w:t>media@coherus.com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5" w:right="999" w:bottom="1440" w:gutter="0" w:footer="0" w:header="0"/>
        </w:sectPr>
      </w:pPr>
    </w:p>
    <w:bookmarkStart w:id="57" w:name="page58"/>
    <w:bookmarkEnd w:id="57"/>
    <w:p>
      <w:pPr>
        <w:ind w:left="78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left="200" w:right="219" w:firstLine="454"/>
        <w:spacing w:after="0" w:line="261" w:lineRule="auto"/>
        <w:rPr>
          <w:sz w:val="20"/>
          <w:szCs w:val="20"/>
          <w:color w:val="auto"/>
        </w:rPr>
      </w:pPr>
      <w:r>
        <w:rPr>
          <w:rFonts w:ascii="Times New Roman" w:cs="Times New Roman" w:eastAsia="Times New Roman" w:hAnsi="Times New Roman"/>
          <w:sz w:val="18"/>
          <w:szCs w:val="18"/>
          <w:color w:val="auto"/>
        </w:rPr>
        <w:t>On June 26, 2024, Coherus BioSciences, Inc., a Delaware corporation (“Coherus”), entered into an Asset Purchase Agreement (the “Purchase Agreement”) by and between Coherus and Hong Kong King-Friend Industrial Company Ltd., a Hong Kong corporation (“HKF”). HKF is the parent company of Meitheal Pharmaceuticals, Inc., a Delaware corporation.</w:t>
      </w:r>
    </w:p>
    <w:p>
      <w:pPr>
        <w:spacing w:after="0" w:line="180" w:lineRule="exact"/>
        <w:rPr>
          <w:sz w:val="20"/>
          <w:szCs w:val="20"/>
          <w:color w:val="auto"/>
        </w:rPr>
      </w:pPr>
    </w:p>
    <w:p>
      <w:pPr>
        <w:jc w:val="both"/>
        <w:ind w:left="200" w:right="219" w:firstLine="454"/>
        <w:spacing w:after="0" w:line="255"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Purchase Agreement, Coherus agreed to divest its YUSIMRY (adalimumab-aqvh) franchise through the sale of certain assets, including YUSIMRY, intellectual property exclusively related to YUSIMRY, certain contracts related to YUSIMRY, YUSIMRY inventory, and all activities related to research and development of YUSIMRY, to HKF and the assumption of certain liabilities by HKF, including $17.0 million of inventory purchase commitments, but not including certain identified excluded assets and excluded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(collectively, the “YUSIMRY Disposition”) for upfront, all-cash consideration of $40.0 million paid on June 26, 2024.</w:t>
      </w:r>
    </w:p>
    <w:p>
      <w:pPr>
        <w:spacing w:after="0" w:line="189" w:lineRule="exact"/>
        <w:rPr>
          <w:sz w:val="20"/>
          <w:szCs w:val="20"/>
          <w:color w:val="auto"/>
        </w:rPr>
      </w:pPr>
    </w:p>
    <w:p>
      <w:pPr>
        <w:jc w:val="both"/>
        <w:ind w:left="200" w:right="239" w:firstLine="454"/>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the closing of the YUSIMRY Disposition occurred on June 26, 2024 (the “YUSIMRY Disposition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left="200" w:right="219" w:firstLine="454"/>
        <w:spacing w:after="0" w:line="252" w:lineRule="auto"/>
        <w:rPr>
          <w:sz w:val="20"/>
          <w:szCs w:val="20"/>
          <w:color w:val="auto"/>
        </w:rPr>
      </w:pPr>
      <w:r>
        <w:rPr>
          <w:rFonts w:ascii="Times New Roman" w:cs="Times New Roman" w:eastAsia="Times New Roman" w:hAnsi="Times New Roman"/>
          <w:sz w:val="18"/>
          <w:szCs w:val="18"/>
          <w:color w:val="auto"/>
        </w:rPr>
        <w:t>The purpose of the following unaudited pro forma condensed combined financial information is to reflect the closing of the YUSIMRY Disposition. The following unaudited pro forma condensed combined financial information included herein includes updated information in accordance with Article 11 of Regulation S-X and presents the unaudited pro forma condensed combined balance sheet and the unaudited pro forma condensed combined statements of operations of Coherus after giving pro forma effect to (i) the YUSIMRY Disposition, (ii) the divestiture of Coherus’ ophthalmology franchise through the sale of its subsidiary, Coherus Ophthalmology LLC (“CIMERLI Disposition”) and transactions related to the CIMERLI Disposition including the concurrent partial prepayment of Coherus’ term loans due in January 2027 (the “2027 Term Loans”) that occurred in April 2024 and (iii) the acquisition (the “Surface Merger”, and, together with the YUSIMRY Disposition and the CIMERLI Disposition, the “Combined Transactions”) of Surface Oncology, Inc. (“Surface”). Surface’s historical operations for the period prior to the Surface Acquisition Date (“Pre-Acquisition Surface”) are presented separately in the pro forma condensed combined financial information and the historical operations for the period including and after the Surface Acquisition Date for the surviving subsidiary of the Surface Merger, Surface Oncology, LLC, which is a wholly owned subsidiary of Coherus, have been presented within the consolidated results of Coherus.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below has been derived from:</w:t>
      </w:r>
    </w:p>
    <w:p>
      <w:pPr>
        <w:spacing w:after="0" w:line="117" w:lineRule="exact"/>
        <w:rPr>
          <w:sz w:val="20"/>
          <w:szCs w:val="20"/>
          <w:color w:val="auto"/>
        </w:rPr>
      </w:pPr>
    </w:p>
    <w:p>
      <w:pPr>
        <w:ind w:left="900" w:right="239" w:hanging="259"/>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Coherus contained in its Annual Report on Form 10-K for the year ended December 31, 2023;</w:t>
      </w:r>
    </w:p>
    <w:p>
      <w:pPr>
        <w:spacing w:after="0" w:line="188" w:lineRule="exact"/>
        <w:rPr>
          <w:rFonts w:ascii="Times New Roman" w:cs="Times New Roman" w:eastAsia="Times New Roman" w:hAnsi="Times New Roman"/>
          <w:sz w:val="18"/>
          <w:szCs w:val="18"/>
          <w:color w:val="auto"/>
        </w:rPr>
      </w:pPr>
    </w:p>
    <w:p>
      <w:pPr>
        <w:jc w:val="both"/>
        <w:ind w:left="900" w:right="219" w:hanging="259"/>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information of Coherus as of and for the three months ended March 31, 2024 contained in its Quarterly Report on Form 10-Q for the period ended March 31, 2024;</w:t>
      </w:r>
    </w:p>
    <w:p>
      <w:pPr>
        <w:spacing w:after="0" w:line="162" w:lineRule="exact"/>
        <w:rPr>
          <w:rFonts w:ascii="Times New Roman" w:cs="Times New Roman" w:eastAsia="Times New Roman" w:hAnsi="Times New Roman"/>
          <w:sz w:val="18"/>
          <w:szCs w:val="18"/>
          <w:color w:val="auto"/>
        </w:rPr>
      </w:pPr>
    </w:p>
    <w:p>
      <w:pPr>
        <w:jc w:val="both"/>
        <w:ind w:left="900" w:right="239" w:hanging="259"/>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Surface as of June 30, 2023 and for the six months ended June 30, 2023 filed as Exhibit 99.1 to Coherus’ Current Report on Form 8-K/A filed on November 13, 2023;</w:t>
      </w:r>
    </w:p>
    <w:p>
      <w:pPr>
        <w:spacing w:after="0" w:line="202" w:lineRule="exact"/>
        <w:rPr>
          <w:rFonts w:ascii="Times New Roman" w:cs="Times New Roman" w:eastAsia="Times New Roman" w:hAnsi="Times New Roman"/>
          <w:sz w:val="18"/>
          <w:szCs w:val="18"/>
          <w:color w:val="auto"/>
        </w:rPr>
      </w:pPr>
    </w:p>
    <w:p>
      <w:pPr>
        <w:ind w:left="900" w:right="239" w:hanging="259"/>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information and the related accounting records of Surface’s operations for the period from July 1, 2023 to the Surface Acquisition Date;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8" w:name="page59"/>
    <w:bookmarkEnd w:id="58"/>
    <w:p>
      <w:pPr>
        <w:ind w:left="900" w:right="219" w:hanging="259"/>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accounting records of YUSIMRY operations for the year ended December 31, 2023 and the three months ended March 31, 2024.</w:t>
      </w:r>
    </w:p>
    <w:p>
      <w:pPr>
        <w:spacing w:after="0" w:line="162" w:lineRule="exact"/>
        <w:rPr>
          <w:sz w:val="20"/>
          <w:szCs w:val="20"/>
          <w:color w:val="auto"/>
        </w:rPr>
      </w:pPr>
    </w:p>
    <w:p>
      <w:pPr>
        <w:jc w:val="both"/>
        <w:ind w:left="200" w:right="219" w:firstLine="45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Regulation S-X Article 11, Pro Forma Financial Information, as amended by the final rule, Release No. 33-10786 “Amendments to Financial Disclosures about Acquired and Disposed Businesses,” which is referred herein as “Article 11.” Article 11 provides the following pro forma adjustments to the historical financial information:</w:t>
      </w:r>
    </w:p>
    <w:p>
      <w:pPr>
        <w:spacing w:after="0" w:line="178" w:lineRule="exact"/>
        <w:rPr>
          <w:sz w:val="20"/>
          <w:szCs w:val="20"/>
          <w:color w:val="auto"/>
        </w:rPr>
      </w:pPr>
    </w:p>
    <w:p>
      <w:pPr>
        <w:ind w:left="900" w:right="239" w:hanging="259"/>
        <w:spacing w:after="0" w:line="284"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Accounting Adjustments </w:t>
      </w:r>
      <w:r>
        <w:rPr>
          <w:rFonts w:ascii="Times New Roman" w:cs="Times New Roman" w:eastAsia="Times New Roman" w:hAnsi="Times New Roman"/>
          <w:sz w:val="18"/>
          <w:szCs w:val="18"/>
          <w:color w:val="auto"/>
        </w:rPr>
        <w:t>– Adjustments that reflect only the application of required accounting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disposition, or other transaction.</w:t>
      </w:r>
    </w:p>
    <w:p>
      <w:pPr>
        <w:spacing w:after="0" w:line="185" w:lineRule="exact"/>
        <w:rPr>
          <w:rFonts w:ascii="Times New Roman" w:cs="Times New Roman" w:eastAsia="Times New Roman" w:hAnsi="Times New Roman"/>
          <w:sz w:val="18"/>
          <w:szCs w:val="18"/>
          <w:color w:val="auto"/>
        </w:rPr>
      </w:pPr>
    </w:p>
    <w:p>
      <w:pPr>
        <w:ind w:left="900" w:right="239" w:hanging="259"/>
        <w:spacing w:after="0" w:line="284"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Autonomous Entity Adjustments </w:t>
      </w:r>
      <w:r>
        <w:rPr>
          <w:rFonts w:ascii="Times New Roman" w:cs="Times New Roman" w:eastAsia="Times New Roman" w:hAnsi="Times New Roman"/>
          <w:sz w:val="18"/>
          <w:szCs w:val="18"/>
          <w:color w:val="auto"/>
        </w:rPr>
        <w:t>– Adjustments that are necessary to reflect the operations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of the registrant as an autonomous entity when the registrant was previously part of another entity.</w:t>
      </w:r>
    </w:p>
    <w:p>
      <w:pPr>
        <w:spacing w:after="0" w:line="160"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The transaction accounting adjustments are based on available information and assumptions that Coherus’ management believes are reasonable. However, such adjustments are preliminary estimates and actual experience may differ materially from expectations. There were no autonomous entity adjustments. Article 11 permits presentation of reasonably estimable synergies, dis-synergies and other transaction effects that have occurred or are expected to occur (“Management’s Adjustments”); however, Coherus has elected not to present Management’s Adjustments. No tax effects related to Transaction Accounting Adjustments were included as the related impacts were immaterial.</w:t>
      </w:r>
    </w:p>
    <w:p>
      <w:pPr>
        <w:spacing w:after="0" w:line="187" w:lineRule="exact"/>
        <w:rPr>
          <w:sz w:val="20"/>
          <w:szCs w:val="20"/>
          <w:color w:val="auto"/>
        </w:rPr>
      </w:pPr>
    </w:p>
    <w:p>
      <w:pPr>
        <w:jc w:val="both"/>
        <w:ind w:left="200" w:right="219" w:firstLine="454"/>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three months ended March 31, 2024 and for the year ended December 31, 2023 were prepared as though the Combined Transactions occurred on January 1, 2023. The unaudited pro forma condensed combined balance sheet as of March 31, 2024 was prepared as though the YUSIMRY Disposition occurred on March 31, 2024. The unaudited pro forma condensed combined financial information is for illustrative purposes only, does not reflect what Coherus’ financial position and results of operations would have been had the Combined Transactions occurred on the dates indicated, is not necessarily indicative of Coherus’ future financial position and future results of operations and does not reflect all actions that may be taken by Coherus after the closing of the Combined Transactions. Additionally, the unaudited pro forma condensed combined financial information does not give effect to anticipated synergies, dis-synergies, operating efficiencies, tax savings or cost savings that may be associated with the Combined Transactions including the related transactions. There were no existing contractual relationships between (i) Coherus and Surface, (ii) Coherus and Sandoz Inc. (“Sandoz”) or (iii) Coherus and HFK during the periods presented in the unaudited pro forma condensed combined financial information. The unaudited pro forma condensed combined financial information constitutes forward-looking information, is subject to certain risks and uncertainties that could cause actual results to differ materially from those anticipated and should be read in conjunction with the accompanying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CIMERLI</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YUSIMRY</w:t>
            </w:r>
          </w:p>
        </w:tc>
        <w:tc>
          <w:tcPr>
            <w:tcW w:w="8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Coherus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(3a)</w:t>
            </w:r>
          </w:p>
        </w:tc>
        <w:tc>
          <w:tcPr>
            <w:tcW w:w="22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(3b)</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38,850</w:t>
            </w:r>
          </w:p>
        </w:tc>
        <w:tc>
          <w:tcPr>
            <w:tcW w:w="100" w:type="dxa"/>
            <w:vAlign w:val="bottom"/>
          </w:tcPr>
          <w:p>
            <w:pPr>
              <w:spacing w:after="0"/>
              <w:rPr>
                <w:sz w:val="17"/>
                <w:szCs w:val="17"/>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2"/>
              </w:rPr>
              <w:t>3c</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(181,846)</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3d</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Trade receivables,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CIMERLI TSA receivables,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manufacturing</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prepaids and current assets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Inventory, non-current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 non-current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763,545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(142,996)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562,936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Liabilities and stockholders' deficit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rebates, fees and reserves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CIMERLI TSA payables and other accrued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Term loans, current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loans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100" w:type="dxa"/>
            <w:vAlign w:val="bottom"/>
          </w:tcPr>
          <w:p>
            <w:pPr>
              <w:spacing w:after="0"/>
              <w:rPr>
                <w:sz w:val="17"/>
                <w:szCs w:val="17"/>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3d</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Convertible notes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($0.0001 par value; shares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authorized: 5,000,000; shares issued and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outstanding: 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($0.0001 par value; shares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authorized: 300,000,000; shares issued and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 113,496,854)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1,395,042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(1,476,625)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38,850</w:t>
            </w:r>
          </w:p>
        </w:tc>
        <w:tc>
          <w:tcPr>
            <w:tcW w:w="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2"/>
              </w:rPr>
              <w:t>3c</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(81,844)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(142,996)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96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CIMERLI Disposition</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CIMERLI</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61"/>
              <w:spacing w:after="0" w:line="124" w:lineRule="exact"/>
              <w:rPr>
                <w:sz w:val="20"/>
                <w:szCs w:val="20"/>
                <w:color w:val="auto"/>
              </w:rPr>
            </w:pPr>
            <w:r>
              <w:rPr>
                <w:rFonts w:ascii="Times New Roman" w:cs="Times New Roman" w:eastAsia="Times New Roman" w:hAnsi="Times New Roman"/>
                <w:sz w:val="14"/>
                <w:szCs w:val="14"/>
                <w:b w:val="1"/>
                <w:bCs w:val="1"/>
                <w:color w:val="auto"/>
              </w:rPr>
              <w:t>CIMERLI</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YUSIMRY</w:t>
            </w:r>
          </w:p>
        </w:tc>
        <w:tc>
          <w:tcPr>
            <w:tcW w:w="120" w:type="dxa"/>
            <w:vAlign w:val="bottom"/>
          </w:tcPr>
          <w:p>
            <w:pPr>
              <w:spacing w:after="0"/>
              <w:rPr>
                <w:sz w:val="10"/>
                <w:szCs w:val="10"/>
                <w:color w:val="auto"/>
              </w:rPr>
            </w:pPr>
          </w:p>
        </w:tc>
        <w:tc>
          <w:tcPr>
            <w:tcW w:w="10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Coherus</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(4f)</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(4i)</w:t>
            </w: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119,588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160" w:type="dxa"/>
            <w:vAlign w:val="bottom"/>
          </w:tcPr>
          <w:p>
            <w:pPr>
              <w:spacing w:after="0"/>
              <w:rPr>
                <w:sz w:val="17"/>
                <w:szCs w:val="17"/>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4h</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Transaction, net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(160,856)</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4g</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(154,378)</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shares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used in computing basic net income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per share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112,749,306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112,754,192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number of shares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used in computing diluted net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125,529,971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112,754,192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shares and per share data)</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Surface</w:t>
            </w:r>
          </w:p>
        </w:tc>
        <w:tc>
          <w:tcPr>
            <w:tcW w:w="36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CIMERLI Disposition</w:t>
            </w:r>
          </w:p>
        </w:tc>
        <w:tc>
          <w:tcPr>
            <w:tcW w:w="34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YUSIMRY Disposition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Pre-</w:t>
            </w: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CIMERLI</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YUSIMRY</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2"/>
                <w:szCs w:val="12"/>
                <w:color w:val="auto"/>
              </w:rPr>
            </w:pPr>
          </w:p>
        </w:tc>
        <w:tc>
          <w:tcPr>
            <w:tcW w:w="15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CIMERLI Transaction</w:t>
            </w:r>
          </w:p>
        </w:tc>
        <w:tc>
          <w:tcPr>
            <w:tcW w:w="340" w:type="dxa"/>
            <w:vAlign w:val="bottom"/>
          </w:tcPr>
          <w:p>
            <w:pPr>
              <w:spacing w:after="0"/>
              <w:rPr>
                <w:sz w:val="12"/>
                <w:szCs w:val="12"/>
                <w:color w:val="auto"/>
              </w:rPr>
            </w:pPr>
          </w:p>
        </w:tc>
        <w:tc>
          <w:tcPr>
            <w:tcW w:w="18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YUSIMRYTransaction</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Coherus</w:t>
            </w: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Accounting</w:t>
            </w:r>
          </w:p>
        </w:tc>
        <w:tc>
          <w:tcPr>
            <w:tcW w:w="36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 Accounting</w:t>
            </w:r>
          </w:p>
        </w:tc>
        <w:tc>
          <w:tcPr>
            <w:tcW w:w="340" w:type="dxa"/>
            <w:vAlign w:val="bottom"/>
          </w:tcPr>
          <w:p>
            <w:pPr>
              <w:spacing w:after="0"/>
              <w:rPr>
                <w:sz w:val="12"/>
                <w:szCs w:val="12"/>
                <w:color w:val="auto"/>
              </w:rPr>
            </w:pPr>
          </w:p>
        </w:tc>
        <w:tc>
          <w:tcPr>
            <w:tcW w:w="18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 Accounting</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Surface</w:t>
            </w: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AdjustmentsNotes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(4f)</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AdjustmentsNotes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(4i)</w:t>
            </w: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AdjustmentNotes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257,244</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(125,388)</w:t>
            </w:r>
          </w:p>
        </w:tc>
        <w:tc>
          <w:tcPr>
            <w:tcW w:w="180" w:type="dxa"/>
            <w:vAlign w:val="bottom"/>
            <w:tcBorders>
              <w:bottom w:val="single" w:sz="8" w:color="auto"/>
            </w:tcBorders>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w:t>
            </w:r>
          </w:p>
        </w:tc>
        <w:tc>
          <w:tcPr>
            <w:tcW w:w="200" w:type="dxa"/>
            <w:vAlign w:val="bottom"/>
            <w:tcBorders>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Costs and expenses: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158,992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(74,157)</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(50,695)</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Research and</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109,436</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37,505</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4b</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134,852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(2,927)</w:t>
            </w:r>
          </w:p>
        </w:tc>
        <w:tc>
          <w:tcPr>
            <w:tcW w:w="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4c</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Selling, general and</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192,015</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19,647</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4b</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(28,283)</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174,935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administrative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4c</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Restructuring</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2"/>
                <w:szCs w:val="12"/>
                <w:color w:val="auto"/>
              </w:rPr>
              <w:t>Total costs and</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460,443</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69,161</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(104,656)</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(63,574)</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ind w:left="200"/>
              <w:spacing w:after="0" w:line="106" w:lineRule="exact"/>
              <w:rPr>
                <w:sz w:val="20"/>
                <w:szCs w:val="20"/>
                <w:color w:val="auto"/>
              </w:rPr>
            </w:pPr>
            <w:r>
              <w:rPr>
                <w:rFonts w:ascii="Times New Roman" w:cs="Times New Roman" w:eastAsia="Times New Roman" w:hAnsi="Times New Roman"/>
                <w:sz w:val="12"/>
                <w:szCs w:val="12"/>
                <w:color w:val="auto"/>
              </w:rPr>
              <w:t>Income (loss)</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(203,199)</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(69,161)</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(20,732)</w:t>
            </w:r>
          </w:p>
        </w:tc>
        <w:tc>
          <w:tcPr>
            <w:tcW w:w="1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(228,276)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from operations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(40,542)</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3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22,561</w:t>
            </w:r>
          </w:p>
        </w:tc>
        <w:tc>
          <w:tcPr>
            <w:tcW w:w="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4h</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Dispositions</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160,856</w:t>
            </w:r>
          </w:p>
        </w:tc>
        <w:tc>
          <w:tcPr>
            <w:tcW w:w="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4g</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22,008   4j</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5,469</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3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4d</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 net</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ind w:left="200"/>
              <w:spacing w:after="0" w:line="106" w:lineRule="exact"/>
              <w:rPr>
                <w:sz w:val="20"/>
                <w:szCs w:val="20"/>
                <w:color w:val="auto"/>
              </w:rPr>
            </w:pPr>
            <w:r>
              <w:rPr>
                <w:rFonts w:ascii="Times New Roman" w:cs="Times New Roman" w:eastAsia="Times New Roman" w:hAnsi="Times New Roman"/>
                <w:sz w:val="12"/>
                <w:szCs w:val="12"/>
                <w:color w:val="auto"/>
              </w:rPr>
              <w:t>Income (loss)</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before income</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(238,272)</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(71,385)</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183,417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Income tax provision</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(237,892)</w:t>
            </w: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(71,385)</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4,608</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(20,800)</w:t>
            </w:r>
          </w:p>
        </w:tc>
        <w:tc>
          <w:tcPr>
            <w:tcW w:w="1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183,417</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w:t>
            </w:r>
          </w:p>
        </w:tc>
        <w:tc>
          <w:tcPr>
            <w:tcW w:w="2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22,008</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(60,044)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17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per share</w:t>
            </w: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Weighted-average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number of shares used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 computing basic</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and diluted net loss</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94,162,637</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102,469,180</w:t>
            </w:r>
          </w:p>
        </w:tc>
        <w:tc>
          <w:tcPr>
            <w:tcW w:w="0" w:type="dxa"/>
            <w:vAlign w:val="bottom"/>
          </w:tcPr>
          <w:p>
            <w:pPr>
              <w:spacing w:after="0"/>
              <w:rPr>
                <w:sz w:val="1"/>
                <w:szCs w:val="1"/>
                <w:color w:val="auto"/>
              </w:rPr>
            </w:pPr>
          </w:p>
        </w:tc>
      </w:tr>
      <w:tr>
        <w:trPr>
          <w:trHeight w:val="188"/>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COHERUS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PRO FORMA CONDENSED COMBINED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right="5239" w:hanging="451"/>
        <w:spacing w:after="0" w:line="503" w:lineRule="auto"/>
        <w:tabs>
          <w:tab w:leader="none" w:pos="53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Combined Transactions YUSIMRY Disposition</w:t>
      </w:r>
    </w:p>
    <w:p>
      <w:pPr>
        <w:ind w:left="660"/>
        <w:spacing w:after="0"/>
        <w:rPr>
          <w:sz w:val="20"/>
          <w:szCs w:val="20"/>
          <w:color w:val="auto"/>
        </w:rPr>
      </w:pPr>
      <w:r>
        <w:rPr>
          <w:rFonts w:ascii="Times New Roman" w:cs="Times New Roman" w:eastAsia="Times New Roman" w:hAnsi="Times New Roman"/>
          <w:sz w:val="18"/>
          <w:szCs w:val="18"/>
          <w:color w:val="auto"/>
        </w:rPr>
        <w:t>On June 26, 2024, Coherus entered into the Purchase Agreement by and between Coherus and HKF.</w:t>
      </w:r>
    </w:p>
    <w:p>
      <w:pPr>
        <w:spacing w:after="0" w:line="225"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Purchase Agreement, Coherus agreed to divest its YUSIMRY (adalimumab-aqvh) franchise through the sale of certain assets, including YUSIMRY, intellectual property exclusively related to YUSIMRY, certain contracts related to YUSIMRY, YUSIMRY inventory, and all activities related to research and development of YUSIMRY, to HKF and the assumption of certain liabilities by HKF, including $17.0 million of inventory purchase commitments, but not including certain identified excluded assets and excluded liabilities for upfront, all-cash consideration of $40.0 million paid on June 26, 2024.</w:t>
      </w:r>
    </w:p>
    <w:p>
      <w:pPr>
        <w:spacing w:after="0" w:line="187" w:lineRule="exact"/>
        <w:rPr>
          <w:sz w:val="20"/>
          <w:szCs w:val="20"/>
          <w:color w:val="auto"/>
        </w:rPr>
      </w:pPr>
    </w:p>
    <w:p>
      <w:pPr>
        <w:jc w:val="both"/>
        <w:ind w:left="200" w:right="219" w:firstLine="45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closing of the YUSIMRY Disposition occurred on the YUSIMRY Disposition Date. In connection with the YUSIMRY Disposition, the following related transaction occurred on and will continue subsequent to the YUSIMRY Disposition Date:</w:t>
      </w:r>
    </w:p>
    <w:p>
      <w:pPr>
        <w:spacing w:after="0" w:line="174" w:lineRule="exact"/>
        <w:rPr>
          <w:sz w:val="20"/>
          <w:szCs w:val="20"/>
          <w:color w:val="auto"/>
        </w:rPr>
      </w:pPr>
    </w:p>
    <w:p>
      <w:pPr>
        <w:jc w:val="both"/>
        <w:ind w:left="900" w:right="219" w:hanging="259"/>
        <w:spacing w:after="0" w:line="253"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YUSIMRY Transition Services Agreement </w:t>
      </w:r>
      <w:r>
        <w:rPr>
          <w:rFonts w:ascii="Times New Roman" w:cs="Times New Roman" w:eastAsia="Times New Roman" w:hAnsi="Times New Roman"/>
          <w:sz w:val="18"/>
          <w:szCs w:val="18"/>
          <w:color w:val="auto"/>
        </w:rPr>
        <w:t>(the “YUSIMRY TSA”): On the YUSIMRY Disposition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Coherus and HKF entered into the YUSIMRY TSA pursuant to which, Coherus will provide to HKF certain specified transition services on the terms and subject to the conditions set forth in the YUSIMRY TSA. The transition services provided under the YUSIMRY TSA will run for the periods of time set forth in the schedules to the YUSIMRY TSA, but are expected to extend no later than December 31, 2024. Coherus considers the impact of the YUSIMRY TSA to be immaterial and excluded such impact from the unaudited pro forma condensed combined financial information.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CIMERLI Disposition</w:t>
      </w:r>
    </w:p>
    <w:p>
      <w:pPr>
        <w:spacing w:after="0" w:line="229"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On the CIMERLI Disposition Date, Coherus completed the sale of all issued and outstanding interests of Coherus Ophthalmology LLC from Coherus to Sandoz. Pursuant to the Purchase and Sale Agreement (the “CIMERLI Purchase Agreement”) dated January 19, 2024 between Coherus and Sandoz, Sandoz paid to Coherus $170.0 million in cash plus an additional $17.8 million for CIMERLI product inventory and prepaid manufacturing assets. The CIMERLI Disposition also included Coherus’ CIMERLI biologics license application, ophthalmology sales and select field reimbursement teams, and access to proprietary commercial software.</w:t>
      </w:r>
    </w:p>
    <w:p>
      <w:pPr>
        <w:spacing w:after="0" w:line="187" w:lineRule="exact"/>
        <w:rPr>
          <w:sz w:val="20"/>
          <w:szCs w:val="20"/>
          <w:color w:val="auto"/>
        </w:rPr>
      </w:pPr>
    </w:p>
    <w:p>
      <w:pPr>
        <w:jc w:val="both"/>
        <w:ind w:left="200" w:right="219" w:firstLine="454"/>
        <w:spacing w:after="0" w:line="282" w:lineRule="auto"/>
        <w:rPr>
          <w:sz w:val="20"/>
          <w:szCs w:val="20"/>
          <w:color w:val="auto"/>
        </w:rPr>
      </w:pPr>
      <w:r>
        <w:rPr>
          <w:rFonts w:ascii="Times New Roman" w:cs="Times New Roman" w:eastAsia="Times New Roman" w:hAnsi="Times New Roman"/>
          <w:sz w:val="18"/>
          <w:szCs w:val="18"/>
          <w:color w:val="auto"/>
        </w:rPr>
        <w:t>In connection with the CIMERLI Disposition, the following related transactions occurred on and will continue subsequent to the CIMERLI Disposition Date:</w:t>
      </w:r>
    </w:p>
    <w:p>
      <w:pPr>
        <w:spacing w:after="0" w:line="160" w:lineRule="exact"/>
        <w:rPr>
          <w:sz w:val="20"/>
          <w:szCs w:val="20"/>
          <w:color w:val="auto"/>
        </w:rPr>
      </w:pPr>
    </w:p>
    <w:p>
      <w:pPr>
        <w:jc w:val="both"/>
        <w:ind w:left="900" w:right="219" w:hanging="259"/>
        <w:spacing w:after="0" w:line="253"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CIMERLI Transition Services Agreement </w:t>
      </w:r>
      <w:r>
        <w:rPr>
          <w:rFonts w:ascii="Times New Roman" w:cs="Times New Roman" w:eastAsia="Times New Roman" w:hAnsi="Times New Roman"/>
          <w:sz w:val="18"/>
          <w:szCs w:val="18"/>
          <w:color w:val="auto"/>
        </w:rPr>
        <w:t>(the “CIMERLI TSA”): On the CIMERLI Disposition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Coherus and Sandoz entered into the CIMERLI TSA pursuant to which Coherus will provide to Sandoz certain specified transition services on the terms and subject to the conditions set forth in the CIMERLI TSA. The transition services provided under the CIMERLI TSA will run for the periods of time set forth in the schedules to the CIMERLI TSA, but are expected to extend no later than December 31, 2024. Coherus considers the impact of the CIMERLI TSA to be immaterial and excluded such impact from the unaudited pro forma condensed combined financial information.</w:t>
      </w:r>
    </w:p>
    <w:p>
      <w:pPr>
        <w:spacing w:after="0" w:line="79" w:lineRule="exact"/>
        <w:rPr>
          <w:rFonts w:ascii="Times New Roman" w:cs="Times New Roman" w:eastAsia="Times New Roman" w:hAnsi="Times New Roman"/>
          <w:sz w:val="18"/>
          <w:szCs w:val="18"/>
          <w:color w:val="auto"/>
        </w:rPr>
      </w:pPr>
    </w:p>
    <w:p>
      <w:pPr>
        <w:jc w:val="both"/>
        <w:ind w:left="900" w:right="219" w:hanging="259"/>
        <w:spacing w:after="0" w:line="25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Partial Prepayment of 2027 Term Loans: </w:t>
      </w:r>
      <w:r>
        <w:rPr>
          <w:rFonts w:ascii="Times New Roman" w:cs="Times New Roman" w:eastAsia="Times New Roman" w:hAnsi="Times New Roman"/>
          <w:sz w:val="18"/>
          <w:szCs w:val="18"/>
          <w:color w:val="auto"/>
        </w:rPr>
        <w:t>On February 5, 2024, Coherus entered into a Consent,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and Third Amendment with the lenders of the 2027 Term Loans which required that if the consummation of the CIMERLI Disposition occurs Coherus will be obligated to make a partial prepayment of the principal amounts outstanding under the 2027 Term Loans. Coherus repaid $175.0 million of the existing principal balance of $250.0 million, plus the prepayment premium and makewhole amount totaling $6.8 million using proceeds from the CIMERLI Disposition in April 2024. The remainder of the principal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3" w:name="page64"/>
    <w:bookmarkEnd w:id="63"/>
    <w:p>
      <w:pPr>
        <w:ind w:left="900" w:right="239"/>
        <w:spacing w:after="0" w:line="282" w:lineRule="auto"/>
        <w:rPr>
          <w:sz w:val="20"/>
          <w:szCs w:val="20"/>
          <w:color w:val="auto"/>
        </w:rPr>
      </w:pPr>
      <w:r>
        <w:rPr>
          <w:rFonts w:ascii="Times New Roman" w:cs="Times New Roman" w:eastAsia="Times New Roman" w:hAnsi="Times New Roman"/>
          <w:sz w:val="18"/>
          <w:szCs w:val="18"/>
          <w:color w:val="auto"/>
        </w:rPr>
        <w:t>amounts outstanding under the 2027 Term Loans were paid off on May 8, 2024. The $175.0 million early partial prepayment of the 2027 Term Loans in April 2024 was accounted for as a debt modification.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Acquisition of Surface</w:t>
      </w:r>
    </w:p>
    <w:p>
      <w:pPr>
        <w:spacing w:after="0" w:line="229" w:lineRule="exact"/>
        <w:rPr>
          <w:sz w:val="20"/>
          <w:szCs w:val="20"/>
          <w:color w:val="auto"/>
        </w:rPr>
      </w:pPr>
    </w:p>
    <w:p>
      <w:pPr>
        <w:jc w:val="both"/>
        <w:ind w:left="200" w:right="219" w:firstLine="454"/>
        <w:spacing w:after="0" w:line="253" w:lineRule="auto"/>
        <w:rPr>
          <w:sz w:val="20"/>
          <w:szCs w:val="20"/>
          <w:color w:val="auto"/>
        </w:rPr>
      </w:pPr>
      <w:r>
        <w:rPr>
          <w:rFonts w:ascii="Times New Roman" w:cs="Times New Roman" w:eastAsia="Times New Roman" w:hAnsi="Times New Roman"/>
          <w:sz w:val="18"/>
          <w:szCs w:val="18"/>
          <w:color w:val="auto"/>
        </w:rPr>
        <w:t>On the Surface Acquisition Date, in accordance with the plan of merger (the “Surface Merger Agreement”) by and among Coherus, Crimson Merger Sub I, Inc., a wholly owned subsidiary of Coherus (“Merger Sub I”), Crimson Merger Sub II, LLC, a wholly owned subsidiary of Coherus (“Merger Sub II” and together with Merger Sub I, the “Merger Subs”), and Surface, where Merger Sub I merged with and into Surface, with Surface surviving such merger as a wholly owned subsidiary of Coherus, and, as part of the same overall transaction, promptly after such merger, Surface merged with and into Merger Sub II, with Merger Sub II surviving this merger and changing its name to Surface Oncology, LLC. The total consideration paid by Coherus in the Surface Merger was $64.6 million, which consisted of 11,971,460 shares of Coherus’ common stock at a per share price of $4.89, the fair value of a contingent value right (“CVR”) liability of $5.3 million for CVRs provided to Surface shareholders, and equity of the combined company owned by Surface former employees of $0.8 million.</w:t>
      </w:r>
    </w:p>
    <w:p>
      <w:pPr>
        <w:spacing w:after="0" w:line="194" w:lineRule="exact"/>
        <w:rPr>
          <w:sz w:val="20"/>
          <w:szCs w:val="20"/>
          <w:color w:val="auto"/>
        </w:rPr>
      </w:pPr>
    </w:p>
    <w:p>
      <w:pPr>
        <w:jc w:val="both"/>
        <w:ind w:left="200" w:right="219" w:firstLine="454"/>
        <w:spacing w:after="0" w:line="266" w:lineRule="auto"/>
        <w:rPr>
          <w:sz w:val="20"/>
          <w:szCs w:val="20"/>
          <w:color w:val="auto"/>
        </w:rPr>
      </w:pPr>
      <w:r>
        <w:rPr>
          <w:rFonts w:ascii="Times New Roman" w:cs="Times New Roman" w:eastAsia="Times New Roman" w:hAnsi="Times New Roman"/>
          <w:sz w:val="18"/>
          <w:szCs w:val="18"/>
          <w:color w:val="auto"/>
        </w:rPr>
        <w:t>In connection with the Surface Merger, the following related transactions occurred prior to the Surface Acquisition Date, for which disclosures of pro forma financial information would be material and are included as transaction accounting adjustments described in Note 4 hereto:</w:t>
      </w:r>
    </w:p>
    <w:p>
      <w:pPr>
        <w:spacing w:after="0" w:line="174" w:lineRule="exact"/>
        <w:rPr>
          <w:sz w:val="20"/>
          <w:szCs w:val="20"/>
          <w:color w:val="auto"/>
        </w:rPr>
      </w:pPr>
    </w:p>
    <w:p>
      <w:pPr>
        <w:jc w:val="both"/>
        <w:ind w:left="900" w:right="219" w:hanging="259"/>
        <w:spacing w:after="0" w:line="254"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Repayment of Surface’s convertible note</w:t>
      </w:r>
      <w:r>
        <w:rPr>
          <w:rFonts w:ascii="Times New Roman" w:cs="Times New Roman" w:eastAsia="Times New Roman" w:hAnsi="Times New Roman"/>
          <w:sz w:val="18"/>
          <w:szCs w:val="18"/>
          <w:color w:val="auto"/>
        </w:rPr>
        <w:t>: On June 15, 2023, in connection with entering into the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Surface executed a payoff arrangement to repay all amounts due under its loan and security agreement dated November 22, 2019 with K2 Health Ventures, LLC and Ankura Trust Company (as amended, the “Surface Loan Agreement) with a principal amount of $25.0 million. Pursuant to the payoff arrangement, which settled in full on June 16, 2023, Surface incurred a loss on debt extinguishment of $2.5 million.</w:t>
      </w:r>
    </w:p>
    <w:p>
      <w:pPr>
        <w:spacing w:after="0" w:line="76" w:lineRule="exact"/>
        <w:rPr>
          <w:rFonts w:ascii="Times New Roman" w:cs="Times New Roman" w:eastAsia="Times New Roman" w:hAnsi="Times New Roman"/>
          <w:sz w:val="18"/>
          <w:szCs w:val="18"/>
          <w:color w:val="auto"/>
        </w:rPr>
      </w:pPr>
    </w:p>
    <w:p>
      <w:pPr>
        <w:jc w:val="both"/>
        <w:ind w:left="900" w:right="219" w:hanging="259"/>
        <w:spacing w:after="0" w:line="25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termination of the operating lease for Surface’s corporate headquarters</w:t>
      </w:r>
      <w:r>
        <w:rPr>
          <w:rFonts w:ascii="Times New Roman" w:cs="Times New Roman" w:eastAsia="Times New Roman" w:hAnsi="Times New Roman"/>
          <w:sz w:val="18"/>
          <w:szCs w:val="18"/>
          <w:color w:val="auto"/>
        </w:rPr>
        <w:t>: On June 15, 2023,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entering into the Surface Merger Agreement, Surface executed a lease termination agreement related to the operating lease for its corporate headquarters in Cambridge, Massachusetts. Pursuant to the lease termination agreement, the operating lease terminated on September 15, 2023, with an aggregate termination fee of $10.0 million paid to the landlord.</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transaction accounting adjustments to reflect the Combined Transactions include but are not limited to:</w:t>
      </w:r>
    </w:p>
    <w:p>
      <w:pPr>
        <w:spacing w:after="0" w:line="225" w:lineRule="exact"/>
        <w:rPr>
          <w:sz w:val="20"/>
          <w:szCs w:val="20"/>
          <w:color w:val="auto"/>
        </w:rPr>
      </w:pPr>
    </w:p>
    <w:p>
      <w:pPr>
        <w:ind w:left="900" w:right="239" w:hanging="259"/>
        <w:spacing w:after="0" w:line="28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operations and transferred assets related to YUSIMRY from Coherus and the transfer of those assets to HFK reflected in the “YUSIMRY Disposition” column;</w:t>
      </w:r>
    </w:p>
    <w:p>
      <w:pPr>
        <w:spacing w:after="0" w:line="53" w:lineRule="exact"/>
        <w:rPr>
          <w:rFonts w:ascii="Times New Roman" w:cs="Times New Roman" w:eastAsia="Times New Roman" w:hAnsi="Times New Roman"/>
          <w:sz w:val="18"/>
          <w:szCs w:val="18"/>
          <w:color w:val="auto"/>
        </w:rPr>
      </w:pPr>
    </w:p>
    <w:p>
      <w:pPr>
        <w:ind w:left="900" w:right="239" w:hanging="259"/>
        <w:spacing w:after="0" w:line="28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operations and transferred assets related to CIMERLI from Coherus and the transfer of those assets to Sandoz reflected in the “CIMERLI Disposition” column;</w:t>
      </w:r>
    </w:p>
    <w:p>
      <w:pPr>
        <w:spacing w:after="0" w:line="53" w:lineRule="exact"/>
        <w:rPr>
          <w:rFonts w:ascii="Times New Roman" w:cs="Times New Roman" w:eastAsia="Times New Roman" w:hAnsi="Times New Roman"/>
          <w:sz w:val="18"/>
          <w:szCs w:val="18"/>
          <w:color w:val="auto"/>
        </w:rPr>
      </w:pPr>
    </w:p>
    <w:p>
      <w:pPr>
        <w:ind w:left="900" w:hanging="25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prepayment of Coherus’ 2027 Term Loans;</w:t>
      </w:r>
    </w:p>
    <w:p>
      <w:pPr>
        <w:spacing w:after="0" w:line="117" w:lineRule="exact"/>
        <w:rPr>
          <w:rFonts w:ascii="Times New Roman" w:cs="Times New Roman" w:eastAsia="Times New Roman" w:hAnsi="Times New Roman"/>
          <w:sz w:val="18"/>
          <w:szCs w:val="18"/>
          <w:color w:val="auto"/>
        </w:rPr>
      </w:pPr>
    </w:p>
    <w:p>
      <w:pPr>
        <w:ind w:left="900" w:right="219" w:hanging="259"/>
        <w:spacing w:after="0" w:line="28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transactions contemplated by, the Surface Merger Agreement related to the Surface Merger;</w:t>
      </w:r>
    </w:p>
    <w:p>
      <w:pPr>
        <w:spacing w:after="0" w:line="53" w:lineRule="exact"/>
        <w:rPr>
          <w:rFonts w:ascii="Times New Roman" w:cs="Times New Roman" w:eastAsia="Times New Roman" w:hAnsi="Times New Roman"/>
          <w:sz w:val="18"/>
          <w:szCs w:val="18"/>
          <w:color w:val="auto"/>
        </w:rPr>
      </w:pPr>
    </w:p>
    <w:p>
      <w:pPr>
        <w:ind w:left="900" w:hanging="25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all outstanding amounts of Surface’s loan agreement; and</w:t>
      </w:r>
    </w:p>
    <w:p>
      <w:pPr>
        <w:spacing w:after="0" w:line="117" w:lineRule="exact"/>
        <w:rPr>
          <w:rFonts w:ascii="Times New Roman" w:cs="Times New Roman" w:eastAsia="Times New Roman" w:hAnsi="Times New Roman"/>
          <w:sz w:val="18"/>
          <w:szCs w:val="18"/>
          <w:color w:val="auto"/>
        </w:rPr>
      </w:pPr>
    </w:p>
    <w:p>
      <w:pPr>
        <w:ind w:left="900" w:hanging="259"/>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termination of the operating lease for Surface’s corporate headquarters.</w:t>
      </w:r>
    </w:p>
    <w:p>
      <w:pPr>
        <w:spacing w:after="0" w:line="356" w:lineRule="exact"/>
        <w:rPr>
          <w:rFonts w:ascii="Times New Roman" w:cs="Times New Roman" w:eastAsia="Times New Roman" w:hAnsi="Times New Roman"/>
          <w:sz w:val="18"/>
          <w:szCs w:val="18"/>
          <w:color w:val="auto"/>
        </w:rPr>
      </w:pPr>
    </w:p>
    <w:p>
      <w:pPr>
        <w:ind w:left="540" w:hanging="331"/>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jc w:val="both"/>
        <w:ind w:left="200" w:right="219" w:firstLine="45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by management under U.S. generally accepted accounting principles (“U.S. GAAP”) in accordance with Article 11 and is presented in U.S. dollars. The adjustments presented in the unaudited pro forma condensed combined financial information have been identified and presented to provide relevant information necessary for an understanding of Coherus after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consummation of the Combined Transactions. No tax effects related to Transaction Accounting Adjustments were included as the related impacts were immaterial.</w:t>
      </w:r>
    </w:p>
    <w:p>
      <w:pPr>
        <w:spacing w:after="0" w:line="162" w:lineRule="exact"/>
        <w:rPr>
          <w:sz w:val="20"/>
          <w:szCs w:val="20"/>
          <w:color w:val="auto"/>
        </w:rPr>
      </w:pPr>
    </w:p>
    <w:p>
      <w:pPr>
        <w:jc w:val="both"/>
        <w:ind w:left="200" w:right="219" w:firstLine="454"/>
        <w:spacing w:after="0" w:line="253" w:lineRule="auto"/>
        <w:rPr>
          <w:sz w:val="20"/>
          <w:szCs w:val="20"/>
          <w:color w:val="auto"/>
        </w:rPr>
      </w:pPr>
      <w:r>
        <w:rPr>
          <w:rFonts w:ascii="Times New Roman" w:cs="Times New Roman" w:eastAsia="Times New Roman" w:hAnsi="Times New Roman"/>
          <w:sz w:val="18"/>
          <w:szCs w:val="18"/>
          <w:color w:val="auto"/>
        </w:rPr>
        <w:t>The pro forma adjustments related to the YUSIMRY Disposition are based upon actual information and certain assumptions which management believes are reasonable. The pro forma adjustments related to the CIMERLI Disposition are based upon actual information and certain assumptions which management believes are reasonable under the circumstances and which are described in the accompanying notes to the unaudited pro forma condensed combined financial information. The pro forma adjustments related to the Surface Merger which are described in the accompanying notes to the unaudited pro forma condensed combined financial information are based on the fair value of Surface’s tangible and identifiable intangible assets acquired and liabilities assumed on the Surface Acquisition Date. Coherus believes that, even after reassessing its identification of all assets acquired and liabilities assumed, it was able to acquire Surface for a price that was completely allocable to identifiable assets acquired and liabilities assumed with no residual attributable to goodwill.</w:t>
      </w:r>
    </w:p>
    <w:p>
      <w:pPr>
        <w:spacing w:after="0" w:line="194" w:lineRule="exact"/>
        <w:rPr>
          <w:sz w:val="20"/>
          <w:szCs w:val="20"/>
          <w:color w:val="auto"/>
        </w:rPr>
      </w:pPr>
    </w:p>
    <w:p>
      <w:pPr>
        <w:jc w:val="both"/>
        <w:ind w:left="200" w:right="219" w:firstLine="454"/>
        <w:spacing w:after="0" w:line="256" w:lineRule="auto"/>
        <w:rPr>
          <w:sz w:val="20"/>
          <w:szCs w:val="20"/>
          <w:color w:val="auto"/>
        </w:rPr>
      </w:pPr>
      <w:r>
        <w:rPr>
          <w:rFonts w:ascii="Times New Roman" w:cs="Times New Roman" w:eastAsia="Times New Roman" w:hAnsi="Times New Roman"/>
          <w:sz w:val="18"/>
          <w:szCs w:val="18"/>
          <w:color w:val="auto"/>
        </w:rPr>
        <w:t>Coherus was the legal acquiror of Surface. For accounting purposes, Surface was treated as the “acquired” company. This determination is primarily because subsequent to the Surface Merger, Coherus’ stockholders have a majority of the voting power of the combined company, Coherus controls a majority of the governing body of the combined company and Coherus’ senior management comprises the senior management of the combined company. In accordance with U.S. GAAP, the assets and liabilities of Surface have been recorded at their fair values as of the Surface Acquisition Date.</w:t>
      </w:r>
    </w:p>
    <w:p>
      <w:pPr>
        <w:spacing w:after="0" w:line="187" w:lineRule="exact"/>
        <w:rPr>
          <w:sz w:val="20"/>
          <w:szCs w:val="20"/>
          <w:color w:val="auto"/>
        </w:rPr>
      </w:pPr>
    </w:p>
    <w:p>
      <w:pPr>
        <w:jc w:val="both"/>
        <w:ind w:left="200" w:right="219" w:firstLine="45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2024 reflects adjustments that depict the accounting for the Dispositions and the related transactions as if they had occurred on March 31, 2024. The unaudited pro forma condensed combined statements of operations for the year ended December 31, 2023 and for the three months ended March 31, 2024 each reflect adjustments that give effect to Coherus’ results of operations as if the Combined Transactions had occurred on January 1, 2023, the first day of the earliest period presented.</w:t>
      </w:r>
    </w:p>
    <w:p>
      <w:pPr>
        <w:spacing w:after="0" w:line="183" w:lineRule="exact"/>
        <w:rPr>
          <w:sz w:val="20"/>
          <w:szCs w:val="20"/>
          <w:color w:val="auto"/>
        </w:rPr>
      </w:pPr>
    </w:p>
    <w:p>
      <w:pPr>
        <w:jc w:val="both"/>
        <w:ind w:left="200" w:right="219" w:firstLine="454"/>
        <w:spacing w:after="0" w:line="261" w:lineRule="auto"/>
        <w:rPr>
          <w:sz w:val="20"/>
          <w:szCs w:val="20"/>
          <w:color w:val="auto"/>
        </w:rPr>
      </w:pPr>
      <w:r>
        <w:rPr>
          <w:rFonts w:ascii="Times New Roman" w:cs="Times New Roman" w:eastAsia="Times New Roman" w:hAnsi="Times New Roman"/>
          <w:sz w:val="18"/>
          <w:szCs w:val="18"/>
          <w:color w:val="auto"/>
        </w:rPr>
        <w:t>Surface’s historical operations for the period prior to the Surface Acquisition Date (“Pre-Acquisition Surface”) are presented separately in the pro forma condensed combined financial information and the historical operations for the period including and after that Surface Acquisition Date for the surviving entity, Surface Oncology, LLC have been presented within the consolidated results of Coherus.</w:t>
      </w:r>
    </w:p>
    <w:p>
      <w:pPr>
        <w:spacing w:after="0" w:line="180" w:lineRule="exact"/>
        <w:rPr>
          <w:sz w:val="20"/>
          <w:szCs w:val="20"/>
          <w:color w:val="auto"/>
        </w:rPr>
      </w:pPr>
    </w:p>
    <w:p>
      <w:pPr>
        <w:jc w:val="both"/>
        <w:ind w:left="200" w:right="219" w:firstLine="454"/>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does not give effect to any anticipated synergies, dis-synergies operating efficiencies, tax savings or cost savings that may be associated with the Combined Transactions including the related transactions. There were no existing contractual relationships between Coherus and Surface, Coherus and Sandoz, or Coherus and HFK during the periods presented in the unaudited pro forma condensed combined financial information. The unaudited pro forma condensed combined financial information constitutes forward-looking information, is subject to certain risks and uncertainties that could cause actual results to differ materially from those anticipated and should be read in conjunction with the accompanying notes thereto.</w:t>
      </w:r>
    </w:p>
    <w:p>
      <w:pPr>
        <w:spacing w:after="0" w:line="189" w:lineRule="exact"/>
        <w:rPr>
          <w:sz w:val="20"/>
          <w:szCs w:val="20"/>
          <w:color w:val="auto"/>
        </w:rPr>
      </w:pPr>
    </w:p>
    <w:p>
      <w:pPr>
        <w:jc w:val="both"/>
        <w:ind w:left="200" w:right="219" w:firstLine="454"/>
        <w:spacing w:after="0" w:line="254" w:lineRule="auto"/>
        <w:rPr>
          <w:sz w:val="20"/>
          <w:szCs w:val="20"/>
          <w:color w:val="auto"/>
        </w:rPr>
      </w:pPr>
      <w:r>
        <w:rPr>
          <w:rFonts w:ascii="Times New Roman" w:cs="Times New Roman" w:eastAsia="Times New Roman" w:hAnsi="Times New Roman"/>
          <w:sz w:val="18"/>
          <w:szCs w:val="18"/>
          <w:color w:val="auto"/>
        </w:rPr>
        <w:t>Coherus and Surface incurred certain non-recurring charges in connection with the Surface Merger. These charges consist of severance compensations offered to Surface’s executives and non-executive employees, a termination fee resulting from the early termination of Surface’s operating lease, and the repayment and final balloon payment of Surface’s convertible note. Transaction costs related to financial advisors, legal services and professional accounting services have also been incurred in conjunction with the Combined Transactions. These costs are not expected to be incurred in any period beyond twelve months from the closing dates of the Combined Transactions. Accordingly, the unaudited pro forma condensed combined statement of operations for the year ended December 31, 2023 reflects the effects of these non-recurring charges, and these costs are not accrued for in the historical combined balance sheet of Coherus as of March 31,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5" w:name="page66"/>
    <w:bookmarkEnd w:id="65"/>
    <w:p>
      <w:pPr>
        <w:ind w:left="540" w:hanging="331"/>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Balance Sheet</w:t>
      </w:r>
    </w:p>
    <w:p>
      <w:pPr>
        <w:spacing w:after="0" w:line="229" w:lineRule="exact"/>
        <w:rPr>
          <w:sz w:val="20"/>
          <w:szCs w:val="20"/>
          <w:color w:val="auto"/>
        </w:rPr>
      </w:pPr>
    </w:p>
    <w:p>
      <w:pPr>
        <w:ind w:left="200" w:right="239"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2024 reflects the following adjustments: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Accounting Adjustments related to the Dispositions</w:t>
      </w:r>
    </w:p>
    <w:p>
      <w:pPr>
        <w:spacing w:after="0" w:line="227" w:lineRule="exact"/>
        <w:rPr>
          <w:sz w:val="20"/>
          <w:szCs w:val="20"/>
          <w:color w:val="auto"/>
        </w:rPr>
      </w:pPr>
    </w:p>
    <w:p>
      <w:pPr>
        <w:jc w:val="both"/>
        <w:ind w:left="540" w:right="239" w:hanging="331"/>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“CIMERLI Disposition” column in the unaudited pro forma condensed combined balance sheet is derived from Coherus’ condensed consolidated financial information and the related accounting records as of March 31, 2024. It represents CIMERLI balances related to TSA activity incurred after the CIMERLI Disposition Date.</w:t>
      </w:r>
    </w:p>
    <w:p>
      <w:pPr>
        <w:spacing w:after="0" w:line="71" w:lineRule="exact"/>
        <w:rPr>
          <w:rFonts w:ascii="Times New Roman" w:cs="Times New Roman" w:eastAsia="Times New Roman" w:hAnsi="Times New Roman"/>
          <w:sz w:val="18"/>
          <w:szCs w:val="18"/>
          <w:color w:val="auto"/>
        </w:rPr>
      </w:pPr>
    </w:p>
    <w:p>
      <w:pPr>
        <w:jc w:val="both"/>
        <w:ind w:left="540" w:right="239" w:hanging="331"/>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“YUSIMRY Disposition” column in the unaudited pro forma condensed combined balance sheet is derived from Coherus’ condensed consolidated financial information and the related accounting records as of March 31, 2024. It reflects assets transferred to and inventory purchase commitments assumed by HFK pursuant to the Purchase Agreement and certain assets derecognized.</w:t>
      </w:r>
    </w:p>
    <w:p>
      <w:pPr>
        <w:spacing w:after="0" w:line="71" w:lineRule="exact"/>
        <w:rPr>
          <w:rFonts w:ascii="Times New Roman" w:cs="Times New Roman" w:eastAsia="Times New Roman" w:hAnsi="Times New Roman"/>
          <w:sz w:val="18"/>
          <w:szCs w:val="18"/>
          <w:color w:val="auto"/>
        </w:rPr>
      </w:pPr>
    </w:p>
    <w:p>
      <w:pPr>
        <w:jc w:val="both"/>
        <w:ind w:left="540" w:right="219" w:hanging="331"/>
        <w:spacing w:after="0" w:line="25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cash of $38.8 million received in connection with the YUSIMRY Disposition, which consists of the gross proceeds of $40.0 million in cash for YUSIMRY product inventory pursuant to the Purchase Agreement, net of the estimated transaction costs of $1.2 million upon the closing of the YUSIMRY Disposition. As of March 31, 2024, no transaction costs were accrued in Coherus’ historical financial statements. The transaction costs include incremental professional fees (e.g., legal, advisory and accounting), that are directly attributable to the YUSIMRY Disposition.</w:t>
      </w:r>
    </w:p>
    <w:p>
      <w:pPr>
        <w:spacing w:after="0" w:line="79" w:lineRule="exact"/>
        <w:rPr>
          <w:rFonts w:ascii="Times New Roman" w:cs="Times New Roman" w:eastAsia="Times New Roman" w:hAnsi="Times New Roman"/>
          <w:sz w:val="18"/>
          <w:szCs w:val="18"/>
          <w:color w:val="auto"/>
        </w:rPr>
      </w:pPr>
    </w:p>
    <w:p>
      <w:pPr>
        <w:jc w:val="both"/>
        <w:ind w:left="540" w:right="219" w:hanging="331"/>
        <w:spacing w:after="0" w:line="258"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partial prepayment in April 2024 of $175.0 million of the existing principal balance of $250.0 million of the 2027 Term Loans, plus the prepayment premium and makewhole amount totaling $6.8 million using proceeds from the CIMERLI Disposition. Since the partial prepayment was treated as a modification, the prepayment premium and makewhole amount totaling $6.8 million have been recorded as a reduction to the non-current balance of the 2027 Term Loans.</w:t>
      </w:r>
    </w:p>
    <w:p>
      <w:pPr>
        <w:spacing w:after="0" w:line="395" w:lineRule="exact"/>
        <w:rPr>
          <w:sz w:val="20"/>
          <w:szCs w:val="20"/>
          <w:color w:val="auto"/>
        </w:rPr>
      </w:pPr>
    </w:p>
    <w:p>
      <w:pPr>
        <w:ind w:left="540" w:hanging="331"/>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Statements of Operations</w:t>
      </w:r>
    </w:p>
    <w:p>
      <w:pPr>
        <w:spacing w:after="0" w:line="229" w:lineRule="exact"/>
        <w:rPr>
          <w:sz w:val="20"/>
          <w:szCs w:val="20"/>
          <w:color w:val="auto"/>
        </w:rPr>
      </w:pPr>
    </w:p>
    <w:p>
      <w:pPr>
        <w:ind w:left="200" w:right="239"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three months ended March 31, 2024 and for the year ended December 31, 2023 reflect the following adjustments: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Accounting Adjustments related to the Surface Merger</w:t>
      </w:r>
    </w:p>
    <w:p>
      <w:pPr>
        <w:spacing w:after="0" w:line="227" w:lineRule="exact"/>
        <w:rPr>
          <w:sz w:val="20"/>
          <w:szCs w:val="20"/>
          <w:color w:val="auto"/>
        </w:rPr>
      </w:pPr>
    </w:p>
    <w:p>
      <w:pPr>
        <w:jc w:val="both"/>
        <w:ind w:left="540" w:right="219" w:hanging="331"/>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interest expense of $1.6 million for the year ended December 31, 2023, related to the cash settlement of Surface’s convertible note as if the Surface Merger had occurred on January 1, 2023</w:t>
      </w:r>
      <w:r>
        <w:rPr>
          <w:rFonts w:ascii="Times New Roman" w:cs="Times New Roman" w:eastAsia="Times New Roman" w:hAnsi="Times New Roman"/>
          <w:sz w:val="21"/>
          <w:szCs w:val="21"/>
          <w:color w:val="auto"/>
        </w:rPr>
        <w:t>.</w:t>
      </w:r>
    </w:p>
    <w:p>
      <w:pPr>
        <w:spacing w:after="0" w:line="56" w:lineRule="exact"/>
        <w:rPr>
          <w:rFonts w:ascii="Times New Roman" w:cs="Times New Roman" w:eastAsia="Times New Roman" w:hAnsi="Times New Roman"/>
          <w:sz w:val="18"/>
          <w:szCs w:val="18"/>
          <w:color w:val="auto"/>
        </w:rPr>
      </w:pPr>
    </w:p>
    <w:p>
      <w:pPr>
        <w:jc w:val="both"/>
        <w:ind w:left="540" w:right="219" w:hanging="331"/>
        <w:spacing w:after="0" w:line="258"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lease and depreciation expense, net of sublease income, of $0.6 million for the year ended December 31, 2023, related to the early termination of the operating lease for Surface’s corporate headquarters. Of the aggregate historical lease and depreciation expense of $0.6 million for the year ended December 31, 2023, $1.7 million of research and development expense and $1.1 million of net benefit in selling, general and administrative expense have been derecognized.</w:t>
      </w:r>
    </w:p>
    <w:p>
      <w:pPr>
        <w:spacing w:after="0" w:line="75" w:lineRule="exact"/>
        <w:rPr>
          <w:rFonts w:ascii="Times New Roman" w:cs="Times New Roman" w:eastAsia="Times New Roman" w:hAnsi="Times New Roman"/>
          <w:sz w:val="18"/>
          <w:szCs w:val="18"/>
          <w:color w:val="auto"/>
        </w:rPr>
      </w:pPr>
    </w:p>
    <w:p>
      <w:pPr>
        <w:jc w:val="both"/>
        <w:ind w:left="540" w:right="219" w:hanging="331"/>
        <w:spacing w:after="0" w:line="25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depreciation expense related to the write-off of property and equipment, net of $4.8 million for the year ended December 31, 2023, in connection with the early termination of the operating lease for Surface’s corporate headquarters as if the Surface Merger had occurred on January 1, 2023. Of the aggregate historical depreciation expense of $4.8 million for the year ended December 31, 2023, $2.9 million and $1.9 million have been derecognized from research and development expense and selling, general and administrative expense, respectively.</w:t>
      </w:r>
    </w:p>
    <w:p>
      <w:pPr>
        <w:spacing w:after="0" w:line="79"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interest and investment income of $1.8 million for the year ended December 31, 2023, related to Surface’s marketable securities as such securities were partially liquidated to meet the minimum company net cash amount pursuant to the Surface Merger Agreement.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6" w:name="page67"/>
    <w:bookmarkEnd w:id="66"/>
    <w:p>
      <w:pPr>
        <w:ind w:left="540" w:right="219" w:hanging="331"/>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amortization expense of $0.6 million for the year ended December 31, 2023, related to the finite-lived intangible assets as if the Surface Merger had occurred on January 1, 2023.</w:t>
      </w:r>
    </w:p>
    <w:p>
      <w:pPr>
        <w:spacing w:after="0" w:line="5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Accounting Adjustments related to the CIMERLI Disposition</w:t>
      </w:r>
    </w:p>
    <w:p>
      <w:pPr>
        <w:spacing w:after="0" w:line="227" w:lineRule="exact"/>
        <w:rPr>
          <w:rFonts w:ascii="Times New Roman" w:cs="Times New Roman" w:eastAsia="Times New Roman" w:hAnsi="Times New Roman"/>
          <w:sz w:val="18"/>
          <w:szCs w:val="18"/>
          <w:color w:val="auto"/>
        </w:rPr>
      </w:pPr>
    </w:p>
    <w:p>
      <w:pPr>
        <w:jc w:val="both"/>
        <w:ind w:left="540" w:right="219" w:hanging="331"/>
        <w:spacing w:after="0" w:line="254"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“CIMERLI Disposition” column in the unaudited pro forma condensed combined statements of operations is derived from Coherus’ condensed consolidated financial information and the related accounting records for the periods presented and reflects the elimination of the historical operating results of CIMERLI. Certain general corporate overhead expenses that were allocable to CIMERLI’s operations but not specifically identifiable as costs of CIMERLI did not meet the criteria to be presented in the disposal group and are therefore presented within Coherus’ continuing operations. The pro forma adjustments for the CIMERLI Disposition do not purport to reflect what CIMERLI’s results of operations would have been on a stand-alone basis and are not necessarily indicative of future results of operations.</w:t>
      </w:r>
    </w:p>
    <w:p>
      <w:pPr>
        <w:spacing w:after="0" w:line="83" w:lineRule="exact"/>
        <w:rPr>
          <w:rFonts w:ascii="Times New Roman" w:cs="Times New Roman" w:eastAsia="Times New Roman" w:hAnsi="Times New Roman"/>
          <w:sz w:val="18"/>
          <w:szCs w:val="18"/>
          <w:color w:val="auto"/>
        </w:rPr>
      </w:pPr>
    </w:p>
    <w:p>
      <w:pPr>
        <w:jc w:val="both"/>
        <w:ind w:left="540" w:right="219" w:hanging="331"/>
        <w:spacing w:after="0" w:line="25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nonrecurring pro forma net gain on the CIMERLI Disposition of $160.9 million as if the disposition and related transactions had occurred on January 1, 2023. The pro forma net gain is based on CIMERLI’s historical balance sheet information as of the CIMERLI Disposition Date, which includes the cash receipts of $187.8 million less assets transferred to Sandoz, assets derecognized, and other related employee transition expenses. For pro forma purposes, historical nonrecurring transaction costs of $7.2 million incurred during the three months ended March 31, 2024 have not been adjusted and are still presented in the results for the three months ended March 31, 2024.</w:t>
      </w:r>
    </w:p>
    <w:p>
      <w:pPr>
        <w:spacing w:after="0" w:line="188" w:lineRule="exact"/>
        <w:rPr>
          <w:rFonts w:ascii="Times New Roman" w:cs="Times New Roman" w:eastAsia="Times New Roman" w:hAnsi="Times New Roman"/>
          <w:sz w:val="18"/>
          <w:szCs w:val="18"/>
          <w:color w:val="auto"/>
        </w:rPr>
      </w:pPr>
    </w:p>
    <w:p>
      <w:pPr>
        <w:jc w:val="both"/>
        <w:ind w:left="540" w:right="239" w:hanging="331"/>
        <w:spacing w:after="0" w:line="261"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derecognition of historical interest expense of $6.5 million and $22.6 million for the three months ended March 31, 2024 and for the year ended December 31, 2023, respectively, related to the early partial prepayment of $175.0 million of Coherus’ 2027 Term Loans as if the CIMERLI Disposition and the related transactions had occurred on January 1, 2023</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Accounting Adjustments related to the YUSIMRY Disposition</w:t>
      </w:r>
    </w:p>
    <w:p>
      <w:pPr>
        <w:spacing w:after="0" w:line="227" w:lineRule="exact"/>
        <w:rPr>
          <w:rFonts w:ascii="Times New Roman" w:cs="Times New Roman" w:eastAsia="Times New Roman" w:hAnsi="Times New Roman"/>
          <w:sz w:val="18"/>
          <w:szCs w:val="18"/>
          <w:color w:val="auto"/>
        </w:rPr>
      </w:pPr>
    </w:p>
    <w:p>
      <w:pPr>
        <w:jc w:val="both"/>
        <w:ind w:left="540" w:right="219" w:hanging="331"/>
        <w:spacing w:after="0" w:line="254"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“YUSIMRY Disposition” column in the unaudited pro forma condensed combined statements of operations is derived from Coherus’ condensed consolidated financial information and the related accounting records for the periods presented and reflects the elimination of the historical operating results of YUSIMRY. Certain general corporate overhead expenses that were allocable to YUSIMRY’s operations but not specifically identifiable as costs of YUSIMRY did not meet the criteria to be presented in the disposal group and are therefore presented within Coherus’ continuing operations. The pro forma adjustments for the YUSIMRY Disposition do not purport to reflect what YUSIMRY’s results of operations would have been on a stand-alone basis and are not necessarily indicative of future results of operations.</w:t>
      </w:r>
    </w:p>
    <w:p>
      <w:pPr>
        <w:spacing w:after="0" w:line="83" w:lineRule="exact"/>
        <w:rPr>
          <w:rFonts w:ascii="Times New Roman" w:cs="Times New Roman" w:eastAsia="Times New Roman" w:hAnsi="Times New Roman"/>
          <w:sz w:val="18"/>
          <w:szCs w:val="18"/>
          <w:color w:val="auto"/>
        </w:rPr>
      </w:pPr>
    </w:p>
    <w:p>
      <w:pPr>
        <w:jc w:val="both"/>
        <w:ind w:left="540" w:right="219" w:hanging="331"/>
        <w:spacing w:after="0" w:line="258"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nonrecurring pro forma gain on the YUSIMRY Disposition of $22.0 million, as outlined in the table below. The nonrecurring pro forma gain is based on YUSIMRY’s balance sheet information as of March 31, 2024 and recorded as if the disposition and the related transactions had occurred on January 1, 2023. The actual gain on the disposition will be based on YUSIMRY’s actual balance sheet information as of the YUSIMRY Disposition Date and may differ significantly.</w:t>
      </w:r>
    </w:p>
    <w:p>
      <w:pPr>
        <w:spacing w:after="0" w:line="201"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received from HFK upon closing of the YUSIMRY Disposition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0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Subtract: Estimated transaction costs</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19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38,850</w:t>
            </w:r>
          </w:p>
        </w:tc>
      </w:tr>
      <w:tr>
        <w:trPr>
          <w:trHeight w:val="20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Subtract: Carrying amount of net assets sold and derecognized</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w:t>
            </w:r>
          </w:p>
        </w:tc>
      </w:tr>
      <w:tr>
        <w:trPr>
          <w:trHeight w:val="19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gain on the YUSIMRY Disposition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22,008</w:t>
            </w: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7" w:name="page68"/>
    <w:bookmarkEnd w:id="67"/>
    <w:p>
      <w:pPr>
        <w:ind w:left="540" w:hanging="331"/>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w:t>
      </w:r>
    </w:p>
    <w:p>
      <w:pPr>
        <w:spacing w:after="0" w:line="229" w:lineRule="exact"/>
        <w:rPr>
          <w:sz w:val="20"/>
          <w:szCs w:val="20"/>
          <w:color w:val="auto"/>
        </w:rPr>
      </w:pPr>
    </w:p>
    <w:p>
      <w:pPr>
        <w:jc w:val="both"/>
        <w:ind w:left="200" w:right="219" w:firstLine="324"/>
        <w:spacing w:after="0" w:line="266" w:lineRule="auto"/>
        <w:rPr>
          <w:sz w:val="20"/>
          <w:szCs w:val="20"/>
          <w:color w:val="auto"/>
        </w:rPr>
      </w:pPr>
      <w:r>
        <w:rPr>
          <w:rFonts w:ascii="Times New Roman" w:cs="Times New Roman" w:eastAsia="Times New Roman" w:hAnsi="Times New Roman"/>
          <w:sz w:val="18"/>
          <w:szCs w:val="18"/>
          <w:color w:val="auto"/>
        </w:rPr>
        <w:t>The below table presents the calculation of pro forma combined basic and diluted net loss per share of Coherus common stock as if the Combined Transactions had occurred on January 1, 2023 for the three months ended March 31, 2024 and for the year ended December 31, 2023:</w:t>
      </w:r>
    </w:p>
    <w:p>
      <w:pPr>
        <w:spacing w:after="0" w:line="6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(amounts in thousands, except share and per share amounts)</w:t>
            </w:r>
          </w:p>
        </w:tc>
        <w:tc>
          <w:tcPr>
            <w:tcW w:w="16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 attributable to stockholders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excluding the Combined Transactions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112,746,781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90,329,209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Coherus common stock to Surface shareholders as consideration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11,971,460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Coherus common stock issued to Surface former employees as part of Surface Merger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consideration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that vested, net of shares withheld for taxes, in connection with the transfer of</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certain employees to Sandoz</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 forma weighted average number of shares - basic and diluted **</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112,754,192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102,469,180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19" w:firstLine="9"/>
        <w:spacing w:after="0" w:line="282" w:lineRule="auto"/>
        <w:tabs>
          <w:tab w:leader="none" w:pos="4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 forma outstanding dilutive potential shares were excluded from the calculation of pro forma diluted net loss per share due to their anti-dilutive effect:</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314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Dilutive Potential Shares</w:t>
            </w:r>
          </w:p>
        </w:tc>
      </w:tr>
      <w:tr>
        <w:trPr>
          <w:trHeight w:val="117"/>
        </w:trPr>
        <w:tc>
          <w:tcPr>
            <w:tcW w:w="4760" w:type="dxa"/>
            <w:vAlign w:val="bottom"/>
          </w:tcPr>
          <w:p>
            <w:pPr>
              <w:spacing w:after="0"/>
              <w:rPr>
                <w:sz w:val="10"/>
                <w:szCs w:val="10"/>
                <w:color w:val="auto"/>
              </w:rPr>
            </w:pPr>
          </w:p>
        </w:tc>
        <w:tc>
          <w:tcPr>
            <w:tcW w:w="16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00" w:type="dxa"/>
            <w:vAlign w:val="bottom"/>
          </w:tcPr>
          <w:p>
            <w:pPr>
              <w:jc w:val="right"/>
              <w:ind w:right="343"/>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3"/>
        </w:trPr>
        <w:tc>
          <w:tcPr>
            <w:tcW w:w="4760" w:type="dxa"/>
            <w:vAlign w:val="bottom"/>
          </w:tcPr>
          <w:p>
            <w:pPr>
              <w:spacing w:after="0"/>
              <w:rPr>
                <w:sz w:val="15"/>
                <w:szCs w:val="15"/>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including shares subject to ESPP</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27,498,348</w:t>
            </w:r>
          </w:p>
        </w:tc>
        <w:tc>
          <w:tcPr>
            <w:tcW w:w="1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24,083,222</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1,085,245</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2,266,387</w:t>
            </w: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issuable upon conversion of 2026 Convertible Notes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11,942,152</w:t>
            </w:r>
          </w:p>
        </w:tc>
        <w:tc>
          <w:tcPr>
            <w:tcW w:w="14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11,942,152</w:t>
            </w: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40,525,745</w:t>
            </w:r>
          </w:p>
        </w:tc>
        <w:tc>
          <w:tcPr>
            <w:tcW w:w="14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38,291,761</w:t>
            </w:r>
          </w:p>
        </w:tc>
      </w:tr>
      <w:tr>
        <w:trPr>
          <w:trHeight w:val="20"/>
        </w:trPr>
        <w:tc>
          <w:tcPr>
            <w:tcW w:w="4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0" w:right="219" w:firstLine="324"/>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any shares contingently issuable pursuant to the CVR agreement because the conditions that could result in a payment becoming due were not met.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Roman"/>
      <w:start w:val="1"/>
    </w:lvl>
  </w:abstractNum>
  <w:abstractNum w:abstractNumId="2">
    <w:nsid w:val="3A95F874"/>
    <w:multiLevelType w:val="hybridMultilevel"/>
    <w:lvl w:ilvl="0">
      <w:lvlJc w:val="left"/>
      <w:lvlText w:val="*"/>
      <w:numFmt w:val="bullet"/>
      <w:start w:val="1"/>
    </w:lvl>
    <w:lvl w:ilvl="1">
      <w:lvlJc w:val="left"/>
      <w:lvlText w:val="%2"/>
      <w:numFmt w:val="decimal"/>
      <w:start w:val="104"/>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2"/>
    </w:lvl>
  </w:abstractNum>
  <w:abstractNum w:abstractNumId="5">
    <w:nsid w:val="7C3DBD3D"/>
    <w:multiLevelType w:val="hybridMultilevel"/>
    <w:lvl w:ilvl="0">
      <w:lvlJc w:val="left"/>
      <w:lvlText w:val="(%1)"/>
      <w:numFmt w:val="lowerLetter"/>
      <w:start w:val="4"/>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2"/>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5"/>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decimal"/>
      <w:start w:val="5"/>
    </w:lvl>
    <w:lvl w:ilvl="1">
      <w:lvlJc w:val="left"/>
      <w:lvlText w:val="(%2)"/>
      <w:numFmt w:val="lowerLetter"/>
      <w:start w:val="2"/>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1"/>
    </w:lvl>
    <w:lvl w:ilvl="1">
      <w:lvlJc w:val="left"/>
      <w:lvlText w:val="(%2)"/>
      <w:numFmt w:val="lowerRoman"/>
      <w:start w:val="1"/>
    </w:lvl>
  </w:abstractNum>
  <w:abstractNum w:abstractNumId="29">
    <w:nsid w:val="2A487CB0"/>
    <w:multiLevelType w:val="hybridMultilevel"/>
    <w:lvl w:ilvl="0">
      <w:lvlJc w:val="left"/>
      <w:lvlText w:val="(%1)"/>
      <w:numFmt w:val="lowerLetter"/>
      <w:start w:val="2"/>
    </w:lvl>
    <w:lvl w:ilvl="1">
      <w:lvlJc w:val="left"/>
      <w:lvlText w:val="(%2)"/>
      <w:numFmt w:val="lowerRoman"/>
      <w:start w:val="1"/>
    </w:lvl>
  </w:abstractNum>
  <w:abstractNum w:abstractNumId="30">
    <w:nsid w:val="1D4ED43B"/>
    <w:multiLevelType w:val="hybridMultilevel"/>
    <w:lvl w:ilvl="0">
      <w:lvlJc w:val="left"/>
      <w:lvlText w:val="(%1)"/>
      <w:numFmt w:val="lowerLetter"/>
      <w:start w:val="1"/>
    </w:lvl>
    <w:lvl w:ilvl="1">
      <w:lvlJc w:val="left"/>
      <w:lvlText w:val="(%2)"/>
      <w:numFmt w:val="lowerRoman"/>
      <w:start w:val="1"/>
    </w:lvl>
  </w:abstractNum>
  <w:abstractNum w:abstractNumId="31">
    <w:nsid w:val="725A06FB"/>
    <w:multiLevelType w:val="hybridMultilevel"/>
    <w:lvl w:ilvl="0">
      <w:lvlJc w:val="left"/>
      <w:lvlText w:val="%1"/>
      <w:numFmt w:val="lowerLetter"/>
      <w:start w:val="1"/>
    </w:lvl>
    <w:lvl w:ilvl="1">
      <w:lvlJc w:val="left"/>
      <w:lvlText w:val="(%2)"/>
      <w:numFmt w:val="lowerLetter"/>
      <w:start w:val="2"/>
    </w:lvl>
  </w:abstractNum>
  <w:abstractNum w:abstractNumId="32">
    <w:nsid w:val="2CD89A32"/>
    <w:multiLevelType w:val="hybridMultilevel"/>
    <w:lvl w:ilvl="0">
      <w:lvlJc w:val="left"/>
      <w:lvlText w:val="(%1)"/>
      <w:numFmt w:val="lowerLetter"/>
      <w:start w:val="35"/>
    </w:lvl>
    <w:lvl w:ilvl="1">
      <w:lvlJc w:val="left"/>
      <w:lvlText w:val="(%2)"/>
      <w:numFmt w:val="lowerLetter"/>
      <w:start w:val="5"/>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3"/>
    </w:lvl>
    <w:lvl w:ilvl="1">
      <w:lvlJc w:val="left"/>
      <w:lvlText w:val="(%2)"/>
      <w:numFmt w:val="lowerRoman"/>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2"/>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lvl w:ilvl="1">
      <w:lvlJc w:val="left"/>
      <w:lvlText w:val="●"/>
      <w:numFmt w:val="bullet"/>
      <w:start w:val="1"/>
    </w:lvl>
  </w:abstractNum>
  <w:abstractNum w:abstractNumId="49">
    <w:nsid w:val="70C6A529"/>
    <w:multiLevelType w:val="hybridMultilevel"/>
    <w:lvl w:ilvl="0">
      <w:lvlJc w:val="left"/>
      <w:lvlText w:val="%1."/>
      <w:numFmt w:val="decimal"/>
      <w:start w:val="3"/>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4"/>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5"/>
    </w:lvl>
  </w:abstractNum>
  <w:abstractNum w:abstractNumId="54">
    <w:nsid w:val="649BB77C"/>
    <w:multiLevelType w:val="hybridMultilevel"/>
    <w:lvl w:ilvl="0">
      <w:lvlJc w:val="left"/>
      <w:lvlText w:val="%1."/>
      <w:numFmt w:val="decimal"/>
      <w:start w:val="5"/>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2024-06-27T07:57:34Z</dcterms:created>
  <dcterms:modified xsi:type="dcterms:W3CDTF">2024-06-27T07:57:34Z</dcterms:modified>
</cp:coreProperties>
</file>